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jc w:val="right"/>
        <w:rPr>
          <w:rFonts w:hint="eastAsia" w:eastAsia="宋体"/>
          <w:b/>
          <w:color w:val="auto"/>
          <w:highlight w:val="none"/>
          <w:u w:val="single"/>
          <w:shd w:val="clear" w:color="auto" w:fill="auto"/>
          <w:lang w:eastAsia="zh-CN"/>
        </w:rPr>
      </w:pPr>
      <w:r>
        <w:rPr>
          <w:rFonts w:hint="eastAsia"/>
          <w:color w:val="auto"/>
          <w:highlight w:val="none"/>
          <w:shd w:val="clear" w:color="auto" w:fill="auto"/>
        </w:rPr>
        <w:t xml:space="preserve">                                                     项目编号：</w:t>
      </w:r>
      <w:r>
        <w:rPr>
          <w:rFonts w:hint="eastAsia"/>
          <w:b/>
          <w:color w:val="auto"/>
          <w:highlight w:val="none"/>
          <w:u w:val="single"/>
          <w:shd w:val="clear" w:color="auto" w:fill="auto"/>
          <w:lang w:eastAsia="zh-CN"/>
        </w:rPr>
        <w:t xml:space="preserve"> PSDL2019153877</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widowControl w:val="0"/>
        <w:shd w:val="clear" w:color="auto" w:fill="auto"/>
        <w:tabs>
          <w:tab w:val="clear" w:pos="426"/>
        </w:tabs>
        <w:adjustRightInd/>
        <w:snapToGrid/>
        <w:spacing w:line="300" w:lineRule="auto"/>
        <w:jc w:val="center"/>
        <w:rPr>
          <w:rFonts w:cs="Times New Roman"/>
          <w:color w:val="auto"/>
          <w:spacing w:val="26"/>
          <w:kern w:val="2"/>
          <w:sz w:val="72"/>
          <w:szCs w:val="20"/>
          <w:highlight w:val="none"/>
          <w:shd w:val="clear" w:color="auto" w:fill="auto"/>
        </w:rPr>
      </w:pPr>
      <w:r>
        <w:rPr>
          <w:rFonts w:hint="eastAsia" w:cs="Times New Roman"/>
          <w:color w:val="auto"/>
          <w:spacing w:val="26"/>
          <w:kern w:val="2"/>
          <w:sz w:val="72"/>
          <w:szCs w:val="20"/>
          <w:highlight w:val="none"/>
          <w:shd w:val="clear" w:color="auto" w:fill="auto"/>
        </w:rPr>
        <w:t>深圳市政府采购</w:t>
      </w:r>
    </w:p>
    <w:p>
      <w:pPr>
        <w:widowControl w:val="0"/>
        <w:shd w:val="clear" w:color="auto" w:fill="auto"/>
        <w:tabs>
          <w:tab w:val="clear" w:pos="426"/>
        </w:tabs>
        <w:adjustRightInd/>
        <w:snapToGrid/>
        <w:spacing w:line="300" w:lineRule="auto"/>
        <w:jc w:val="center"/>
        <w:rPr>
          <w:rFonts w:cs="Times New Roman"/>
          <w:color w:val="auto"/>
          <w:spacing w:val="26"/>
          <w:kern w:val="2"/>
          <w:sz w:val="72"/>
          <w:szCs w:val="20"/>
          <w:highlight w:val="none"/>
          <w:shd w:val="clear" w:color="auto" w:fill="auto"/>
        </w:rPr>
      </w:pPr>
      <w:r>
        <w:rPr>
          <w:rFonts w:hint="eastAsia" w:cs="Times New Roman"/>
          <w:color w:val="auto"/>
          <w:spacing w:val="26"/>
          <w:kern w:val="2"/>
          <w:sz w:val="72"/>
          <w:szCs w:val="20"/>
          <w:highlight w:val="none"/>
          <w:shd w:val="clear" w:color="auto" w:fill="auto"/>
        </w:rPr>
        <w:t>招标文件</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jc w:val="center"/>
        <w:rPr>
          <w:rFonts w:ascii="黑体" w:hAnsi="Arial" w:eastAsia="黑体" w:cs="Arial"/>
          <w:color w:val="auto"/>
          <w:sz w:val="52"/>
          <w:szCs w:val="52"/>
          <w:highlight w:val="none"/>
          <w:shd w:val="clear" w:color="auto" w:fill="auto"/>
        </w:rPr>
      </w:pPr>
      <w:r>
        <w:rPr>
          <w:rFonts w:hint="eastAsia" w:ascii="黑体" w:hAnsi="Arial" w:eastAsia="黑体" w:cs="Arial"/>
          <w:color w:val="auto"/>
          <w:sz w:val="52"/>
          <w:szCs w:val="52"/>
          <w:highlight w:val="none"/>
          <w:shd w:val="clear" w:color="auto" w:fill="auto"/>
        </w:rPr>
        <w:t>【货物类】</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widowControl w:val="0"/>
        <w:shd w:val="clear" w:color="auto" w:fill="auto"/>
        <w:tabs>
          <w:tab w:val="clear" w:pos="426"/>
        </w:tabs>
        <w:adjustRightInd/>
        <w:snapToGrid/>
        <w:spacing w:line="300" w:lineRule="auto"/>
        <w:ind w:left="1498" w:leftChars="142" w:hanging="1200" w:hangingChars="400"/>
        <w:rPr>
          <w:rFonts w:cs="Times New Roman"/>
          <w:color w:val="auto"/>
          <w:kern w:val="2"/>
          <w:sz w:val="30"/>
          <w:szCs w:val="20"/>
          <w:highlight w:val="none"/>
          <w:shd w:val="clear" w:color="auto" w:fill="auto"/>
        </w:rPr>
      </w:pPr>
      <w:r>
        <w:rPr>
          <w:rFonts w:hint="eastAsia" w:cs="Times New Roman"/>
          <w:color w:val="auto"/>
          <w:kern w:val="2"/>
          <w:sz w:val="30"/>
          <w:szCs w:val="20"/>
          <w:highlight w:val="none"/>
          <w:shd w:val="clear" w:color="auto" w:fill="auto"/>
        </w:rPr>
        <w:t>项目名称：</w:t>
      </w:r>
      <w:r>
        <w:rPr>
          <w:rFonts w:hint="eastAsia" w:cs="Times New Roman"/>
          <w:color w:val="auto"/>
          <w:kern w:val="2"/>
          <w:sz w:val="30"/>
          <w:szCs w:val="20"/>
          <w:highlight w:val="none"/>
          <w:u w:val="single"/>
          <w:shd w:val="clear" w:color="auto" w:fill="auto"/>
          <w:lang w:eastAsia="zh-CN"/>
        </w:rPr>
        <w:t>标识标牌系统优化项目</w:t>
      </w:r>
      <w:r>
        <w:rPr>
          <w:rFonts w:hint="eastAsia" w:cs="Times New Roman"/>
          <w:color w:val="auto"/>
          <w:kern w:val="2"/>
          <w:sz w:val="30"/>
          <w:szCs w:val="20"/>
          <w:highlight w:val="none"/>
          <w:shd w:val="clear" w:color="auto" w:fill="auto"/>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auto"/>
          <w:kern w:val="2"/>
          <w:sz w:val="30"/>
          <w:szCs w:val="20"/>
          <w:highlight w:val="none"/>
          <w:shd w:val="clear" w:color="auto" w:fill="auto"/>
        </w:rPr>
      </w:pPr>
    </w:p>
    <w:p>
      <w:pPr>
        <w:widowControl w:val="0"/>
        <w:shd w:val="clear" w:color="auto" w:fill="auto"/>
        <w:tabs>
          <w:tab w:val="clear" w:pos="426"/>
        </w:tabs>
        <w:adjustRightInd/>
        <w:snapToGrid/>
        <w:spacing w:line="300" w:lineRule="auto"/>
        <w:ind w:left="1498" w:leftChars="142" w:hanging="1200" w:hangingChars="400"/>
        <w:rPr>
          <w:rFonts w:cs="Times New Roman"/>
          <w:color w:val="auto"/>
          <w:kern w:val="2"/>
          <w:sz w:val="30"/>
          <w:szCs w:val="20"/>
          <w:highlight w:val="none"/>
          <w:shd w:val="clear" w:color="auto" w:fill="auto"/>
        </w:rPr>
      </w:pPr>
      <w:r>
        <w:rPr>
          <w:rFonts w:hint="eastAsia" w:cs="Times New Roman"/>
          <w:color w:val="auto"/>
          <w:kern w:val="2"/>
          <w:sz w:val="30"/>
          <w:szCs w:val="20"/>
          <w:highlight w:val="none"/>
          <w:shd w:val="clear" w:color="auto" w:fill="auto"/>
        </w:rPr>
        <w:t>采购人名称：</w:t>
      </w:r>
      <w:r>
        <w:rPr>
          <w:rFonts w:hint="eastAsia" w:cs="Times New Roman"/>
          <w:color w:val="auto"/>
          <w:kern w:val="2"/>
          <w:sz w:val="30"/>
          <w:szCs w:val="20"/>
          <w:highlight w:val="none"/>
          <w:u w:val="single"/>
          <w:shd w:val="clear" w:color="auto" w:fill="auto"/>
          <w:lang w:eastAsia="zh-CN"/>
        </w:rPr>
        <w:t>深圳平乐骨伤科医院（深圳市坪山区中医院）</w:t>
      </w:r>
      <w:r>
        <w:rPr>
          <w:rFonts w:hint="eastAsia" w:cs="Times New Roman"/>
          <w:color w:val="auto"/>
          <w:kern w:val="2"/>
          <w:sz w:val="30"/>
          <w:szCs w:val="20"/>
          <w:highlight w:val="none"/>
          <w:u w:val="single"/>
          <w:shd w:val="clear" w:color="auto" w:fill="auto"/>
        </w:rPr>
        <w:t xml:space="preserve">                                                       </w:t>
      </w:r>
      <w:r>
        <w:rPr>
          <w:rFonts w:hint="eastAsia" w:cs="Times New Roman"/>
          <w:color w:val="auto"/>
          <w:kern w:val="2"/>
          <w:sz w:val="30"/>
          <w:szCs w:val="20"/>
          <w:highlight w:val="none"/>
          <w:shd w:val="clear" w:color="auto" w:fill="auto"/>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auto"/>
          <w:kern w:val="2"/>
          <w:sz w:val="30"/>
          <w:szCs w:val="20"/>
          <w:highlight w:val="none"/>
          <w:shd w:val="clear" w:color="auto" w:fill="auto"/>
        </w:rPr>
      </w:pPr>
    </w:p>
    <w:p>
      <w:pPr>
        <w:widowControl w:val="0"/>
        <w:shd w:val="clear" w:color="auto" w:fill="auto"/>
        <w:tabs>
          <w:tab w:val="clear" w:pos="426"/>
        </w:tabs>
        <w:adjustRightInd/>
        <w:snapToGrid/>
        <w:spacing w:line="300" w:lineRule="auto"/>
        <w:ind w:left="1498" w:leftChars="142" w:hanging="1200" w:hangingChars="400"/>
        <w:rPr>
          <w:color w:val="auto"/>
          <w:highlight w:val="none"/>
          <w:shd w:val="clear" w:color="auto" w:fill="auto"/>
        </w:rPr>
      </w:pPr>
      <w:r>
        <w:rPr>
          <w:rFonts w:hint="eastAsia" w:cs="Times New Roman"/>
          <w:color w:val="auto"/>
          <w:kern w:val="2"/>
          <w:sz w:val="30"/>
          <w:szCs w:val="20"/>
          <w:highlight w:val="none"/>
          <w:shd w:val="clear" w:color="auto" w:fill="auto"/>
        </w:rPr>
        <w:t>采购代理机构名称：</w:t>
      </w:r>
      <w:r>
        <w:rPr>
          <w:rFonts w:hint="eastAsia" w:cs="Times New Roman"/>
          <w:color w:val="auto"/>
          <w:kern w:val="2"/>
          <w:sz w:val="30"/>
          <w:szCs w:val="20"/>
          <w:highlight w:val="none"/>
          <w:u w:val="single"/>
          <w:shd w:val="clear" w:color="auto" w:fill="auto"/>
        </w:rPr>
        <w:t xml:space="preserve">  深圳市深水水务咨询有限公司                    </w:t>
      </w:r>
      <w:r>
        <w:rPr>
          <w:rFonts w:hint="eastAsia" w:cs="Times New Roman"/>
          <w:color w:val="auto"/>
          <w:kern w:val="2"/>
          <w:sz w:val="30"/>
          <w:szCs w:val="20"/>
          <w:highlight w:val="none"/>
          <w:shd w:val="clear" w:color="auto" w:fill="auto"/>
        </w:rPr>
        <w:t xml:space="preserve">      </w:t>
      </w:r>
      <w:r>
        <w:rPr>
          <w:rFonts w:hint="eastAsia"/>
          <w:color w:val="auto"/>
          <w:highlight w:val="none"/>
          <w:shd w:val="clear" w:color="auto" w:fill="auto"/>
        </w:rPr>
        <w:t xml:space="preserve">                               </w:t>
      </w:r>
    </w:p>
    <w:p>
      <w:pPr>
        <w:tabs>
          <w:tab w:val="clear" w:pos="426"/>
        </w:tabs>
        <w:jc w:val="center"/>
        <w:rPr>
          <w:b/>
          <w:color w:val="auto"/>
          <w:sz w:val="32"/>
          <w:szCs w:val="32"/>
          <w:highlight w:val="none"/>
          <w:shd w:val="clear" w:color="auto" w:fill="auto"/>
        </w:rPr>
      </w:pPr>
      <w:r>
        <w:rPr>
          <w:color w:val="auto"/>
          <w:highlight w:val="none"/>
          <w:shd w:val="clear" w:color="auto" w:fill="auto"/>
        </w:rPr>
        <w:br w:type="page"/>
      </w:r>
      <w:r>
        <w:rPr>
          <w:rFonts w:hint="eastAsia"/>
          <w:b/>
          <w:color w:val="auto"/>
          <w:sz w:val="32"/>
          <w:szCs w:val="32"/>
          <w:highlight w:val="none"/>
          <w:shd w:val="clear" w:color="auto" w:fill="auto"/>
        </w:rPr>
        <w:t>目      录</w:t>
      </w:r>
    </w:p>
    <w:p>
      <w:pPr>
        <w:tabs>
          <w:tab w:val="clear" w:pos="426"/>
        </w:tabs>
        <w:jc w:val="center"/>
        <w:rPr>
          <w:color w:val="auto"/>
          <w:sz w:val="32"/>
          <w:szCs w:val="32"/>
          <w:highlight w:val="none"/>
          <w:shd w:val="clear" w:color="auto" w:fill="auto"/>
        </w:rPr>
      </w:pPr>
    </w:p>
    <w:p>
      <w:pPr>
        <w:pStyle w:val="36"/>
        <w:tabs>
          <w:tab w:val="right" w:leader="dot" w:pos="8788"/>
        </w:tabs>
        <w:rPr>
          <w:highlight w:val="none"/>
        </w:rPr>
      </w:pPr>
      <w:r>
        <w:rPr>
          <w:smallCaps w:val="0"/>
          <w:color w:val="auto"/>
          <w:highlight w:val="none"/>
          <w:shd w:val="clear" w:color="auto" w:fill="auto"/>
        </w:rPr>
        <w:fldChar w:fldCharType="begin"/>
      </w:r>
      <w:r>
        <w:rPr>
          <w:smallCaps w:val="0"/>
          <w:color w:val="auto"/>
          <w:highlight w:val="none"/>
          <w:shd w:val="clear" w:color="auto" w:fill="auto"/>
        </w:rPr>
        <w:instrText xml:space="preserve"> TOC \o "1-2" \h \z \u </w:instrText>
      </w:r>
      <w:r>
        <w:rPr>
          <w:smallCaps w:val="0"/>
          <w:color w:val="auto"/>
          <w:highlight w:val="none"/>
          <w:shd w:val="clear" w:color="auto" w:fill="auto"/>
        </w:rPr>
        <w:fldChar w:fldCharType="separate"/>
      </w:r>
      <w:r>
        <w:rPr>
          <w:smallCaps w:val="0"/>
          <w:color w:val="auto"/>
          <w:highlight w:val="none"/>
          <w:shd w:val="clear" w:color="auto" w:fill="auto"/>
        </w:rPr>
        <w:fldChar w:fldCharType="begin"/>
      </w:r>
      <w:r>
        <w:rPr>
          <w:smallCaps w:val="0"/>
          <w:highlight w:val="none"/>
          <w:shd w:val="clear" w:color="auto" w:fill="auto"/>
        </w:rPr>
        <w:instrText xml:space="preserve"> HYPERLINK \l _Toc26049 </w:instrText>
      </w:r>
      <w:r>
        <w:rPr>
          <w:smallCaps w:val="0"/>
          <w:highlight w:val="none"/>
          <w:shd w:val="clear" w:color="auto" w:fill="auto"/>
        </w:rPr>
        <w:fldChar w:fldCharType="separate"/>
      </w:r>
      <w:r>
        <w:rPr>
          <w:rFonts w:hint="eastAsia"/>
          <w:szCs w:val="30"/>
          <w:highlight w:val="none"/>
          <w:shd w:val="clear" w:color="auto" w:fill="auto"/>
        </w:rPr>
        <w:t>警示条款</w:t>
      </w:r>
      <w:r>
        <w:rPr>
          <w:highlight w:val="none"/>
        </w:rPr>
        <w:tab/>
      </w:r>
      <w:r>
        <w:rPr>
          <w:highlight w:val="none"/>
        </w:rPr>
        <w:fldChar w:fldCharType="begin"/>
      </w:r>
      <w:r>
        <w:rPr>
          <w:highlight w:val="none"/>
        </w:rPr>
        <w:instrText xml:space="preserve"> PAGEREF _Toc26049 </w:instrText>
      </w:r>
      <w:r>
        <w:rPr>
          <w:highlight w:val="none"/>
        </w:rPr>
        <w:fldChar w:fldCharType="separate"/>
      </w:r>
      <w:r>
        <w:rPr>
          <w:highlight w:val="none"/>
        </w:rPr>
        <w:t>1</w:t>
      </w:r>
      <w:r>
        <w:rPr>
          <w:highlight w:val="none"/>
        </w:rPr>
        <w:fldChar w:fldCharType="end"/>
      </w:r>
      <w:r>
        <w:rPr>
          <w:smallCaps w:val="0"/>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_Toc30479 </w:instrText>
      </w:r>
      <w:r>
        <w:rPr>
          <w:smallCaps/>
          <w:highlight w:val="none"/>
          <w:shd w:val="clear" w:color="auto" w:fill="auto"/>
        </w:rPr>
        <w:fldChar w:fldCharType="separate"/>
      </w:r>
      <w:r>
        <w:rPr>
          <w:rFonts w:hint="eastAsia"/>
          <w:highlight w:val="none"/>
          <w:shd w:val="clear" w:color="auto" w:fill="auto"/>
        </w:rPr>
        <w:t>项目关键信息</w:t>
      </w:r>
      <w:r>
        <w:rPr>
          <w:highlight w:val="none"/>
        </w:rPr>
        <w:tab/>
      </w:r>
      <w:r>
        <w:rPr>
          <w:highlight w:val="none"/>
        </w:rPr>
        <w:fldChar w:fldCharType="begin"/>
      </w:r>
      <w:r>
        <w:rPr>
          <w:highlight w:val="none"/>
        </w:rPr>
        <w:instrText xml:space="preserve"> PAGEREF _Toc30479 </w:instrText>
      </w:r>
      <w:r>
        <w:rPr>
          <w:highlight w:val="none"/>
        </w:rPr>
        <w:fldChar w:fldCharType="separate"/>
      </w:r>
      <w:r>
        <w:rPr>
          <w:highlight w:val="none"/>
        </w:rPr>
        <w:t>2</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_Toc13529 </w:instrText>
      </w:r>
      <w:r>
        <w:rPr>
          <w:smallCaps/>
          <w:highlight w:val="none"/>
          <w:shd w:val="clear" w:color="auto" w:fill="auto"/>
        </w:rPr>
        <w:fldChar w:fldCharType="separate"/>
      </w:r>
      <w:r>
        <w:rPr>
          <w:rFonts w:hint="eastAsia"/>
          <w:highlight w:val="none"/>
          <w:shd w:val="clear" w:color="auto" w:fill="auto"/>
        </w:rPr>
        <w:t>资格、符合性评审条款</w:t>
      </w:r>
      <w:r>
        <w:rPr>
          <w:highlight w:val="none"/>
        </w:rPr>
        <w:tab/>
      </w:r>
      <w:r>
        <w:rPr>
          <w:highlight w:val="none"/>
        </w:rPr>
        <w:fldChar w:fldCharType="begin"/>
      </w:r>
      <w:r>
        <w:rPr>
          <w:highlight w:val="none"/>
        </w:rPr>
        <w:instrText xml:space="preserve"> PAGEREF _Toc13529 </w:instrText>
      </w:r>
      <w:r>
        <w:rPr>
          <w:highlight w:val="none"/>
        </w:rPr>
        <w:fldChar w:fldCharType="separate"/>
      </w:r>
      <w:r>
        <w:rPr>
          <w:highlight w:val="none"/>
        </w:rPr>
        <w:t>3</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_Toc206 </w:instrText>
      </w:r>
      <w:r>
        <w:rPr>
          <w:smallCaps/>
          <w:highlight w:val="none"/>
          <w:shd w:val="clear" w:color="auto" w:fill="auto"/>
        </w:rPr>
        <w:fldChar w:fldCharType="separate"/>
      </w:r>
      <w:r>
        <w:rPr>
          <w:highlight w:val="none"/>
          <w:shd w:val="clear" w:color="auto" w:fill="auto"/>
        </w:rPr>
        <w:t>评标信息</w:t>
      </w:r>
      <w:r>
        <w:rPr>
          <w:highlight w:val="none"/>
        </w:rPr>
        <w:tab/>
      </w:r>
      <w:r>
        <w:rPr>
          <w:highlight w:val="none"/>
        </w:rPr>
        <w:fldChar w:fldCharType="begin"/>
      </w:r>
      <w:r>
        <w:rPr>
          <w:highlight w:val="none"/>
        </w:rPr>
        <w:instrText xml:space="preserve"> PAGEREF _Toc206 </w:instrText>
      </w:r>
      <w:r>
        <w:rPr>
          <w:highlight w:val="none"/>
        </w:rPr>
        <w:fldChar w:fldCharType="separate"/>
      </w:r>
      <w:r>
        <w:rPr>
          <w:highlight w:val="none"/>
        </w:rPr>
        <w:t>4</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_Toc15778 </w:instrText>
      </w:r>
      <w:r>
        <w:rPr>
          <w:smallCaps/>
          <w:highlight w:val="none"/>
          <w:shd w:val="clear" w:color="auto" w:fill="auto"/>
        </w:rPr>
        <w:fldChar w:fldCharType="separate"/>
      </w:r>
      <w:r>
        <w:rPr>
          <w:rFonts w:hint="eastAsia" w:ascii="宋体" w:hAnsi="宋体"/>
          <w:bCs w:val="0"/>
          <w:szCs w:val="24"/>
          <w:highlight w:val="none"/>
          <w:shd w:val="clear" w:color="auto" w:fill="auto"/>
        </w:rPr>
        <w:t>评分细则表</w:t>
      </w:r>
      <w:r>
        <w:rPr>
          <w:highlight w:val="none"/>
        </w:rPr>
        <w:tab/>
      </w:r>
      <w:r>
        <w:rPr>
          <w:highlight w:val="none"/>
        </w:rPr>
        <w:fldChar w:fldCharType="begin"/>
      </w:r>
      <w:r>
        <w:rPr>
          <w:highlight w:val="none"/>
        </w:rPr>
        <w:instrText xml:space="preserve"> PAGEREF _Toc15778 </w:instrText>
      </w:r>
      <w:r>
        <w:rPr>
          <w:highlight w:val="none"/>
        </w:rPr>
        <w:fldChar w:fldCharType="separate"/>
      </w:r>
      <w:r>
        <w:rPr>
          <w:highlight w:val="none"/>
        </w:rPr>
        <w:t>6</w:t>
      </w:r>
      <w:r>
        <w:rPr>
          <w:highlight w:val="none"/>
        </w:rPr>
        <w:fldChar w:fldCharType="end"/>
      </w:r>
      <w:r>
        <w:rPr>
          <w:smallCaps/>
          <w:color w:val="auto"/>
          <w:highlight w:val="none"/>
          <w:shd w:val="clear" w:color="auto" w:fill="auto"/>
        </w:rPr>
        <w:fldChar w:fldCharType="end"/>
      </w:r>
    </w:p>
    <w:p>
      <w:pPr>
        <w:pStyle w:val="31"/>
        <w:tabs>
          <w:tab w:val="right" w:leader="dot" w:pos="8788"/>
          <w:tab w:val="clear" w:pos="426"/>
          <w:tab w:val="clear" w:pos="8789"/>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_Toc21244 </w:instrText>
      </w:r>
      <w:r>
        <w:rPr>
          <w:smallCaps/>
          <w:highlight w:val="none"/>
          <w:shd w:val="clear" w:color="auto" w:fill="auto"/>
        </w:rPr>
        <w:fldChar w:fldCharType="separate"/>
      </w:r>
      <w:r>
        <w:rPr>
          <w:rFonts w:hint="eastAsia"/>
          <w:highlight w:val="none"/>
          <w:shd w:val="clear" w:color="auto" w:fill="auto"/>
        </w:rPr>
        <w:t>第一册  专用条款</w:t>
      </w:r>
      <w:r>
        <w:rPr>
          <w:highlight w:val="none"/>
        </w:rPr>
        <w:tab/>
      </w:r>
      <w:r>
        <w:rPr>
          <w:highlight w:val="none"/>
        </w:rPr>
        <w:fldChar w:fldCharType="begin"/>
      </w:r>
      <w:r>
        <w:rPr>
          <w:highlight w:val="none"/>
        </w:rPr>
        <w:instrText xml:space="preserve"> PAGEREF _Toc21244 </w:instrText>
      </w:r>
      <w:r>
        <w:rPr>
          <w:highlight w:val="none"/>
        </w:rPr>
        <w:fldChar w:fldCharType="separate"/>
      </w:r>
      <w:r>
        <w:rPr>
          <w:highlight w:val="none"/>
        </w:rPr>
        <w:t>10</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_Toc26007 </w:instrText>
      </w:r>
      <w:r>
        <w:rPr>
          <w:smallCaps/>
          <w:highlight w:val="none"/>
          <w:shd w:val="clear" w:color="auto" w:fill="auto"/>
        </w:rPr>
        <w:fldChar w:fldCharType="separate"/>
      </w:r>
      <w:r>
        <w:rPr>
          <w:rFonts w:hint="eastAsia"/>
          <w:highlight w:val="none"/>
          <w:shd w:val="clear" w:color="auto" w:fill="auto"/>
        </w:rPr>
        <w:t>第一章 采购公告</w:t>
      </w:r>
      <w:r>
        <w:rPr>
          <w:highlight w:val="none"/>
        </w:rPr>
        <w:tab/>
      </w:r>
      <w:r>
        <w:rPr>
          <w:highlight w:val="none"/>
        </w:rPr>
        <w:fldChar w:fldCharType="begin"/>
      </w:r>
      <w:r>
        <w:rPr>
          <w:highlight w:val="none"/>
        </w:rPr>
        <w:instrText xml:space="preserve"> PAGEREF _Toc26007 </w:instrText>
      </w:r>
      <w:r>
        <w:rPr>
          <w:highlight w:val="none"/>
        </w:rPr>
        <w:fldChar w:fldCharType="separate"/>
      </w:r>
      <w:r>
        <w:rPr>
          <w:highlight w:val="none"/>
        </w:rPr>
        <w:t>10</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_Toc21309 </w:instrText>
      </w:r>
      <w:r>
        <w:rPr>
          <w:smallCaps/>
          <w:highlight w:val="none"/>
          <w:shd w:val="clear" w:color="auto" w:fill="auto"/>
        </w:rPr>
        <w:fldChar w:fldCharType="separate"/>
      </w:r>
      <w:r>
        <w:rPr>
          <w:rFonts w:hint="eastAsia"/>
          <w:highlight w:val="none"/>
          <w:shd w:val="clear" w:color="auto" w:fill="auto"/>
        </w:rPr>
        <w:t>第二章 投标须知前附表</w:t>
      </w:r>
      <w:r>
        <w:rPr>
          <w:highlight w:val="none"/>
        </w:rPr>
        <w:tab/>
      </w:r>
      <w:r>
        <w:rPr>
          <w:highlight w:val="none"/>
        </w:rPr>
        <w:fldChar w:fldCharType="begin"/>
      </w:r>
      <w:r>
        <w:rPr>
          <w:highlight w:val="none"/>
        </w:rPr>
        <w:instrText xml:space="preserve"> PAGEREF _Toc21309 </w:instrText>
      </w:r>
      <w:r>
        <w:rPr>
          <w:highlight w:val="none"/>
        </w:rPr>
        <w:fldChar w:fldCharType="separate"/>
      </w:r>
      <w:r>
        <w:rPr>
          <w:highlight w:val="none"/>
        </w:rPr>
        <w:t>13</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_Toc408 </w:instrText>
      </w:r>
      <w:r>
        <w:rPr>
          <w:smallCaps/>
          <w:highlight w:val="none"/>
          <w:shd w:val="clear" w:color="auto" w:fill="auto"/>
        </w:rPr>
        <w:fldChar w:fldCharType="separate"/>
      </w:r>
      <w:r>
        <w:rPr>
          <w:rFonts w:hint="eastAsia"/>
          <w:highlight w:val="none"/>
          <w:shd w:val="clear" w:color="auto" w:fill="auto"/>
        </w:rPr>
        <w:t xml:space="preserve">第三章 </w:t>
      </w:r>
      <w:r>
        <w:rPr>
          <w:highlight w:val="none"/>
          <w:shd w:val="clear" w:color="auto" w:fill="auto"/>
        </w:rPr>
        <w:t>项目</w:t>
      </w:r>
      <w:r>
        <w:rPr>
          <w:rFonts w:hint="eastAsia"/>
          <w:highlight w:val="none"/>
          <w:shd w:val="clear" w:color="auto" w:fill="auto"/>
        </w:rPr>
        <w:t>需求</w:t>
      </w:r>
      <w:r>
        <w:rPr>
          <w:highlight w:val="none"/>
        </w:rPr>
        <w:tab/>
      </w:r>
      <w:r>
        <w:rPr>
          <w:highlight w:val="none"/>
        </w:rPr>
        <w:fldChar w:fldCharType="begin"/>
      </w:r>
      <w:r>
        <w:rPr>
          <w:highlight w:val="none"/>
        </w:rPr>
        <w:instrText xml:space="preserve"> PAGEREF _Toc408 </w:instrText>
      </w:r>
      <w:r>
        <w:rPr>
          <w:highlight w:val="none"/>
        </w:rPr>
        <w:fldChar w:fldCharType="separate"/>
      </w:r>
      <w:r>
        <w:rPr>
          <w:highlight w:val="none"/>
        </w:rPr>
        <w:t>14</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_Toc6542 </w:instrText>
      </w:r>
      <w:r>
        <w:rPr>
          <w:smallCaps/>
          <w:highlight w:val="none"/>
          <w:shd w:val="clear" w:color="auto" w:fill="auto"/>
        </w:rPr>
        <w:fldChar w:fldCharType="separate"/>
      </w:r>
      <w:r>
        <w:rPr>
          <w:rFonts w:hint="eastAsia"/>
          <w:highlight w:val="none"/>
          <w:shd w:val="clear" w:color="auto" w:fill="auto"/>
        </w:rPr>
        <w:t>第四章 政府采购合同的签订、履约及验收</w:t>
      </w:r>
      <w:r>
        <w:rPr>
          <w:highlight w:val="none"/>
        </w:rPr>
        <w:tab/>
      </w:r>
      <w:r>
        <w:rPr>
          <w:highlight w:val="none"/>
        </w:rPr>
        <w:fldChar w:fldCharType="begin"/>
      </w:r>
      <w:r>
        <w:rPr>
          <w:highlight w:val="none"/>
        </w:rPr>
        <w:instrText xml:space="preserve"> PAGEREF _Toc6542 </w:instrText>
      </w:r>
      <w:r>
        <w:rPr>
          <w:highlight w:val="none"/>
        </w:rPr>
        <w:fldChar w:fldCharType="separate"/>
      </w:r>
      <w:r>
        <w:rPr>
          <w:highlight w:val="none"/>
        </w:rPr>
        <w:t>40</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_Toc29976 </w:instrText>
      </w:r>
      <w:r>
        <w:rPr>
          <w:smallCaps/>
          <w:highlight w:val="none"/>
          <w:shd w:val="clear" w:color="auto" w:fill="auto"/>
        </w:rPr>
        <w:fldChar w:fldCharType="separate"/>
      </w:r>
      <w:r>
        <w:rPr>
          <w:rFonts w:hint="eastAsia"/>
          <w:highlight w:val="none"/>
          <w:shd w:val="clear" w:color="auto" w:fill="auto"/>
        </w:rPr>
        <w:t>第五章 投标文件格式、附件</w:t>
      </w:r>
      <w:r>
        <w:rPr>
          <w:highlight w:val="none"/>
        </w:rPr>
        <w:tab/>
      </w:r>
      <w:r>
        <w:rPr>
          <w:highlight w:val="none"/>
        </w:rPr>
        <w:fldChar w:fldCharType="begin"/>
      </w:r>
      <w:r>
        <w:rPr>
          <w:highlight w:val="none"/>
        </w:rPr>
        <w:instrText xml:space="preserve"> PAGEREF _Toc29976 </w:instrText>
      </w:r>
      <w:r>
        <w:rPr>
          <w:highlight w:val="none"/>
        </w:rPr>
        <w:fldChar w:fldCharType="separate"/>
      </w:r>
      <w:r>
        <w:rPr>
          <w:highlight w:val="none"/>
        </w:rPr>
        <w:t>46</w:t>
      </w:r>
      <w:r>
        <w:rPr>
          <w:highlight w:val="none"/>
        </w:rPr>
        <w:fldChar w:fldCharType="end"/>
      </w:r>
      <w:r>
        <w:rPr>
          <w:smallCaps/>
          <w:color w:val="auto"/>
          <w:highlight w:val="none"/>
          <w:shd w:val="clear" w:color="auto" w:fill="auto"/>
        </w:rPr>
        <w:fldChar w:fldCharType="end"/>
      </w:r>
    </w:p>
    <w:p>
      <w:pPr>
        <w:pStyle w:val="31"/>
        <w:tabs>
          <w:tab w:val="right" w:leader="dot" w:pos="8788"/>
          <w:tab w:val="clear" w:pos="426"/>
          <w:tab w:val="clear" w:pos="8789"/>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_Toc23504 </w:instrText>
      </w:r>
      <w:r>
        <w:rPr>
          <w:smallCaps/>
          <w:highlight w:val="none"/>
          <w:shd w:val="clear" w:color="auto" w:fill="auto"/>
        </w:rPr>
        <w:fldChar w:fldCharType="separate"/>
      </w:r>
      <w:r>
        <w:rPr>
          <w:rFonts w:hint="eastAsia"/>
          <w:highlight w:val="none"/>
          <w:shd w:val="clear" w:color="auto" w:fill="auto"/>
        </w:rPr>
        <w:t>第二册  通用条款</w:t>
      </w:r>
      <w:r>
        <w:rPr>
          <w:highlight w:val="none"/>
        </w:rPr>
        <w:tab/>
      </w:r>
      <w:r>
        <w:rPr>
          <w:highlight w:val="none"/>
        </w:rPr>
        <w:fldChar w:fldCharType="begin"/>
      </w:r>
      <w:r>
        <w:rPr>
          <w:highlight w:val="none"/>
        </w:rPr>
        <w:instrText xml:space="preserve"> PAGEREF _Toc23504 </w:instrText>
      </w:r>
      <w:r>
        <w:rPr>
          <w:highlight w:val="none"/>
        </w:rPr>
        <w:fldChar w:fldCharType="separate"/>
      </w:r>
      <w:r>
        <w:rPr>
          <w:highlight w:val="none"/>
        </w:rPr>
        <w:t>70</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_Toc8828 </w:instrText>
      </w:r>
      <w:r>
        <w:rPr>
          <w:smallCaps/>
          <w:highlight w:val="none"/>
          <w:shd w:val="clear" w:color="auto" w:fill="auto"/>
        </w:rPr>
        <w:fldChar w:fldCharType="separate"/>
      </w:r>
      <w:r>
        <w:rPr>
          <w:rFonts w:hint="eastAsia"/>
          <w:highlight w:val="none"/>
          <w:shd w:val="clear" w:color="auto" w:fill="auto"/>
        </w:rPr>
        <w:t>第一章 总则</w:t>
      </w:r>
      <w:r>
        <w:rPr>
          <w:highlight w:val="none"/>
        </w:rPr>
        <w:tab/>
      </w:r>
      <w:r>
        <w:rPr>
          <w:highlight w:val="none"/>
        </w:rPr>
        <w:fldChar w:fldCharType="begin"/>
      </w:r>
      <w:r>
        <w:rPr>
          <w:highlight w:val="none"/>
        </w:rPr>
        <w:instrText xml:space="preserve"> PAGEREF _Toc8828 </w:instrText>
      </w:r>
      <w:r>
        <w:rPr>
          <w:highlight w:val="none"/>
        </w:rPr>
        <w:fldChar w:fldCharType="separate"/>
      </w:r>
      <w:r>
        <w:rPr>
          <w:highlight w:val="none"/>
        </w:rPr>
        <w:t>70</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_Toc26478 </w:instrText>
      </w:r>
      <w:r>
        <w:rPr>
          <w:smallCaps/>
          <w:highlight w:val="none"/>
          <w:shd w:val="clear" w:color="auto" w:fill="auto"/>
        </w:rPr>
        <w:fldChar w:fldCharType="separate"/>
      </w:r>
      <w:r>
        <w:rPr>
          <w:rFonts w:hint="eastAsia"/>
          <w:highlight w:val="none"/>
          <w:shd w:val="clear" w:color="auto" w:fill="auto"/>
        </w:rPr>
        <w:t>第二章 招标文件</w:t>
      </w:r>
      <w:r>
        <w:rPr>
          <w:highlight w:val="none"/>
        </w:rPr>
        <w:tab/>
      </w:r>
      <w:r>
        <w:rPr>
          <w:highlight w:val="none"/>
        </w:rPr>
        <w:fldChar w:fldCharType="begin"/>
      </w:r>
      <w:r>
        <w:rPr>
          <w:highlight w:val="none"/>
        </w:rPr>
        <w:instrText xml:space="preserve"> PAGEREF _Toc26478 </w:instrText>
      </w:r>
      <w:r>
        <w:rPr>
          <w:highlight w:val="none"/>
        </w:rPr>
        <w:fldChar w:fldCharType="separate"/>
      </w:r>
      <w:r>
        <w:rPr>
          <w:highlight w:val="none"/>
        </w:rPr>
        <w:t>72</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_Toc29031 </w:instrText>
      </w:r>
      <w:r>
        <w:rPr>
          <w:smallCaps/>
          <w:highlight w:val="none"/>
          <w:shd w:val="clear" w:color="auto" w:fill="auto"/>
        </w:rPr>
        <w:fldChar w:fldCharType="separate"/>
      </w:r>
      <w:r>
        <w:rPr>
          <w:rFonts w:hint="eastAsia"/>
          <w:highlight w:val="none"/>
          <w:shd w:val="clear" w:color="auto" w:fill="auto"/>
        </w:rPr>
        <w:t>第三章 投标文件的编制与递交</w:t>
      </w:r>
      <w:r>
        <w:rPr>
          <w:highlight w:val="none"/>
        </w:rPr>
        <w:tab/>
      </w:r>
      <w:r>
        <w:rPr>
          <w:highlight w:val="none"/>
        </w:rPr>
        <w:fldChar w:fldCharType="begin"/>
      </w:r>
      <w:r>
        <w:rPr>
          <w:highlight w:val="none"/>
        </w:rPr>
        <w:instrText xml:space="preserve"> PAGEREF _Toc29031 </w:instrText>
      </w:r>
      <w:r>
        <w:rPr>
          <w:highlight w:val="none"/>
        </w:rPr>
        <w:fldChar w:fldCharType="separate"/>
      </w:r>
      <w:r>
        <w:rPr>
          <w:highlight w:val="none"/>
        </w:rPr>
        <w:t>74</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_Toc7676 </w:instrText>
      </w:r>
      <w:r>
        <w:rPr>
          <w:smallCaps/>
          <w:highlight w:val="none"/>
          <w:shd w:val="clear" w:color="auto" w:fill="auto"/>
        </w:rPr>
        <w:fldChar w:fldCharType="separate"/>
      </w:r>
      <w:r>
        <w:rPr>
          <w:rFonts w:hint="eastAsia"/>
          <w:highlight w:val="none"/>
          <w:shd w:val="clear" w:color="auto" w:fill="auto"/>
        </w:rPr>
        <w:t>第四章 开标</w:t>
      </w:r>
      <w:r>
        <w:rPr>
          <w:highlight w:val="none"/>
        </w:rPr>
        <w:tab/>
      </w:r>
      <w:r>
        <w:rPr>
          <w:highlight w:val="none"/>
        </w:rPr>
        <w:fldChar w:fldCharType="begin"/>
      </w:r>
      <w:r>
        <w:rPr>
          <w:highlight w:val="none"/>
        </w:rPr>
        <w:instrText xml:space="preserve"> PAGEREF _Toc7676 </w:instrText>
      </w:r>
      <w:r>
        <w:rPr>
          <w:highlight w:val="none"/>
        </w:rPr>
        <w:fldChar w:fldCharType="separate"/>
      </w:r>
      <w:r>
        <w:rPr>
          <w:highlight w:val="none"/>
        </w:rPr>
        <w:t>77</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_Toc31218 </w:instrText>
      </w:r>
      <w:r>
        <w:rPr>
          <w:smallCaps/>
          <w:highlight w:val="none"/>
          <w:shd w:val="clear" w:color="auto" w:fill="auto"/>
        </w:rPr>
        <w:fldChar w:fldCharType="separate"/>
      </w:r>
      <w:r>
        <w:rPr>
          <w:rFonts w:hint="eastAsia"/>
          <w:highlight w:val="none"/>
          <w:shd w:val="clear" w:color="auto" w:fill="auto"/>
        </w:rPr>
        <w:t>第五章 评标要求</w:t>
      </w:r>
      <w:r>
        <w:rPr>
          <w:highlight w:val="none"/>
        </w:rPr>
        <w:tab/>
      </w:r>
      <w:r>
        <w:rPr>
          <w:highlight w:val="none"/>
        </w:rPr>
        <w:fldChar w:fldCharType="begin"/>
      </w:r>
      <w:r>
        <w:rPr>
          <w:highlight w:val="none"/>
        </w:rPr>
        <w:instrText xml:space="preserve"> PAGEREF _Toc31218 </w:instrText>
      </w:r>
      <w:r>
        <w:rPr>
          <w:highlight w:val="none"/>
        </w:rPr>
        <w:fldChar w:fldCharType="separate"/>
      </w:r>
      <w:r>
        <w:rPr>
          <w:highlight w:val="none"/>
        </w:rPr>
        <w:t>78</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_Toc15715 </w:instrText>
      </w:r>
      <w:r>
        <w:rPr>
          <w:smallCaps/>
          <w:highlight w:val="none"/>
          <w:shd w:val="clear" w:color="auto" w:fill="auto"/>
        </w:rPr>
        <w:fldChar w:fldCharType="separate"/>
      </w:r>
      <w:r>
        <w:rPr>
          <w:rFonts w:hint="eastAsia"/>
          <w:highlight w:val="none"/>
          <w:shd w:val="clear" w:color="auto" w:fill="auto"/>
        </w:rPr>
        <w:t>第六章 评标程序及评标方法</w:t>
      </w:r>
      <w:r>
        <w:rPr>
          <w:highlight w:val="none"/>
        </w:rPr>
        <w:tab/>
      </w:r>
      <w:r>
        <w:rPr>
          <w:highlight w:val="none"/>
        </w:rPr>
        <w:fldChar w:fldCharType="begin"/>
      </w:r>
      <w:r>
        <w:rPr>
          <w:highlight w:val="none"/>
        </w:rPr>
        <w:instrText xml:space="preserve"> PAGEREF _Toc15715 </w:instrText>
      </w:r>
      <w:r>
        <w:rPr>
          <w:highlight w:val="none"/>
        </w:rPr>
        <w:fldChar w:fldCharType="separate"/>
      </w:r>
      <w:r>
        <w:rPr>
          <w:highlight w:val="none"/>
        </w:rPr>
        <w:t>79</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_Toc14279 </w:instrText>
      </w:r>
      <w:r>
        <w:rPr>
          <w:smallCaps/>
          <w:highlight w:val="none"/>
          <w:shd w:val="clear" w:color="auto" w:fill="auto"/>
        </w:rPr>
        <w:fldChar w:fldCharType="separate"/>
      </w:r>
      <w:r>
        <w:rPr>
          <w:rFonts w:hint="eastAsia"/>
          <w:highlight w:val="none"/>
          <w:shd w:val="clear" w:color="auto" w:fill="auto"/>
        </w:rPr>
        <w:t>第七章 定标及公示</w:t>
      </w:r>
      <w:r>
        <w:rPr>
          <w:highlight w:val="none"/>
        </w:rPr>
        <w:tab/>
      </w:r>
      <w:r>
        <w:rPr>
          <w:highlight w:val="none"/>
        </w:rPr>
        <w:fldChar w:fldCharType="begin"/>
      </w:r>
      <w:r>
        <w:rPr>
          <w:highlight w:val="none"/>
        </w:rPr>
        <w:instrText xml:space="preserve"> PAGEREF _Toc14279 </w:instrText>
      </w:r>
      <w:r>
        <w:rPr>
          <w:highlight w:val="none"/>
        </w:rPr>
        <w:fldChar w:fldCharType="separate"/>
      </w:r>
      <w:r>
        <w:rPr>
          <w:highlight w:val="none"/>
        </w:rPr>
        <w:t>82</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_Toc23140 </w:instrText>
      </w:r>
      <w:r>
        <w:rPr>
          <w:smallCaps/>
          <w:highlight w:val="none"/>
          <w:shd w:val="clear" w:color="auto" w:fill="auto"/>
        </w:rPr>
        <w:fldChar w:fldCharType="separate"/>
      </w:r>
      <w:r>
        <w:rPr>
          <w:rFonts w:hint="eastAsia"/>
          <w:highlight w:val="none"/>
          <w:shd w:val="clear" w:color="auto" w:fill="auto"/>
        </w:rPr>
        <w:t>第八章 公开招标失败的后续处理</w:t>
      </w:r>
      <w:r>
        <w:rPr>
          <w:highlight w:val="none"/>
        </w:rPr>
        <w:tab/>
      </w:r>
      <w:r>
        <w:rPr>
          <w:highlight w:val="none"/>
        </w:rPr>
        <w:fldChar w:fldCharType="begin"/>
      </w:r>
      <w:r>
        <w:rPr>
          <w:highlight w:val="none"/>
        </w:rPr>
        <w:instrText xml:space="preserve"> PAGEREF _Toc23140 </w:instrText>
      </w:r>
      <w:r>
        <w:rPr>
          <w:highlight w:val="none"/>
        </w:rPr>
        <w:fldChar w:fldCharType="separate"/>
      </w:r>
      <w:r>
        <w:rPr>
          <w:highlight w:val="none"/>
        </w:rPr>
        <w:t>83</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_Toc23902 </w:instrText>
      </w:r>
      <w:r>
        <w:rPr>
          <w:smallCaps/>
          <w:highlight w:val="none"/>
          <w:shd w:val="clear" w:color="auto" w:fill="auto"/>
        </w:rPr>
        <w:fldChar w:fldCharType="separate"/>
      </w:r>
      <w:r>
        <w:rPr>
          <w:rFonts w:hint="eastAsia"/>
          <w:highlight w:val="none"/>
          <w:shd w:val="clear" w:color="auto" w:fill="auto"/>
        </w:rPr>
        <w:t>第九章 合同的授予与备案</w:t>
      </w:r>
      <w:r>
        <w:rPr>
          <w:highlight w:val="none"/>
        </w:rPr>
        <w:tab/>
      </w:r>
      <w:r>
        <w:rPr>
          <w:highlight w:val="none"/>
        </w:rPr>
        <w:fldChar w:fldCharType="begin"/>
      </w:r>
      <w:r>
        <w:rPr>
          <w:highlight w:val="none"/>
        </w:rPr>
        <w:instrText xml:space="preserve"> PAGEREF _Toc23902 </w:instrText>
      </w:r>
      <w:r>
        <w:rPr>
          <w:highlight w:val="none"/>
        </w:rPr>
        <w:fldChar w:fldCharType="separate"/>
      </w:r>
      <w:r>
        <w:rPr>
          <w:highlight w:val="none"/>
        </w:rPr>
        <w:t>86</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_Toc29548 </w:instrText>
      </w:r>
      <w:r>
        <w:rPr>
          <w:smallCaps/>
          <w:highlight w:val="none"/>
          <w:shd w:val="clear" w:color="auto" w:fill="auto"/>
        </w:rPr>
        <w:fldChar w:fldCharType="separate"/>
      </w:r>
      <w:r>
        <w:rPr>
          <w:rFonts w:hint="eastAsia"/>
          <w:highlight w:val="none"/>
          <w:shd w:val="clear" w:color="auto" w:fill="auto"/>
        </w:rPr>
        <w:t>第十章 质疑受理</w:t>
      </w:r>
      <w:r>
        <w:rPr>
          <w:highlight w:val="none"/>
        </w:rPr>
        <w:tab/>
      </w:r>
      <w:r>
        <w:rPr>
          <w:highlight w:val="none"/>
        </w:rPr>
        <w:fldChar w:fldCharType="begin"/>
      </w:r>
      <w:r>
        <w:rPr>
          <w:highlight w:val="none"/>
        </w:rPr>
        <w:instrText xml:space="preserve"> PAGEREF _Toc29548 </w:instrText>
      </w:r>
      <w:r>
        <w:rPr>
          <w:highlight w:val="none"/>
        </w:rPr>
        <w:fldChar w:fldCharType="separate"/>
      </w:r>
      <w:r>
        <w:rPr>
          <w:highlight w:val="none"/>
        </w:rPr>
        <w:t>87</w:t>
      </w:r>
      <w:r>
        <w:rPr>
          <w:highlight w:val="none"/>
        </w:rPr>
        <w:fldChar w:fldCharType="end"/>
      </w:r>
      <w:r>
        <w:rPr>
          <w:smallCaps/>
          <w:color w:val="auto"/>
          <w:highlight w:val="none"/>
          <w:shd w:val="clear" w:color="auto" w:fill="auto"/>
        </w:rPr>
        <w:fldChar w:fldCharType="end"/>
      </w:r>
    </w:p>
    <w:p>
      <w:pPr>
        <w:pStyle w:val="31"/>
        <w:tabs>
          <w:tab w:val="right" w:leader="dot" w:pos="8788"/>
          <w:tab w:val="clear" w:pos="426"/>
          <w:tab w:val="clear" w:pos="8789"/>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_Toc30205 </w:instrText>
      </w:r>
      <w:r>
        <w:rPr>
          <w:smallCaps/>
          <w:highlight w:val="none"/>
          <w:shd w:val="clear" w:color="auto" w:fill="auto"/>
        </w:rPr>
        <w:fldChar w:fldCharType="separate"/>
      </w:r>
      <w:r>
        <w:rPr>
          <w:rFonts w:hint="eastAsia"/>
          <w:highlight w:val="none"/>
          <w:shd w:val="clear" w:color="auto" w:fill="auto"/>
        </w:rPr>
        <w:t>招标代理服务取费说明</w:t>
      </w:r>
      <w:r>
        <w:rPr>
          <w:highlight w:val="none"/>
        </w:rPr>
        <w:tab/>
      </w:r>
      <w:r>
        <w:rPr>
          <w:highlight w:val="none"/>
        </w:rPr>
        <w:fldChar w:fldCharType="begin"/>
      </w:r>
      <w:r>
        <w:rPr>
          <w:highlight w:val="none"/>
        </w:rPr>
        <w:instrText xml:space="preserve"> PAGEREF _Toc30205 </w:instrText>
      </w:r>
      <w:r>
        <w:rPr>
          <w:highlight w:val="none"/>
        </w:rPr>
        <w:fldChar w:fldCharType="separate"/>
      </w:r>
      <w:r>
        <w:rPr>
          <w:highlight w:val="none"/>
        </w:rPr>
        <w:t>89</w:t>
      </w:r>
      <w:r>
        <w:rPr>
          <w:highlight w:val="none"/>
        </w:rPr>
        <w:fldChar w:fldCharType="end"/>
      </w:r>
      <w:r>
        <w:rPr>
          <w:smallCaps/>
          <w:color w:val="auto"/>
          <w:highlight w:val="none"/>
          <w:shd w:val="clear" w:color="auto" w:fill="auto"/>
        </w:rPr>
        <w:fldChar w:fldCharType="end"/>
      </w:r>
    </w:p>
    <w:p>
      <w:pPr>
        <w:tabs>
          <w:tab w:val="clear" w:pos="426"/>
        </w:tabs>
        <w:rPr>
          <w:color w:val="auto"/>
          <w:highlight w:val="none"/>
          <w:shd w:val="clear" w:color="auto" w:fill="auto"/>
        </w:rPr>
      </w:pPr>
      <w:r>
        <w:rPr>
          <w:smallCaps/>
          <w:color w:val="auto"/>
          <w:highlight w:val="none"/>
          <w:shd w:val="clear" w:color="auto" w:fill="auto"/>
        </w:rPr>
        <w:fldChar w:fldCharType="end"/>
      </w:r>
    </w:p>
    <w:p>
      <w:pPr>
        <w:tabs>
          <w:tab w:val="clear" w:pos="426"/>
        </w:tabs>
        <w:rPr>
          <w:color w:val="auto"/>
          <w:highlight w:val="none"/>
          <w:shd w:val="clear" w:color="auto" w:fill="auto"/>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color w:val="auto"/>
          <w:sz w:val="30"/>
          <w:szCs w:val="30"/>
          <w:highlight w:val="none"/>
          <w:shd w:val="clear" w:color="auto" w:fill="auto"/>
        </w:rPr>
      </w:pPr>
      <w:bookmarkStart w:id="0" w:name="_Toc26049"/>
      <w:bookmarkStart w:id="1" w:name="_Toc3628653"/>
      <w:bookmarkStart w:id="2" w:name="_Toc432592808"/>
      <w:r>
        <w:rPr>
          <w:rFonts w:hint="eastAsia"/>
          <w:color w:val="auto"/>
          <w:sz w:val="30"/>
          <w:szCs w:val="30"/>
          <w:highlight w:val="none"/>
          <w:shd w:val="clear" w:color="auto" w:fill="auto"/>
        </w:rPr>
        <w:t>警示条款</w:t>
      </w:r>
      <w:bookmarkEnd w:id="0"/>
      <w:bookmarkEnd w:id="1"/>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（一）在采购活动中应当回避而未回避的；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（二）未按本条例规定签订、履行采购合同，造成严重后果的；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（三）隐瞒真实情况，提供虚假资料的；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（四）以非法手段排斥其他供应商参与竞争的；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（五）与其他采购参加人串通投标的；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（六）恶意投诉的；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（七）向采购项目相关人行贿或者提供其他不当利益的；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（八）阻碍、抗拒主管部门监督检查的；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（九）其他违反本条例规定的行为。</w:t>
      </w:r>
    </w:p>
    <w:p>
      <w:pPr>
        <w:ind w:firstLine="560" w:firstLineChars="200"/>
        <w:rPr>
          <w:color w:val="auto"/>
          <w:sz w:val="28"/>
          <w:szCs w:val="28"/>
          <w:highlight w:val="none"/>
          <w:shd w:val="clear" w:color="auto" w:fill="auto"/>
        </w:rPr>
      </w:pPr>
    </w:p>
    <w:p>
      <w:pPr>
        <w:ind w:firstLine="560" w:firstLineChars="200"/>
        <w:rPr>
          <w:color w:val="auto"/>
          <w:sz w:val="28"/>
          <w:szCs w:val="28"/>
          <w:highlight w:val="none"/>
          <w:shd w:val="clear" w:color="auto" w:fill="auto"/>
        </w:rPr>
      </w:pPr>
    </w:p>
    <w:p>
      <w:pPr>
        <w:shd w:val="clear" w:color="auto" w:fill="auto"/>
        <w:tabs>
          <w:tab w:val="clear" w:pos="426"/>
        </w:tabs>
        <w:adjustRightInd/>
        <w:snapToGrid/>
        <w:spacing w:line="240" w:lineRule="auto"/>
        <w:jc w:val="left"/>
        <w:rPr>
          <w:rFonts w:ascii="Cambria" w:hAnsi="Cambria" w:cs="Times New Roman"/>
          <w:b/>
          <w:bCs/>
          <w:color w:val="auto"/>
          <w:kern w:val="28"/>
          <w:sz w:val="28"/>
          <w:szCs w:val="32"/>
          <w:highlight w:val="none"/>
          <w:shd w:val="clear" w:color="auto" w:fill="auto"/>
        </w:rPr>
      </w:pPr>
      <w:r>
        <w:rPr>
          <w:rFonts w:ascii="Cambria" w:hAnsi="Cambria" w:cs="Times New Roman"/>
          <w:b/>
          <w:bCs/>
          <w:color w:val="auto"/>
          <w:kern w:val="28"/>
          <w:sz w:val="28"/>
          <w:szCs w:val="32"/>
          <w:highlight w:val="none"/>
          <w:shd w:val="clear" w:color="auto" w:fill="auto"/>
        </w:rPr>
        <w:br w:type="page"/>
      </w:r>
    </w:p>
    <w:p>
      <w:pPr>
        <w:shd w:val="clear" w:color="auto" w:fill="auto"/>
        <w:tabs>
          <w:tab w:val="clear" w:pos="426"/>
        </w:tabs>
        <w:adjustRightInd/>
        <w:snapToGrid/>
        <w:spacing w:line="240" w:lineRule="auto"/>
        <w:jc w:val="left"/>
        <w:rPr>
          <w:rFonts w:ascii="Cambria" w:hAnsi="Cambria" w:cs="Times New Roman"/>
          <w:b/>
          <w:bCs/>
          <w:color w:val="auto"/>
          <w:kern w:val="28"/>
          <w:sz w:val="28"/>
          <w:szCs w:val="32"/>
          <w:highlight w:val="none"/>
          <w:shd w:val="clear" w:color="auto" w:fill="auto"/>
        </w:rPr>
      </w:pPr>
    </w:p>
    <w:p>
      <w:pPr>
        <w:pStyle w:val="33"/>
        <w:tabs>
          <w:tab w:val="clear" w:pos="426"/>
        </w:tabs>
        <w:rPr>
          <w:color w:val="auto"/>
          <w:highlight w:val="none"/>
          <w:shd w:val="clear" w:color="auto" w:fill="auto"/>
        </w:rPr>
      </w:pPr>
      <w:bookmarkStart w:id="3" w:name="_Toc30479"/>
      <w:bookmarkStart w:id="4" w:name="_Toc3628654"/>
      <w:r>
        <w:rPr>
          <w:rFonts w:hint="eastAsia"/>
          <w:color w:val="auto"/>
          <w:highlight w:val="none"/>
          <w:shd w:val="clear" w:color="auto" w:fill="auto"/>
        </w:rPr>
        <w:t>项目关键信息</w:t>
      </w:r>
      <w:bookmarkEnd w:id="2"/>
      <w:bookmarkEnd w:id="3"/>
      <w:bookmarkEnd w:id="4"/>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项目编号</w:t>
            </w:r>
          </w:p>
        </w:tc>
        <w:tc>
          <w:tcPr>
            <w:tcW w:w="6244" w:type="dxa"/>
            <w:vAlign w:val="center"/>
          </w:tcPr>
          <w:p>
            <w:pPr>
              <w:tabs>
                <w:tab w:val="clear" w:pos="426"/>
              </w:tabs>
              <w:adjustRightInd/>
              <w:snapToGrid/>
              <w:spacing w:line="240" w:lineRule="auto"/>
              <w:rPr>
                <w:rFonts w:hint="eastAsia" w:eastAsia="宋体"/>
                <w:color w:val="auto"/>
                <w:szCs w:val="21"/>
                <w:highlight w:val="none"/>
                <w:shd w:val="clear" w:color="auto" w:fill="auto"/>
                <w:lang w:eastAsia="zh-CN"/>
              </w:rPr>
            </w:pPr>
            <w:r>
              <w:rPr>
                <w:rFonts w:hint="eastAsia"/>
                <w:color w:val="auto"/>
                <w:szCs w:val="21"/>
                <w:highlight w:val="none"/>
                <w:shd w:val="clear" w:color="auto" w:fill="auto"/>
                <w:lang w:eastAsia="zh-CN"/>
              </w:rPr>
              <w:t xml:space="preserve"> PSDL2019153877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项目名称</w:t>
            </w:r>
          </w:p>
        </w:tc>
        <w:tc>
          <w:tcPr>
            <w:tcW w:w="6244" w:type="dxa"/>
            <w:vAlign w:val="center"/>
          </w:tcPr>
          <w:p>
            <w:pPr>
              <w:tabs>
                <w:tab w:val="clear" w:pos="426"/>
              </w:tabs>
              <w:adjustRightInd/>
              <w:snapToGrid/>
              <w:spacing w:line="240" w:lineRule="auto"/>
              <w:rPr>
                <w:rFonts w:hint="eastAsia" w:eastAsia="宋体"/>
                <w:color w:val="auto"/>
                <w:szCs w:val="21"/>
                <w:highlight w:val="none"/>
                <w:shd w:val="clear" w:color="auto" w:fill="auto"/>
                <w:lang w:eastAsia="zh-CN"/>
              </w:rPr>
            </w:pPr>
            <w:r>
              <w:rPr>
                <w:rFonts w:hint="eastAsia"/>
                <w:color w:val="auto"/>
                <w:szCs w:val="21"/>
                <w:highlight w:val="none"/>
                <w:shd w:val="clear" w:color="auto" w:fill="auto"/>
                <w:lang w:eastAsia="zh-CN"/>
              </w:rPr>
              <w:t>标识标牌系统优化项目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项目类型</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采购方式</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货币类型</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预算金额</w:t>
            </w:r>
          </w:p>
        </w:tc>
        <w:tc>
          <w:tcPr>
            <w:tcW w:w="6244" w:type="dxa"/>
            <w:vAlign w:val="center"/>
          </w:tcPr>
          <w:p>
            <w:pPr>
              <w:tabs>
                <w:tab w:val="clear" w:pos="426"/>
              </w:tabs>
              <w:adjustRightInd/>
              <w:snapToGrid/>
              <w:spacing w:line="240" w:lineRule="auto"/>
              <w:rPr>
                <w:bCs/>
                <w:color w:val="auto"/>
                <w:szCs w:val="21"/>
                <w:highlight w:val="none"/>
                <w:shd w:val="clear" w:color="auto" w:fill="auto"/>
              </w:rPr>
            </w:pPr>
            <w:r>
              <w:rPr>
                <w:rFonts w:hint="eastAsia" w:eastAsia="微软雅黑"/>
                <w:bCs/>
                <w:color w:val="auto"/>
                <w:szCs w:val="21"/>
                <w:highlight w:val="none"/>
                <w:shd w:val="clear" w:color="auto" w:fill="auto"/>
              </w:rPr>
              <w:t>¥</w:t>
            </w:r>
            <w:r>
              <w:rPr>
                <w:rFonts w:hint="eastAsia" w:eastAsia="微软雅黑"/>
                <w:bCs/>
                <w:color w:val="auto"/>
                <w:szCs w:val="21"/>
                <w:highlight w:val="none"/>
                <w:shd w:val="clear" w:color="auto" w:fill="auto"/>
                <w:lang w:eastAsia="zh-CN"/>
              </w:rPr>
              <w:t>1,267,594.2</w:t>
            </w:r>
            <w:r>
              <w:rPr>
                <w:rFonts w:hint="eastAsia"/>
                <w:bCs/>
                <w:color w:val="auto"/>
                <w:szCs w:val="21"/>
                <w:highlight w:val="none"/>
                <w:shd w:val="clear" w:color="auto" w:fill="auto"/>
              </w:rPr>
              <w:t>元（人民币</w:t>
            </w:r>
            <w:r>
              <w:rPr>
                <w:rFonts w:hint="eastAsia"/>
                <w:bCs/>
                <w:color w:val="auto"/>
                <w:szCs w:val="21"/>
                <w:highlight w:val="none"/>
                <w:shd w:val="clear" w:color="auto" w:fill="auto"/>
                <w:lang w:eastAsia="zh-CN"/>
              </w:rPr>
              <w:t xml:space="preserve">壹佰贰拾陆万柒仟伍佰玖拾肆元贰角 </w:t>
            </w:r>
            <w:r>
              <w:rPr>
                <w:rFonts w:hint="eastAsia"/>
                <w:bCs/>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color w:val="auto"/>
                <w:szCs w:val="21"/>
                <w:highlight w:val="none"/>
                <w:shd w:val="clear" w:color="auto" w:fill="auto"/>
              </w:rPr>
            </w:pPr>
            <w:r>
              <w:rPr>
                <w:rFonts w:hint="eastAsia"/>
                <w:bCs/>
                <w:color w:val="auto"/>
                <w:szCs w:val="21"/>
                <w:highlight w:val="none"/>
                <w:shd w:val="clear" w:color="auto" w:fill="auto"/>
              </w:rPr>
              <w:t>投标保证金</w:t>
            </w:r>
          </w:p>
        </w:tc>
        <w:tc>
          <w:tcPr>
            <w:tcW w:w="6244" w:type="dxa"/>
            <w:vAlign w:val="center"/>
          </w:tcPr>
          <w:p>
            <w:pPr>
              <w:tabs>
                <w:tab w:val="clear" w:pos="426"/>
              </w:tabs>
              <w:adjustRightInd/>
              <w:snapToGrid/>
              <w:spacing w:line="240" w:lineRule="auto"/>
              <w:rPr>
                <w:rFonts w:hint="eastAsia" w:eastAsia="宋体"/>
                <w:snapToGrid w:val="0"/>
                <w:color w:val="auto"/>
                <w:szCs w:val="21"/>
                <w:highlight w:val="none"/>
                <w:u w:val="single"/>
                <w:shd w:val="clear" w:color="auto" w:fill="auto"/>
                <w:lang w:val="zh-CN" w:eastAsia="zh-CN"/>
              </w:rPr>
            </w:pPr>
            <w:r>
              <w:rPr>
                <w:rFonts w:hint="eastAsia"/>
                <w:color w:val="auto"/>
                <w:szCs w:val="21"/>
                <w:highlight w:val="none"/>
                <w:shd w:val="clear" w:color="auto" w:fill="auto"/>
                <w:lang w:eastAsia="zh-CN"/>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评定分离</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sym w:font="Wingdings 2" w:char="00A3"/>
            </w:r>
            <w:r>
              <w:rPr>
                <w:rFonts w:hint="eastAsia"/>
                <w:color w:val="auto"/>
                <w:highlight w:val="none"/>
                <w:shd w:val="clear" w:color="auto" w:fill="auto"/>
              </w:rPr>
              <w:t xml:space="preserve">是             </w:t>
            </w:r>
            <w:r>
              <w:rPr>
                <w:rFonts w:hint="eastAsia"/>
                <w:color w:val="auto"/>
                <w:highlight w:val="none"/>
                <w:shd w:val="clear" w:color="auto" w:fill="auto"/>
              </w:rPr>
              <w:sym w:font="Wingdings 2" w:char="0052"/>
            </w:r>
            <w:r>
              <w:rPr>
                <w:rFonts w:hint="eastAsia"/>
                <w:color w:val="auto"/>
                <w:highlight w:val="none"/>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auto"/>
                <w:szCs w:val="21"/>
                <w:highlight w:val="none"/>
                <w:shd w:val="clear" w:color="auto" w:fill="auto"/>
              </w:rPr>
            </w:pPr>
            <w:r>
              <w:rPr>
                <w:rFonts w:hint="eastAsia"/>
                <w:bCs/>
                <w:color w:val="auto"/>
                <w:szCs w:val="21"/>
                <w:highlight w:val="none"/>
                <w:shd w:val="clear" w:color="auto" w:fill="auto"/>
              </w:rPr>
              <w:t>评标方法</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highlight w:val="none"/>
                <w:shd w:val="clear" w:color="auto" w:fill="auto"/>
              </w:rPr>
              <w:sym w:font="Wingdings 2" w:char="0052"/>
            </w:r>
            <w:r>
              <w:rPr>
                <w:rFonts w:hint="eastAsia"/>
                <w:color w:val="auto"/>
                <w:szCs w:val="21"/>
                <w:highlight w:val="none"/>
                <w:shd w:val="clear" w:color="auto" w:fill="auto"/>
              </w:rPr>
              <w:t xml:space="preserve">综合评分法     </w:t>
            </w:r>
            <w:r>
              <w:rPr>
                <w:rFonts w:hint="eastAsia"/>
                <w:color w:val="auto"/>
                <w:highlight w:val="none"/>
                <w:shd w:val="clear" w:color="auto" w:fill="auto"/>
              </w:rPr>
              <w:t>□</w:t>
            </w:r>
            <w:r>
              <w:rPr>
                <w:rFonts w:hint="eastAsia"/>
                <w:color w:val="auto"/>
                <w:szCs w:val="21"/>
                <w:highlight w:val="none"/>
                <w:shd w:val="clear" w:color="auto" w:fill="auto"/>
              </w:rPr>
              <w:t xml:space="preserve">定性评审法     </w:t>
            </w:r>
            <w:r>
              <w:rPr>
                <w:rFonts w:hint="eastAsia"/>
                <w:color w:val="auto"/>
                <w:highlight w:val="none"/>
                <w:shd w:val="clear" w:color="auto" w:fill="auto"/>
              </w:rPr>
              <w:t>□</w:t>
            </w:r>
            <w:r>
              <w:rPr>
                <w:rFonts w:hint="eastAsia"/>
                <w:color w:val="auto"/>
                <w:szCs w:val="21"/>
                <w:highlight w:val="none"/>
                <w:shd w:val="clear" w:color="auto" w:fill="auto"/>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auto"/>
                <w:szCs w:val="21"/>
                <w:highlight w:val="none"/>
                <w:shd w:val="clear" w:color="auto" w:fill="auto"/>
              </w:rPr>
            </w:pPr>
            <w:r>
              <w:rPr>
                <w:rFonts w:hint="eastAsia"/>
                <w:bCs/>
                <w:color w:val="auto"/>
                <w:szCs w:val="21"/>
                <w:highlight w:val="none"/>
                <w:shd w:val="clear" w:color="auto" w:fill="auto"/>
              </w:rPr>
              <w:t>定标方法</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highlight w:val="none"/>
                <w:shd w:val="clear" w:color="auto" w:fill="auto"/>
              </w:rPr>
              <w:t>□</w:t>
            </w:r>
            <w:r>
              <w:rPr>
                <w:rFonts w:hint="eastAsia"/>
                <w:color w:val="auto"/>
                <w:szCs w:val="21"/>
                <w:highlight w:val="none"/>
                <w:shd w:val="clear" w:color="auto" w:fill="auto"/>
              </w:rPr>
              <w:t xml:space="preserve">自定法         </w:t>
            </w:r>
            <w:r>
              <w:rPr>
                <w:rFonts w:hint="eastAsia"/>
                <w:color w:val="auto"/>
                <w:highlight w:val="none"/>
                <w:shd w:val="clear" w:color="auto" w:fill="auto"/>
              </w:rPr>
              <w:t>□</w:t>
            </w:r>
            <w:r>
              <w:rPr>
                <w:rFonts w:hint="eastAsia"/>
                <w:color w:val="auto"/>
                <w:szCs w:val="21"/>
                <w:highlight w:val="none"/>
                <w:shd w:val="clear" w:color="auto" w:fill="auto"/>
              </w:rPr>
              <w:t xml:space="preserve">抽签法         </w:t>
            </w:r>
            <w:r>
              <w:rPr>
                <w:rFonts w:hint="eastAsia"/>
                <w:color w:val="auto"/>
                <w:highlight w:val="none"/>
                <w:shd w:val="clear" w:color="auto" w:fill="auto"/>
              </w:rPr>
              <w:t>□</w:t>
            </w:r>
            <w:r>
              <w:rPr>
                <w:rFonts w:hint="eastAsia"/>
                <w:color w:val="auto"/>
                <w:szCs w:val="21"/>
                <w:highlight w:val="none"/>
                <w:shd w:val="clear" w:color="auto" w:fill="auto"/>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投标人的替代方案</w:t>
            </w:r>
          </w:p>
        </w:tc>
        <w:tc>
          <w:tcPr>
            <w:tcW w:w="6244" w:type="dxa"/>
            <w:vAlign w:val="center"/>
          </w:tcPr>
          <w:p>
            <w:pPr>
              <w:tabs>
                <w:tab w:val="clear" w:pos="426"/>
              </w:tabs>
              <w:adjustRightInd/>
              <w:snapToGrid/>
              <w:spacing w:line="240" w:lineRule="auto"/>
              <w:rPr>
                <w:color w:val="auto"/>
                <w:highlight w:val="none"/>
                <w:u w:val="single"/>
                <w:shd w:val="clear" w:color="auto" w:fill="auto"/>
              </w:rPr>
            </w:pPr>
            <w:r>
              <w:rPr>
                <w:rFonts w:hint="eastAsia"/>
                <w:color w:val="auto"/>
                <w:szCs w:val="21"/>
                <w:highlight w:val="none"/>
                <w:shd w:val="clear" w:color="auto" w:fil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投标有效期</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履约担保金额</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□不提交</w:t>
            </w:r>
            <w:r>
              <w:rPr>
                <w:color w:val="auto"/>
                <w:highlight w:val="none"/>
                <w:shd w:val="clear" w:color="auto" w:fill="auto"/>
              </w:rPr>
              <w:t xml:space="preserve"> </w:t>
            </w:r>
            <w:r>
              <w:rPr>
                <w:rFonts w:hint="eastAsia"/>
                <w:color w:val="auto"/>
                <w:highlight w:val="none"/>
                <w:shd w:val="clear" w:color="auto" w:fill="auto"/>
              </w:rPr>
              <w:t xml:space="preserve">     </w:t>
            </w:r>
            <w:r>
              <w:rPr>
                <w:color w:val="auto"/>
                <w:highlight w:val="none"/>
                <w:shd w:val="clear" w:color="auto" w:fill="auto"/>
              </w:rPr>
              <w:t xml:space="preserve">   </w:t>
            </w:r>
            <w:r>
              <w:rPr>
                <w:rFonts w:hint="eastAsia"/>
                <w:color w:val="auto"/>
                <w:highlight w:val="none"/>
                <w:shd w:val="clear" w:color="auto" w:fill="auto"/>
              </w:rPr>
              <w:sym w:font="Wingdings 2" w:char="0052"/>
            </w:r>
            <w:r>
              <w:rPr>
                <w:color w:val="auto"/>
                <w:highlight w:val="none"/>
                <w:shd w:val="clear" w:color="auto" w:fill="auto"/>
              </w:rPr>
              <w:t>提交</w:t>
            </w:r>
          </w:p>
          <w:p>
            <w:pPr>
              <w:tabs>
                <w:tab w:val="clear" w:pos="426"/>
              </w:tabs>
              <w:adjustRightInd/>
              <w:snapToGrid/>
              <w:spacing w:line="240" w:lineRule="auto"/>
              <w:rPr>
                <w:rFonts w:hint="default" w:eastAsia="宋体"/>
                <w:color w:val="auto"/>
                <w:highlight w:val="none"/>
                <w:shd w:val="clear" w:color="auto" w:fill="auto"/>
                <w:lang w:val="en-US" w:eastAsia="zh-CN"/>
              </w:rPr>
            </w:pPr>
            <w:r>
              <w:rPr>
                <w:rFonts w:hint="eastAsia"/>
                <w:color w:val="auto"/>
                <w:highlight w:val="none"/>
                <w:shd w:val="clear" w:color="auto" w:fill="auto"/>
              </w:rPr>
              <w:t>担保金额：</w:t>
            </w:r>
            <w:r>
              <w:rPr>
                <w:rFonts w:hint="eastAsia"/>
                <w:color w:val="auto"/>
                <w:highlight w:val="none"/>
                <w:u w:val="single"/>
                <w:shd w:val="clear" w:color="auto" w:fill="auto"/>
                <w:lang w:val="en-US" w:eastAsia="zh-CN"/>
              </w:rPr>
              <w:t>详见第三章采购需求。</w:t>
            </w:r>
          </w:p>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投标文件份数</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投标文件电子档</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电子光盘一张（投标文件正本盖章后的彩色扫描件，</w:t>
            </w:r>
            <w:r>
              <w:rPr>
                <w:color w:val="auto"/>
                <w:highlight w:val="none"/>
                <w:shd w:val="clear" w:color="auto" w:fill="auto"/>
              </w:rPr>
              <w:t>PDF格式）</w:t>
            </w:r>
          </w:p>
        </w:tc>
      </w:tr>
    </w:tbl>
    <w:p>
      <w:pPr>
        <w:widowControl w:val="0"/>
        <w:shd w:val="clear" w:color="auto" w:fill="auto"/>
        <w:tabs>
          <w:tab w:val="clear" w:pos="426"/>
        </w:tabs>
        <w:adjustRightInd/>
        <w:snapToGrid/>
        <w:spacing w:line="240" w:lineRule="auto"/>
        <w:jc w:val="left"/>
        <w:rPr>
          <w:rFonts w:ascii="Calibri" w:hAnsi="Calibri" w:cs="Times New Roman"/>
          <w:b/>
          <w:color w:val="auto"/>
          <w:kern w:val="2"/>
          <w:szCs w:val="22"/>
          <w:highlight w:val="none"/>
          <w:shd w:val="clear" w:color="auto" w:fill="auto"/>
        </w:rPr>
      </w:pPr>
    </w:p>
    <w:p>
      <w:pPr>
        <w:pStyle w:val="33"/>
        <w:tabs>
          <w:tab w:val="clear" w:pos="426"/>
        </w:tabs>
        <w:rPr>
          <w:color w:val="auto"/>
          <w:highlight w:val="none"/>
          <w:shd w:val="clear" w:color="auto" w:fill="auto"/>
        </w:rPr>
      </w:pPr>
      <w:r>
        <w:rPr>
          <w:color w:val="auto"/>
          <w:highlight w:val="none"/>
          <w:shd w:val="clear" w:color="auto" w:fill="auto"/>
        </w:rPr>
        <w:br w:type="page"/>
      </w:r>
      <w:bookmarkStart w:id="5" w:name="_Toc13529"/>
      <w:r>
        <w:rPr>
          <w:rFonts w:hint="eastAsia"/>
          <w:color w:val="auto"/>
          <w:highlight w:val="none"/>
          <w:shd w:val="clear" w:color="auto" w:fill="auto"/>
        </w:rPr>
        <w:t>资格、符合性评审条款</w:t>
      </w:r>
      <w:bookmarkEnd w:id="5"/>
    </w:p>
    <w:p>
      <w:pPr>
        <w:jc w:val="center"/>
        <w:rPr>
          <w:b/>
          <w:color w:val="auto"/>
          <w:highlight w:val="none"/>
          <w:shd w:val="clear" w:color="auto" w:fill="auto"/>
        </w:rPr>
      </w:pPr>
      <w:r>
        <w:rPr>
          <w:rFonts w:hint="eastAsia"/>
          <w:b/>
          <w:color w:val="auto"/>
          <w:highlight w:val="none"/>
          <w:shd w:val="clear" w:color="auto" w:fill="auto"/>
        </w:rPr>
        <w:t>（凡有下列情形之一的，投标文件无效，投标作无效标处理</w:t>
      </w:r>
      <w:r>
        <w:rPr>
          <w:rFonts w:hint="eastAsia" w:ascii="黑体" w:eastAsia="黑体"/>
          <w:color w:val="auto"/>
          <w:szCs w:val="21"/>
          <w:highlight w:val="none"/>
          <w:shd w:val="clear" w:color="auto" w:fill="auto"/>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7883"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color w:val="auto"/>
                <w:highlight w:val="none"/>
                <w:shd w:val="clear" w:color="auto" w:fill="auto"/>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未按招标文件所提供的样式填写</w:t>
            </w:r>
            <w:r>
              <w:rPr>
                <w:color w:val="auto"/>
                <w:highlight w:val="none"/>
                <w:shd w:val="clear" w:color="auto" w:fill="auto"/>
              </w:rPr>
              <w:t>《</w:t>
            </w:r>
            <w:r>
              <w:rPr>
                <w:rFonts w:hint="eastAsia"/>
                <w:color w:val="auto"/>
                <w:highlight w:val="none"/>
                <w:shd w:val="clear" w:color="auto" w:fill="auto"/>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color w:val="auto"/>
                <w:szCs w:val="21"/>
                <w:highlight w:val="none"/>
                <w:shd w:val="clear" w:color="auto" w:fill="auto"/>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spacing w:line="240" w:lineRule="auto"/>
              <w:jc w:val="left"/>
              <w:rPr>
                <w:color w:val="auto"/>
                <w:highlight w:val="none"/>
                <w:shd w:val="clear" w:color="auto" w:fill="auto"/>
              </w:rPr>
            </w:pPr>
            <w:r>
              <w:rPr>
                <w:rFonts w:hint="eastAsia"/>
                <w:color w:val="auto"/>
                <w:highlight w:val="none"/>
                <w:shd w:val="clear" w:color="auto" w:fill="auto"/>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spacing w:line="240" w:lineRule="auto"/>
              <w:jc w:val="left"/>
              <w:rPr>
                <w:color w:val="auto"/>
                <w:highlight w:val="none"/>
                <w:shd w:val="clear" w:color="auto" w:fill="auto"/>
              </w:rPr>
            </w:pPr>
            <w:r>
              <w:rPr>
                <w:rFonts w:hint="eastAsia"/>
                <w:color w:val="auto"/>
                <w:highlight w:val="none"/>
                <w:shd w:val="clear" w:color="auto" w:fill="auto"/>
              </w:rPr>
              <w:t>投标文件载明的</w:t>
            </w:r>
            <w:r>
              <w:rPr>
                <w:rFonts w:hint="eastAsia"/>
                <w:color w:val="auto"/>
                <w:highlight w:val="none"/>
                <w:shd w:val="clear" w:color="auto" w:fill="auto"/>
                <w:lang w:eastAsia="zh-CN"/>
              </w:rPr>
              <w:t>保修期</w:t>
            </w:r>
            <w:r>
              <w:rPr>
                <w:rFonts w:hint="eastAsia"/>
                <w:color w:val="auto"/>
                <w:highlight w:val="none"/>
                <w:shd w:val="clear" w:color="auto" w:fill="auto"/>
              </w:rPr>
              <w:t>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《技术规格偏离表》填写不全、不明或不实；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法律、法规规定的属于投标无效的其他情形。</w:t>
            </w:r>
          </w:p>
        </w:tc>
      </w:tr>
    </w:tbl>
    <w:p>
      <w:pPr>
        <w:pStyle w:val="33"/>
        <w:widowControl w:val="0"/>
        <w:shd w:val="clear" w:color="auto" w:fill="auto"/>
        <w:tabs>
          <w:tab w:val="clear" w:pos="426"/>
        </w:tabs>
        <w:adjustRightInd/>
        <w:snapToGrid/>
        <w:jc w:val="both"/>
        <w:outlineLvl w:val="9"/>
        <w:rPr>
          <w:color w:val="auto"/>
          <w:sz w:val="21"/>
          <w:szCs w:val="21"/>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pStyle w:val="33"/>
        <w:tabs>
          <w:tab w:val="clear" w:pos="426"/>
        </w:tabs>
        <w:rPr>
          <w:color w:val="auto"/>
          <w:highlight w:val="none"/>
          <w:shd w:val="clear" w:color="auto" w:fill="auto"/>
        </w:rPr>
      </w:pPr>
      <w:r>
        <w:rPr>
          <w:color w:val="auto"/>
          <w:sz w:val="24"/>
          <w:highlight w:val="none"/>
          <w:shd w:val="clear" w:color="auto" w:fill="auto"/>
        </w:rPr>
        <w:br w:type="page"/>
      </w:r>
      <w:bookmarkStart w:id="6" w:name="_Toc3628656"/>
      <w:bookmarkStart w:id="7" w:name="_Toc206"/>
      <w:bookmarkStart w:id="8" w:name="_Toc435514846"/>
      <w:r>
        <w:rPr>
          <w:color w:val="auto"/>
          <w:highlight w:val="none"/>
          <w:shd w:val="clear" w:color="auto" w:fill="auto"/>
        </w:rPr>
        <w:t>评标信息</w:t>
      </w:r>
      <w:bookmarkEnd w:id="6"/>
      <w:bookmarkEnd w:id="7"/>
    </w:p>
    <w:p>
      <w:pPr>
        <w:widowControl w:val="0"/>
        <w:shd w:val="clear" w:color="auto" w:fill="auto"/>
        <w:tabs>
          <w:tab w:val="clear" w:pos="426"/>
        </w:tabs>
        <w:adjustRightInd/>
        <w:snapToGrid/>
        <w:spacing w:line="300" w:lineRule="auto"/>
        <w:ind w:firstLine="422" w:firstLineChars="200"/>
        <w:rPr>
          <w:b/>
          <w:color w:val="auto"/>
          <w:szCs w:val="21"/>
          <w:highlight w:val="none"/>
          <w:shd w:val="clear" w:color="auto" w:fill="auto"/>
        </w:rPr>
      </w:pPr>
      <w:r>
        <w:rPr>
          <w:b/>
          <w:color w:val="auto"/>
          <w:szCs w:val="21"/>
          <w:highlight w:val="none"/>
          <w:shd w:val="clear" w:color="auto" w:fill="auto"/>
        </w:rPr>
        <w:t>1.本项目的评审办法采用：综合评分法。</w:t>
      </w:r>
      <w:r>
        <w:rPr>
          <w:rFonts w:hint="eastAsia"/>
          <w:b/>
          <w:color w:val="auto"/>
          <w:szCs w:val="21"/>
          <w:highlight w:val="none"/>
          <w:shd w:val="clear" w:color="auto" w:fill="auto"/>
        </w:rPr>
        <w:t>本招标文件所述评标方法和定标方法与招标文件《通用条款</w:t>
      </w:r>
      <w:r>
        <w:rPr>
          <w:b/>
          <w:color w:val="auto"/>
          <w:szCs w:val="21"/>
          <w:highlight w:val="none"/>
          <w:shd w:val="clear" w:color="auto" w:fill="auto"/>
        </w:rPr>
        <w:t>》所述不一致之处，以以下方法为准。</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color w:val="auto"/>
          <w:szCs w:val="21"/>
          <w:highlight w:val="none"/>
          <w:shd w:val="clear" w:color="auto" w:fill="auto"/>
        </w:rPr>
        <w:t>中标人数量为：1家。</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color w:val="auto"/>
          <w:szCs w:val="21"/>
          <w:highlight w:val="none"/>
          <w:shd w:val="clear" w:color="auto" w:fill="auto"/>
        </w:rPr>
        <w:t>。经采购人同意后，确定为中标人。</w:t>
      </w:r>
    </w:p>
    <w:p>
      <w:pPr>
        <w:tabs>
          <w:tab w:val="clear" w:pos="426"/>
        </w:tabs>
        <w:spacing w:line="300" w:lineRule="auto"/>
        <w:ind w:firstLine="420" w:firstLineChars="200"/>
        <w:rPr>
          <w:rFonts w:cs="Times New Roman"/>
          <w:b/>
          <w:bCs/>
          <w:color w:val="auto"/>
          <w:kern w:val="2"/>
          <w:szCs w:val="21"/>
          <w:highlight w:val="none"/>
          <w:shd w:val="clear" w:color="auto" w:fill="auto"/>
        </w:rPr>
      </w:pPr>
      <w:r>
        <w:rPr>
          <w:rFonts w:hint="eastAsia"/>
          <w:color w:val="auto"/>
          <w:szCs w:val="21"/>
          <w:highlight w:val="none"/>
          <w:shd w:val="clear" w:color="auto" w:fill="auto"/>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color w:val="auto"/>
          <w:kern w:val="2"/>
          <w:szCs w:val="21"/>
          <w:highlight w:val="none"/>
          <w:shd w:val="clear" w:color="auto" w:fill="auto"/>
        </w:rPr>
        <w:t>采取随机抽取方式确定</w:t>
      </w:r>
      <w:r>
        <w:rPr>
          <w:rFonts w:hint="eastAsia" w:cs="Times New Roman"/>
          <w:bCs/>
          <w:color w:val="auto"/>
          <w:kern w:val="2"/>
          <w:szCs w:val="21"/>
          <w:highlight w:val="none"/>
          <w:shd w:val="clear" w:color="auto" w:fill="auto"/>
        </w:rPr>
        <w:t>候选</w:t>
      </w:r>
      <w:r>
        <w:rPr>
          <w:rFonts w:cs="Times New Roman"/>
          <w:bCs/>
          <w:color w:val="auto"/>
          <w:kern w:val="2"/>
          <w:szCs w:val="21"/>
          <w:highlight w:val="none"/>
          <w:shd w:val="clear" w:color="auto" w:fill="auto"/>
        </w:rPr>
        <w:t>中标人推荐资格</w:t>
      </w:r>
      <w:r>
        <w:rPr>
          <w:rFonts w:hint="eastAsia" w:cs="Times New Roman"/>
          <w:bCs/>
          <w:color w:val="auto"/>
          <w:kern w:val="2"/>
          <w:szCs w:val="21"/>
          <w:highlight w:val="none"/>
          <w:shd w:val="clear" w:color="auto" w:fill="auto"/>
        </w:rPr>
        <w:t>。</w:t>
      </w:r>
    </w:p>
    <w:p>
      <w:pPr>
        <w:tabs>
          <w:tab w:val="clear" w:pos="426"/>
        </w:tabs>
        <w:spacing w:line="300" w:lineRule="auto"/>
        <w:ind w:firstLine="420" w:firstLineChars="200"/>
        <w:rPr>
          <w:color w:val="auto"/>
          <w:highlight w:val="none"/>
          <w:shd w:val="clear" w:color="auto" w:fill="auto"/>
        </w:rPr>
      </w:pPr>
      <w:r>
        <w:rPr>
          <w:rFonts w:hint="eastAsia"/>
          <w:color w:val="auto"/>
          <w:highlight w:val="none"/>
          <w:shd w:val="clear" w:color="auto" w:fil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2</w:t>
      </w:r>
      <w:r>
        <w:rPr>
          <w:color w:val="auto"/>
          <w:szCs w:val="21"/>
          <w:highlight w:val="none"/>
          <w:shd w:val="clear" w:color="auto" w:fill="auto"/>
        </w:rPr>
        <w:t>.价格分计算方法：</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依据《</w:t>
      </w:r>
      <w:r>
        <w:rPr>
          <w:color w:val="auto"/>
          <w:szCs w:val="21"/>
          <w:highlight w:val="none"/>
          <w:shd w:val="clear" w:color="auto" w:fill="auto"/>
        </w:rPr>
        <w:t>深圳市财政委员会关于严格执行财政部87号令价格分计算规定的通知</w:t>
      </w:r>
      <w:r>
        <w:rPr>
          <w:rFonts w:hint="eastAsia"/>
          <w:color w:val="auto"/>
          <w:szCs w:val="21"/>
          <w:highlight w:val="none"/>
          <w:shd w:val="clear" w:color="auto" w:fill="auto"/>
        </w:rPr>
        <w:t>》（深财购〔</w:t>
      </w:r>
      <w:r>
        <w:rPr>
          <w:color w:val="auto"/>
          <w:szCs w:val="21"/>
          <w:highlight w:val="none"/>
          <w:shd w:val="clear" w:color="auto" w:fill="auto"/>
        </w:rPr>
        <w:t>2018〕33号</w:t>
      </w:r>
      <w:r>
        <w:rPr>
          <w:rFonts w:hint="eastAsia"/>
          <w:color w:val="auto"/>
          <w:szCs w:val="21"/>
          <w:highlight w:val="none"/>
          <w:shd w:val="clear" w:color="auto" w:fill="auto"/>
        </w:rPr>
        <w:t>）、《</w:t>
      </w:r>
      <w:r>
        <w:rPr>
          <w:color w:val="auto"/>
          <w:szCs w:val="21"/>
          <w:highlight w:val="none"/>
          <w:shd w:val="clear" w:color="auto" w:fill="auto"/>
        </w:rPr>
        <w:t>政府采购货物和服务招标投标管理办法</w:t>
      </w:r>
      <w:r>
        <w:rPr>
          <w:rFonts w:hint="eastAsia"/>
          <w:color w:val="auto"/>
          <w:szCs w:val="21"/>
          <w:highlight w:val="none"/>
          <w:shd w:val="clear" w:color="auto" w:fill="auto"/>
        </w:rPr>
        <w:t>》（财政部令第</w:t>
      </w:r>
      <w:r>
        <w:rPr>
          <w:color w:val="auto"/>
          <w:szCs w:val="21"/>
          <w:highlight w:val="none"/>
          <w:shd w:val="clear" w:color="auto" w:fill="auto"/>
        </w:rPr>
        <w:t>87号）</w:t>
      </w:r>
      <w:r>
        <w:rPr>
          <w:rFonts w:hint="eastAsia"/>
          <w:color w:val="auto"/>
          <w:szCs w:val="21"/>
          <w:highlight w:val="none"/>
          <w:shd w:val="clear" w:color="auto" w:fill="auto"/>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投标报价得分</w:t>
      </w:r>
      <w:r>
        <w:rPr>
          <w:color w:val="auto"/>
          <w:szCs w:val="21"/>
          <w:highlight w:val="none"/>
          <w:shd w:val="clear" w:color="auto" w:fill="auto"/>
        </w:rPr>
        <w:t>=(评标基准价／投标报价)×100</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评标总得分＝</w:t>
      </w:r>
      <w:r>
        <w:rPr>
          <w:color w:val="auto"/>
          <w:szCs w:val="21"/>
          <w:highlight w:val="none"/>
          <w:shd w:val="clear" w:color="auto" w:fill="auto"/>
        </w:rPr>
        <w:t>F1×A1＋F2×A2＋……＋Fn×An</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F1、F2……Fn分别为各项评审因素的得分；</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A1、A2、……An 分别为各项评审因素所占的权重(A1＋A2＋……＋An＝1)。</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评标过程中，不得去掉报价中的最高报价和最低报价。</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因落实政府采购政策进行价格调整的，以调整后的价格计算评标基准价和投标报价。</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在实际评标过程中，《评分细则表》中的“分值”项为各项评审因素的实际分</w:t>
      </w:r>
      <w:r>
        <w:rPr>
          <w:color w:val="auto"/>
          <w:szCs w:val="21"/>
          <w:highlight w:val="none"/>
          <w:shd w:val="clear" w:color="auto" w:fill="auto"/>
        </w:rPr>
        <w:t>Sn，Sn=Fn×An，评标总得分=S1＋S2＋……＋Sn，投标报价的实际分=(评标基准价／投标报价)×100×价格权重。</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3.</w:t>
      </w:r>
      <w:r>
        <w:rPr>
          <w:rFonts w:hint="eastAsia"/>
          <w:color w:val="auto"/>
          <w:szCs w:val="21"/>
          <w:highlight w:val="none"/>
          <w:shd w:val="clear" w:color="auto" w:fill="auto"/>
        </w:rPr>
        <w:t>评标优惠政策</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color w:val="auto"/>
          <w:szCs w:val="21"/>
          <w:highlight w:val="none"/>
          <w:u w:val="single"/>
          <w:shd w:val="clear" w:color="auto" w:fill="auto"/>
        </w:rPr>
        <w:t xml:space="preserve"> 6 </w:t>
      </w:r>
      <w:r>
        <w:rPr>
          <w:color w:val="auto"/>
          <w:szCs w:val="21"/>
          <w:highlight w:val="none"/>
          <w:shd w:val="clear" w:color="auto" w:fill="auto"/>
        </w:rPr>
        <w:t>%后参与评审。对于同时属于小微企业、监狱企业或残疾人福利性</w:t>
      </w:r>
      <w:r>
        <w:rPr>
          <w:rFonts w:hint="eastAsia"/>
          <w:color w:val="auto"/>
          <w:szCs w:val="21"/>
          <w:highlight w:val="none"/>
          <w:shd w:val="clear" w:color="auto" w:fill="auto"/>
        </w:rPr>
        <w:t>单位的，不重复进行投标报价扣除。如有其它政策支持因素（如鼓励创新等）需一并列出。</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3.2.联合协议中约定，小型、微型企业、残疾人福利性单位和监狱企业的协议合同金额占到联合体协议合同总金额30%以上的，可给予联合体</w:t>
      </w:r>
      <w:r>
        <w:rPr>
          <w:color w:val="auto"/>
          <w:szCs w:val="21"/>
          <w:highlight w:val="none"/>
          <w:u w:val="single"/>
          <w:shd w:val="clear" w:color="auto" w:fill="auto"/>
        </w:rPr>
        <w:t xml:space="preserve"> 2 </w:t>
      </w:r>
      <w:r>
        <w:rPr>
          <w:color w:val="auto"/>
          <w:szCs w:val="21"/>
          <w:highlight w:val="none"/>
          <w:shd w:val="clear" w:color="auto" w:fill="auto"/>
        </w:rPr>
        <w:t>% （请在2%-3%范围内选择）的价格扣除。</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联合体各方均为小型、微型企业和监狱企业的，联合体视同为小型、微型企业和监狱企业，均享受</w:t>
      </w:r>
      <w:r>
        <w:rPr>
          <w:rFonts w:hint="eastAsia"/>
          <w:b/>
          <w:color w:val="auto"/>
          <w:szCs w:val="21"/>
          <w:highlight w:val="none"/>
          <w:shd w:val="clear" w:color="auto" w:fill="auto"/>
        </w:rPr>
        <w:t>评标优惠政策</w:t>
      </w:r>
      <w:r>
        <w:rPr>
          <w:rFonts w:hint="eastAsia"/>
          <w:color w:val="auto"/>
          <w:szCs w:val="21"/>
          <w:highlight w:val="none"/>
          <w:shd w:val="clear" w:color="auto" w:fill="auto"/>
        </w:rPr>
        <w:t>第一款的优惠政策。</w:t>
      </w:r>
    </w:p>
    <w:p>
      <w:pPr>
        <w:tabs>
          <w:tab w:val="clear" w:pos="426"/>
        </w:tabs>
        <w:spacing w:line="300" w:lineRule="auto"/>
        <w:ind w:firstLine="422" w:firstLineChars="200"/>
        <w:rPr>
          <w:b/>
          <w:color w:val="auto"/>
          <w:szCs w:val="21"/>
          <w:highlight w:val="none"/>
          <w:shd w:val="clear" w:color="auto" w:fill="auto"/>
        </w:rPr>
      </w:pPr>
      <w:r>
        <w:rPr>
          <w:b/>
          <w:color w:val="auto"/>
          <w:szCs w:val="21"/>
          <w:highlight w:val="none"/>
          <w:shd w:val="clear" w:color="auto" w:fill="auto"/>
        </w:rPr>
        <w:t>3.3.</w:t>
      </w:r>
      <w:r>
        <w:rPr>
          <w:rFonts w:hint="eastAsia"/>
          <w:b/>
          <w:color w:val="auto"/>
          <w:szCs w:val="21"/>
          <w:highlight w:val="none"/>
          <w:shd w:val="clear" w:color="auto" w:fill="auto"/>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4.评标专家应对通过投标文件初审进入评标程序的投标文件先评技术标、再评商务标；</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5.评标专家需按招标文件规定的评审标准对投标人提交的投标文件进行评审，投标文件中与评审标准无关的内容不作为评审内容</w:t>
      </w:r>
      <w:r>
        <w:rPr>
          <w:rFonts w:hint="eastAsia"/>
          <w:color w:val="auto"/>
          <w:szCs w:val="21"/>
          <w:highlight w:val="none"/>
          <w:shd w:val="clear" w:color="auto" w:fill="auto"/>
        </w:rPr>
        <w:t>。</w:t>
      </w:r>
    </w:p>
    <w:p>
      <w:pPr>
        <w:widowControl w:val="0"/>
        <w:shd w:val="clear" w:color="auto" w:fill="auto"/>
        <w:tabs>
          <w:tab w:val="clear" w:pos="426"/>
        </w:tabs>
        <w:adjustRightInd/>
        <w:snapToGrid/>
        <w:ind w:left="420"/>
        <w:rPr>
          <w:color w:val="auto"/>
          <w:szCs w:val="21"/>
          <w:highlight w:val="none"/>
          <w:shd w:val="clear" w:color="auto" w:fill="auto"/>
        </w:rPr>
      </w:pPr>
      <w:r>
        <w:rPr>
          <w:color w:val="auto"/>
          <w:szCs w:val="21"/>
          <w:highlight w:val="none"/>
          <w:shd w:val="clear" w:color="auto" w:fill="auto"/>
        </w:rPr>
        <w:t>6.</w:t>
      </w:r>
      <w:r>
        <w:rPr>
          <w:rFonts w:hint="eastAsia"/>
          <w:color w:val="auto"/>
          <w:szCs w:val="21"/>
          <w:highlight w:val="none"/>
          <w:shd w:val="clear" w:color="auto" w:fill="auto"/>
        </w:rPr>
        <w:t>评标委员会在评标时，应按照以下量化的评审因素，对各投标文件进行分析和比较：</w:t>
      </w:r>
    </w:p>
    <w:p>
      <w:pPr>
        <w:tabs>
          <w:tab w:val="clear" w:pos="426"/>
        </w:tabs>
        <w:spacing w:line="300" w:lineRule="auto"/>
        <w:ind w:firstLine="422" w:firstLineChars="200"/>
        <w:rPr>
          <w:b/>
          <w:color w:val="auto"/>
          <w:szCs w:val="21"/>
          <w:highlight w:val="none"/>
          <w:shd w:val="clear" w:color="auto" w:fill="auto"/>
        </w:rPr>
      </w:pPr>
      <w:bookmarkStart w:id="9" w:name="_Hlk535523259"/>
    </w:p>
    <w:p>
      <w:pPr>
        <w:tabs>
          <w:tab w:val="clear" w:pos="426"/>
        </w:tabs>
        <w:spacing w:line="300" w:lineRule="auto"/>
        <w:ind w:firstLine="422" w:firstLineChars="200"/>
        <w:rPr>
          <w:b/>
          <w:color w:val="auto"/>
          <w:szCs w:val="21"/>
          <w:highlight w:val="none"/>
          <w:shd w:val="clear" w:color="auto" w:fill="auto"/>
        </w:rPr>
      </w:pPr>
    </w:p>
    <w:p>
      <w:pPr>
        <w:tabs>
          <w:tab w:val="clear" w:pos="426"/>
        </w:tabs>
        <w:spacing w:line="300" w:lineRule="auto"/>
        <w:ind w:firstLine="422" w:firstLineChars="200"/>
        <w:rPr>
          <w:b/>
          <w:color w:val="auto"/>
          <w:szCs w:val="21"/>
          <w:highlight w:val="none"/>
          <w:shd w:val="clear" w:color="auto" w:fill="auto"/>
        </w:rPr>
      </w:pPr>
    </w:p>
    <w:p>
      <w:pPr>
        <w:tabs>
          <w:tab w:val="clear" w:pos="426"/>
        </w:tabs>
        <w:spacing w:line="300" w:lineRule="auto"/>
        <w:ind w:firstLine="560" w:firstLineChars="200"/>
        <w:rPr>
          <w:color w:val="auto"/>
          <w:sz w:val="28"/>
          <w:szCs w:val="28"/>
          <w:highlight w:val="none"/>
          <w:shd w:val="clear" w:color="auto" w:fill="auto"/>
        </w:rPr>
      </w:pPr>
    </w:p>
    <w:bookmarkEnd w:id="8"/>
    <w:bookmarkEnd w:id="9"/>
    <w:p>
      <w:pPr>
        <w:pStyle w:val="33"/>
        <w:widowControl w:val="0"/>
        <w:shd w:val="clear" w:color="auto" w:fill="auto"/>
        <w:tabs>
          <w:tab w:val="clear" w:pos="426"/>
        </w:tabs>
        <w:adjustRightInd/>
        <w:snapToGrid/>
        <w:outlineLvl w:val="9"/>
        <w:rPr>
          <w:rFonts w:ascii="宋体" w:hAnsi="宋体"/>
          <w:bCs w:val="0"/>
          <w:color w:val="auto"/>
          <w:sz w:val="24"/>
          <w:szCs w:val="24"/>
          <w:highlight w:val="none"/>
          <w:shd w:val="clear" w:color="auto" w:fill="auto"/>
        </w:rPr>
      </w:pPr>
      <w:r>
        <w:rPr>
          <w:bCs w:val="0"/>
          <w:color w:val="auto"/>
          <w:sz w:val="24"/>
          <w:highlight w:val="none"/>
          <w:shd w:val="clear" w:color="auto" w:fill="auto"/>
        </w:rPr>
        <w:br w:type="page"/>
      </w:r>
      <w:bookmarkStart w:id="10" w:name="_Toc15778"/>
      <w:r>
        <w:rPr>
          <w:rFonts w:hint="eastAsia" w:ascii="宋体" w:hAnsi="宋体"/>
          <w:bCs w:val="0"/>
          <w:color w:val="auto"/>
          <w:sz w:val="24"/>
          <w:szCs w:val="24"/>
          <w:highlight w:val="none"/>
          <w:shd w:val="clear" w:color="auto" w:fill="auto"/>
        </w:rPr>
        <w:t>评分细则表</w:t>
      </w:r>
      <w:bookmarkEnd w:id="10"/>
    </w:p>
    <w:tbl>
      <w:tblPr>
        <w:tblStyle w:val="44"/>
        <w:tblW w:w="87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6"/>
        <w:gridCol w:w="1206"/>
        <w:gridCol w:w="770"/>
        <w:gridCol w:w="62"/>
        <w:gridCol w:w="5488"/>
        <w:gridCol w:w="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002" w:type="dxa"/>
            <w:gridSpan w:val="5"/>
            <w:vAlign w:val="center"/>
          </w:tcPr>
          <w:p>
            <w:pPr>
              <w:autoSpaceDE w:val="0"/>
              <w:autoSpaceDN w:val="0"/>
              <w:adjustRightInd w:val="0"/>
              <w:spacing w:line="360" w:lineRule="auto"/>
              <w:jc w:val="center"/>
              <w:rPr>
                <w:rFonts w:ascii="宋体" w:hAnsi="宋体"/>
                <w:b/>
                <w:szCs w:val="21"/>
                <w:highlight w:val="none"/>
                <w:lang w:val="zh-CN"/>
              </w:rPr>
            </w:pPr>
            <w:bookmarkStart w:id="11" w:name="bt投标文件签署授权委托书"/>
            <w:bookmarkEnd w:id="11"/>
            <w:bookmarkStart w:id="12" w:name="bt投标报价汇总表"/>
            <w:bookmarkEnd w:id="12"/>
            <w:bookmarkStart w:id="13" w:name="bt商务标投标文件格式"/>
            <w:bookmarkEnd w:id="13"/>
            <w:bookmarkStart w:id="14" w:name="bt项目管理班子配备情况"/>
            <w:bookmarkEnd w:id="14"/>
            <w:bookmarkStart w:id="15" w:name="bt本工程承诺书"/>
            <w:bookmarkEnd w:id="15"/>
            <w:bookmarkStart w:id="16" w:name="合同格式"/>
            <w:bookmarkEnd w:id="16"/>
            <w:bookmarkStart w:id="17" w:name="bt投标函"/>
            <w:bookmarkEnd w:id="17"/>
            <w:bookmarkStart w:id="18" w:name="bt开标一览表"/>
            <w:bookmarkEnd w:id="18"/>
            <w:bookmarkStart w:id="19" w:name="bt合同条款"/>
            <w:bookmarkEnd w:id="19"/>
            <w:bookmarkStart w:id="20" w:name="bt说明"/>
            <w:bookmarkEnd w:id="20"/>
            <w:bookmarkStart w:id="21" w:name="bt其他资料由投标人自定"/>
            <w:bookmarkEnd w:id="21"/>
            <w:bookmarkStart w:id="22" w:name="bt投标人须知"/>
            <w:bookmarkEnd w:id="22"/>
            <w:bookmarkStart w:id="23" w:name="bt技术标投标文件格式"/>
            <w:bookmarkEnd w:id="23"/>
            <w:bookmarkStart w:id="24" w:name="bt合同格式"/>
            <w:bookmarkEnd w:id="24"/>
            <w:bookmarkStart w:id="25" w:name="bt合同条款及格式"/>
            <w:bookmarkEnd w:id="25"/>
            <w:bookmarkStart w:id="26" w:name="bt其他资料2"/>
            <w:bookmarkEnd w:id="26"/>
            <w:bookmarkStart w:id="27" w:name="bt投标人情况介绍"/>
            <w:bookmarkEnd w:id="27"/>
            <w:bookmarkStart w:id="28" w:name="_Toc432592812"/>
            <w:r>
              <w:rPr>
                <w:rFonts w:hint="eastAsia" w:ascii="宋体" w:hAnsi="宋体"/>
                <w:b/>
                <w:szCs w:val="21"/>
                <w:highlight w:val="none"/>
                <w:lang w:val="zh-CN"/>
              </w:rPr>
              <w:t>评分项及评分规则</w:t>
            </w:r>
          </w:p>
        </w:tc>
        <w:tc>
          <w:tcPr>
            <w:tcW w:w="755" w:type="dxa"/>
            <w:vAlign w:val="center"/>
          </w:tcPr>
          <w:p>
            <w:pPr>
              <w:autoSpaceDE w:val="0"/>
              <w:autoSpaceDN w:val="0"/>
              <w:adjustRightInd w:val="0"/>
              <w:spacing w:line="360" w:lineRule="auto"/>
              <w:jc w:val="center"/>
              <w:rPr>
                <w:rFonts w:ascii="宋体" w:hAnsi="宋体"/>
                <w:b/>
                <w:szCs w:val="21"/>
                <w:highlight w:val="none"/>
                <w:lang w:val="zh-CN"/>
              </w:rPr>
            </w:pPr>
            <w:r>
              <w:rPr>
                <w:rFonts w:hint="eastAsia" w:ascii="宋体" w:hAnsi="宋体"/>
                <w:b/>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002" w:type="dxa"/>
            <w:gridSpan w:val="5"/>
            <w:vAlign w:val="center"/>
          </w:tcPr>
          <w:p>
            <w:pPr>
              <w:autoSpaceDE w:val="0"/>
              <w:autoSpaceDN w:val="0"/>
              <w:adjustRightInd w:val="0"/>
              <w:spacing w:line="360" w:lineRule="auto"/>
              <w:jc w:val="center"/>
              <w:rPr>
                <w:rFonts w:ascii="宋体" w:hAnsi="宋体"/>
                <w:b/>
                <w:szCs w:val="21"/>
                <w:highlight w:val="none"/>
                <w:lang w:val="zh-CN"/>
              </w:rPr>
            </w:pPr>
            <w:r>
              <w:rPr>
                <w:rFonts w:hint="eastAsia" w:ascii="宋体" w:hAnsi="宋体"/>
                <w:b/>
                <w:szCs w:val="21"/>
                <w:highlight w:val="none"/>
                <w:lang w:val="zh-CN"/>
              </w:rPr>
              <w:t>一、价格部分</w:t>
            </w:r>
          </w:p>
        </w:tc>
        <w:tc>
          <w:tcPr>
            <w:tcW w:w="755" w:type="dxa"/>
            <w:shd w:val="clear" w:color="auto" w:fill="auto"/>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szCs w:val="21"/>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02" w:type="dxa"/>
            <w:gridSpan w:val="5"/>
            <w:vAlign w:val="center"/>
          </w:tcPr>
          <w:p>
            <w:pPr>
              <w:autoSpaceDE w:val="0"/>
              <w:autoSpaceDN w:val="0"/>
              <w:adjustRightInd w:val="0"/>
              <w:spacing w:line="360" w:lineRule="auto"/>
              <w:jc w:val="center"/>
              <w:rPr>
                <w:rFonts w:ascii="宋体" w:hAnsi="宋体"/>
                <w:b/>
                <w:szCs w:val="21"/>
                <w:highlight w:val="none"/>
              </w:rPr>
            </w:pPr>
            <w:r>
              <w:rPr>
                <w:rFonts w:hint="eastAsia" w:ascii="宋体" w:hAnsi="宋体"/>
                <w:b/>
                <w:szCs w:val="21"/>
                <w:highlight w:val="none"/>
                <w:lang w:val="zh-CN"/>
              </w:rPr>
              <w:t>二、商务部分</w:t>
            </w:r>
          </w:p>
        </w:tc>
        <w:tc>
          <w:tcPr>
            <w:tcW w:w="755" w:type="dxa"/>
            <w:vAlign w:val="center"/>
          </w:tcPr>
          <w:p>
            <w:pPr>
              <w:autoSpaceDE w:val="0"/>
              <w:autoSpaceDN w:val="0"/>
              <w:adjustRightInd w:val="0"/>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76" w:type="dxa"/>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szCs w:val="21"/>
                <w:highlight w:val="none"/>
                <w:lang w:val="zh-CN"/>
              </w:rPr>
              <w:t>序号</w:t>
            </w:r>
          </w:p>
        </w:tc>
        <w:tc>
          <w:tcPr>
            <w:tcW w:w="1206" w:type="dxa"/>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szCs w:val="21"/>
                <w:highlight w:val="none"/>
                <w:lang w:val="zh-CN"/>
              </w:rPr>
              <w:t>内容</w:t>
            </w:r>
          </w:p>
        </w:tc>
        <w:tc>
          <w:tcPr>
            <w:tcW w:w="770" w:type="dxa"/>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szCs w:val="21"/>
                <w:highlight w:val="none"/>
                <w:lang w:val="zh-CN"/>
              </w:rPr>
              <w:t>权重</w:t>
            </w:r>
          </w:p>
        </w:tc>
        <w:tc>
          <w:tcPr>
            <w:tcW w:w="5550" w:type="dxa"/>
            <w:gridSpan w:val="2"/>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szCs w:val="21"/>
                <w:highlight w:val="none"/>
                <w:lang w:val="zh-CN"/>
              </w:rPr>
              <w:t>评分规则</w:t>
            </w:r>
          </w:p>
        </w:tc>
        <w:tc>
          <w:tcPr>
            <w:tcW w:w="755" w:type="dxa"/>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rPr>
              <w:t>1</w:t>
            </w:r>
          </w:p>
        </w:tc>
        <w:tc>
          <w:tcPr>
            <w:tcW w:w="1206" w:type="dxa"/>
            <w:vAlign w:val="center"/>
          </w:tcPr>
          <w:p>
            <w:pPr>
              <w:autoSpaceDE w:val="0"/>
              <w:autoSpaceDN w:val="0"/>
              <w:adjustRightInd w:val="0"/>
              <w:spacing w:line="360" w:lineRule="auto"/>
              <w:rPr>
                <w:rFonts w:ascii="宋体" w:hAnsi="宋体"/>
                <w:kern w:val="0"/>
                <w:szCs w:val="21"/>
                <w:highlight w:val="none"/>
                <w:lang w:val="zh-CN"/>
              </w:rPr>
            </w:pPr>
            <w:r>
              <w:rPr>
                <w:rFonts w:hint="eastAsia" w:ascii="宋体" w:hAnsi="宋体"/>
                <w:kern w:val="0"/>
                <w:szCs w:val="21"/>
                <w:highlight w:val="none"/>
                <w:lang w:val="zh-CN"/>
              </w:rPr>
              <w:t>同类项目业绩</w:t>
            </w:r>
          </w:p>
        </w:tc>
        <w:tc>
          <w:tcPr>
            <w:tcW w:w="770" w:type="dxa"/>
            <w:shd w:val="clear" w:color="auto" w:fill="auto"/>
            <w:vAlign w:val="center"/>
          </w:tcPr>
          <w:p>
            <w:pPr>
              <w:autoSpaceDE w:val="0"/>
              <w:autoSpaceDN w:val="0"/>
              <w:adjustRightInd w:val="0"/>
              <w:spacing w:line="360" w:lineRule="auto"/>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8</w:t>
            </w:r>
          </w:p>
        </w:tc>
        <w:tc>
          <w:tcPr>
            <w:tcW w:w="5550" w:type="dxa"/>
            <w:gridSpan w:val="2"/>
            <w:vAlign w:val="center"/>
          </w:tcPr>
          <w:p>
            <w:pPr>
              <w:widowControl/>
              <w:wordWrap w:val="0"/>
              <w:spacing w:line="360" w:lineRule="auto"/>
              <w:rPr>
                <w:rFonts w:asciiTheme="minorEastAsia" w:hAnsiTheme="minorEastAsia" w:eastAsiaTheme="minorEastAsia" w:cstheme="minorEastAsia"/>
                <w:b/>
                <w:bCs/>
                <w:szCs w:val="21"/>
                <w:highlight w:val="none"/>
                <w:lang w:val="zh-CN"/>
              </w:rPr>
            </w:pPr>
            <w:r>
              <w:rPr>
                <w:rFonts w:hint="eastAsia" w:asciiTheme="minorEastAsia" w:hAnsiTheme="minorEastAsia" w:eastAsiaTheme="minorEastAsia" w:cstheme="minorEastAsia"/>
                <w:b/>
                <w:bCs/>
                <w:szCs w:val="21"/>
                <w:highlight w:val="none"/>
                <w:lang w:val="zh-CN"/>
              </w:rPr>
              <w:t>评审标准：</w:t>
            </w:r>
          </w:p>
          <w:p>
            <w:pPr>
              <w:widowControl/>
              <w:wordWrap w:val="0"/>
              <w:spacing w:line="360" w:lineRule="auto"/>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提供</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201</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年月01日至本项目招标公告发布日投标人具有同类项目业绩（指导视系统、标识系统业绩），每个得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分，最高得分</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分。</w:t>
            </w:r>
          </w:p>
          <w:p>
            <w:pPr>
              <w:widowControl/>
              <w:wordWrap w:val="0"/>
              <w:spacing w:line="360" w:lineRule="auto"/>
              <w:rPr>
                <w:rFonts w:asciiTheme="minorEastAsia" w:hAnsiTheme="minorEastAsia" w:eastAsiaTheme="minorEastAsia" w:cstheme="minorEastAsia"/>
                <w:b/>
                <w:bCs/>
                <w:szCs w:val="21"/>
                <w:highlight w:val="none"/>
                <w:lang w:val="zh-CN"/>
              </w:rPr>
            </w:pPr>
            <w:r>
              <w:rPr>
                <w:rFonts w:hint="eastAsia" w:asciiTheme="minorEastAsia" w:hAnsiTheme="minorEastAsia" w:eastAsiaTheme="minorEastAsia" w:cstheme="minorEastAsia"/>
                <w:b/>
                <w:bCs/>
                <w:szCs w:val="21"/>
                <w:highlight w:val="none"/>
                <w:lang w:val="zh-CN"/>
              </w:rPr>
              <w:t>证明文件：</w:t>
            </w:r>
          </w:p>
          <w:p>
            <w:pPr>
              <w:widowControl/>
              <w:wordWrap w:val="0"/>
              <w:spacing w:line="360" w:lineRule="auto"/>
              <w:rPr>
                <w:rFonts w:ascii="宋体" w:hAnsi="宋体"/>
                <w:kern w:val="0"/>
                <w:szCs w:val="21"/>
                <w:highlight w:val="none"/>
                <w:lang w:val="zh-CN"/>
              </w:rPr>
            </w:pPr>
            <w:r>
              <w:rPr>
                <w:rFonts w:hint="eastAsia" w:asciiTheme="minorEastAsia" w:hAnsiTheme="minorEastAsia" w:eastAsiaTheme="minorEastAsia" w:cstheme="minorEastAsia"/>
                <w:szCs w:val="21"/>
                <w:highlight w:val="none"/>
                <w:lang w:val="zh-CN"/>
              </w:rPr>
              <w:t>提供合同关键页或中标通知复印件，原件备查，未提供或不满足不得分。</w:t>
            </w:r>
          </w:p>
        </w:tc>
        <w:tc>
          <w:tcPr>
            <w:tcW w:w="755" w:type="dxa"/>
            <w:vAlign w:val="center"/>
          </w:tcPr>
          <w:p>
            <w:pPr>
              <w:spacing w:line="360" w:lineRule="auto"/>
              <w:jc w:val="left"/>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0"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rPr>
              <w:t>2</w:t>
            </w:r>
          </w:p>
        </w:tc>
        <w:tc>
          <w:tcPr>
            <w:tcW w:w="1206" w:type="dxa"/>
            <w:vAlign w:val="center"/>
          </w:tcPr>
          <w:p>
            <w:pPr>
              <w:autoSpaceDE w:val="0"/>
              <w:autoSpaceDN w:val="0"/>
              <w:adjustRightInd w:val="0"/>
              <w:spacing w:line="360" w:lineRule="auto"/>
              <w:rPr>
                <w:rFonts w:ascii="宋体" w:hAnsi="宋体"/>
                <w:kern w:val="0"/>
                <w:szCs w:val="21"/>
                <w:highlight w:val="none"/>
                <w:lang w:val="zh-CN"/>
              </w:rPr>
            </w:pPr>
            <w:r>
              <w:rPr>
                <w:rFonts w:hint="eastAsia" w:ascii="宋体" w:hAnsi="宋体"/>
                <w:kern w:val="0"/>
                <w:szCs w:val="21"/>
                <w:highlight w:val="none"/>
                <w:lang w:val="zh-CN"/>
              </w:rPr>
              <w:t>类似项目获奖情况</w:t>
            </w:r>
          </w:p>
        </w:tc>
        <w:tc>
          <w:tcPr>
            <w:tcW w:w="770" w:type="dxa"/>
            <w:shd w:val="clear" w:color="auto" w:fill="auto"/>
            <w:vAlign w:val="center"/>
          </w:tcPr>
          <w:p>
            <w:pPr>
              <w:spacing w:line="360" w:lineRule="auto"/>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8</w:t>
            </w:r>
          </w:p>
        </w:tc>
        <w:tc>
          <w:tcPr>
            <w:tcW w:w="5550" w:type="dxa"/>
            <w:gridSpan w:val="2"/>
            <w:vAlign w:val="center"/>
          </w:tcPr>
          <w:p>
            <w:pPr>
              <w:widowControl/>
              <w:spacing w:line="360" w:lineRule="auto"/>
              <w:ind w:left="11"/>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评审标准：</w:t>
            </w:r>
          </w:p>
          <w:p>
            <w:pPr>
              <w:widowControl/>
              <w:wordWrap w:val="0"/>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投标人在上述“同类项目业绩”评审项中参加评审且能得分的业绩的获奖情况： 获得省部级以上奖项的，每项得</w:t>
            </w:r>
            <w:r>
              <w:rPr>
                <w:rFonts w:hint="eastAsia" w:asciiTheme="minorEastAsia" w:hAnsiTheme="minorEastAsia" w:eastAsiaTheme="minorEastAsia" w:cstheme="minorEastAsia"/>
                <w:szCs w:val="21"/>
                <w:highlight w:val="none"/>
                <w:lang w:val="en-US" w:eastAsia="zh-CN"/>
              </w:rPr>
              <w:t>8</w:t>
            </w:r>
            <w:r>
              <w:rPr>
                <w:rFonts w:hint="eastAsia" w:asciiTheme="minorEastAsia" w:hAnsiTheme="minorEastAsia" w:eastAsiaTheme="minorEastAsia" w:cstheme="minorEastAsia"/>
                <w:szCs w:val="21"/>
                <w:highlight w:val="none"/>
              </w:rPr>
              <w:t>分，此项最高得</w:t>
            </w:r>
            <w:r>
              <w:rPr>
                <w:rFonts w:hint="eastAsia" w:asciiTheme="minorEastAsia" w:hAnsiTheme="minorEastAsia" w:eastAsiaTheme="minorEastAsia" w:cstheme="minorEastAsia"/>
                <w:szCs w:val="21"/>
                <w:highlight w:val="none"/>
                <w:lang w:val="en-US" w:eastAsia="zh-CN"/>
              </w:rPr>
              <w:t>8</w:t>
            </w:r>
            <w:r>
              <w:rPr>
                <w:rFonts w:hint="eastAsia" w:asciiTheme="minorEastAsia" w:hAnsiTheme="minorEastAsia" w:eastAsiaTheme="minorEastAsia" w:cstheme="minorEastAsia"/>
                <w:szCs w:val="21"/>
                <w:highlight w:val="none"/>
              </w:rPr>
              <w:t>分；</w:t>
            </w:r>
          </w:p>
          <w:p>
            <w:pPr>
              <w:widowControl/>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国家级奖项要求奖项颁发单位为国务院、国家部委或相关的全国性行业协会（学会）；省级奖项要求奖项颁发单位为省（自治区、直辖市）人民政府（或行业主管行政机关）或相应区域的行业协会（学会）。</w:t>
            </w:r>
          </w:p>
          <w:p>
            <w:pPr>
              <w:widowControl/>
              <w:spacing w:line="360" w:lineRule="auto"/>
              <w:rPr>
                <w:rFonts w:asciiTheme="minorEastAsia" w:hAnsiTheme="minorEastAsia" w:eastAsiaTheme="minorEastAsia" w:cstheme="minorEastAsia"/>
                <w:b/>
                <w:kern w:val="0"/>
                <w:szCs w:val="21"/>
                <w:highlight w:val="none"/>
                <w:lang w:val="zh-CN"/>
              </w:rPr>
            </w:pPr>
            <w:r>
              <w:rPr>
                <w:rFonts w:hint="eastAsia" w:asciiTheme="minorEastAsia" w:hAnsiTheme="minorEastAsia" w:eastAsiaTheme="minorEastAsia" w:cstheme="minorEastAsia"/>
                <w:b/>
                <w:szCs w:val="21"/>
                <w:highlight w:val="none"/>
              </w:rPr>
              <w:t>证明文件</w:t>
            </w:r>
            <w:r>
              <w:rPr>
                <w:rFonts w:hint="eastAsia" w:asciiTheme="minorEastAsia" w:hAnsiTheme="minorEastAsia" w:eastAsiaTheme="minorEastAsia" w:cstheme="minorEastAsia"/>
                <w:b/>
                <w:kern w:val="0"/>
                <w:szCs w:val="21"/>
                <w:highlight w:val="none"/>
                <w:lang w:val="zh-CN"/>
              </w:rPr>
              <w:t xml:space="preserve">： </w:t>
            </w:r>
          </w:p>
          <w:p>
            <w:pPr>
              <w:spacing w:line="360" w:lineRule="auto"/>
              <w:ind w:left="10" w:leftChars="5"/>
              <w:rPr>
                <w:szCs w:val="21"/>
                <w:highlight w:val="none"/>
              </w:rPr>
            </w:pPr>
            <w:r>
              <w:rPr>
                <w:rFonts w:hint="eastAsia" w:asciiTheme="minorEastAsia" w:hAnsiTheme="minorEastAsia" w:eastAsiaTheme="minorEastAsia" w:cstheme="minorEastAsia"/>
                <w:szCs w:val="21"/>
                <w:highlight w:val="none"/>
              </w:rPr>
              <w:t>投标人须获奖证书扫描件，原件备查；证明文件体现不清晰的不得分。</w:t>
            </w:r>
          </w:p>
        </w:tc>
        <w:tc>
          <w:tcPr>
            <w:tcW w:w="755" w:type="dxa"/>
            <w:vAlign w:val="center"/>
          </w:tcPr>
          <w:p>
            <w:pPr>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476" w:type="dxa"/>
            <w:vAlign w:val="center"/>
          </w:tcPr>
          <w:p>
            <w:pPr>
              <w:autoSpaceDE w:val="0"/>
              <w:autoSpaceDN w:val="0"/>
              <w:adjustRightInd w:val="0"/>
              <w:spacing w:line="360" w:lineRule="auto"/>
              <w:rPr>
                <w:rFonts w:ascii="宋体" w:hAnsi="宋体"/>
                <w:kern w:val="0"/>
                <w:szCs w:val="21"/>
                <w:highlight w:val="none"/>
                <w:lang w:val="zh-CN"/>
              </w:rPr>
            </w:pPr>
            <w:r>
              <w:rPr>
                <w:rFonts w:hint="eastAsia" w:ascii="宋体" w:hAnsi="宋体"/>
                <w:kern w:val="0"/>
                <w:szCs w:val="21"/>
                <w:highlight w:val="none"/>
              </w:rPr>
              <w:t>4</w:t>
            </w:r>
          </w:p>
        </w:tc>
        <w:tc>
          <w:tcPr>
            <w:tcW w:w="1206" w:type="dxa"/>
            <w:vAlign w:val="center"/>
          </w:tcPr>
          <w:p>
            <w:pPr>
              <w:widowControl/>
              <w:spacing w:after="78"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企业</w:t>
            </w:r>
          </w:p>
          <w:p>
            <w:pPr>
              <w:widowControl/>
              <w:spacing w:after="78" w:line="360" w:lineRule="auto"/>
              <w:jc w:val="center"/>
              <w:rPr>
                <w:rFonts w:ascii="宋体" w:hAnsi="宋体"/>
                <w:kern w:val="0"/>
                <w:szCs w:val="21"/>
                <w:highlight w:val="none"/>
                <w:lang w:val="zh-CN"/>
              </w:rPr>
            </w:pPr>
            <w:r>
              <w:rPr>
                <w:rFonts w:hint="eastAsia" w:asciiTheme="minorEastAsia" w:hAnsiTheme="minorEastAsia" w:cstheme="minorEastAsia"/>
                <w:szCs w:val="21"/>
                <w:highlight w:val="none"/>
              </w:rPr>
              <w:t>信誉</w:t>
            </w:r>
          </w:p>
        </w:tc>
        <w:tc>
          <w:tcPr>
            <w:tcW w:w="770" w:type="dxa"/>
            <w:tcBorders>
              <w:bottom w:val="single" w:color="auto" w:sz="4" w:space="0"/>
            </w:tcBorders>
            <w:shd w:val="clear" w:color="auto" w:fill="auto"/>
            <w:vAlign w:val="center"/>
          </w:tcPr>
          <w:p>
            <w:pPr>
              <w:widowControl/>
              <w:spacing w:line="360" w:lineRule="auto"/>
              <w:jc w:val="center"/>
              <w:rPr>
                <w:rFonts w:hint="eastAsia" w:ascii="宋体" w:hAnsi="宋体" w:eastAsia="宋体"/>
                <w:kern w:val="0"/>
                <w:szCs w:val="21"/>
                <w:highlight w:val="none"/>
                <w:lang w:eastAsia="zh-CN"/>
              </w:rPr>
            </w:pPr>
            <w:r>
              <w:rPr>
                <w:rFonts w:hint="eastAsia" w:asciiTheme="minorEastAsia" w:hAnsiTheme="minorEastAsia" w:eastAsiaTheme="minorEastAsia" w:cstheme="minorEastAsia"/>
                <w:szCs w:val="21"/>
                <w:highlight w:val="none"/>
                <w:lang w:val="en-US" w:eastAsia="zh-CN"/>
              </w:rPr>
              <w:t>9</w:t>
            </w:r>
          </w:p>
        </w:tc>
        <w:tc>
          <w:tcPr>
            <w:tcW w:w="5550" w:type="dxa"/>
            <w:gridSpan w:val="2"/>
            <w:tcBorders>
              <w:bottom w:val="single" w:color="auto" w:sz="4" w:space="0"/>
            </w:tcBorders>
            <w:vAlign w:val="center"/>
          </w:tcPr>
          <w:p>
            <w:pPr>
              <w:widowControl/>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评审标准：</w:t>
            </w:r>
          </w:p>
          <w:p>
            <w:pPr>
              <w:widowControl/>
              <w:spacing w:line="360" w:lineRule="auto"/>
              <w:rPr>
                <w:rFonts w:asciiTheme="minorEastAsia" w:hAnsiTheme="minorEastAsia" w:eastAsiaTheme="minorEastAsia" w:cstheme="minorEastAsia"/>
                <w:bCs/>
                <w:strike/>
                <w:szCs w:val="21"/>
                <w:highlight w:val="none"/>
              </w:rPr>
            </w:pPr>
            <w:r>
              <w:rPr>
                <w:rFonts w:hint="eastAsia" w:asciiTheme="minorEastAsia" w:hAnsiTheme="minorEastAsia" w:eastAsiaTheme="minorEastAsia" w:cstheme="minorEastAsia"/>
                <w:bCs/>
                <w:szCs w:val="21"/>
                <w:highlight w:val="none"/>
              </w:rPr>
              <w:t>投标人连续</w:t>
            </w:r>
            <w:r>
              <w:rPr>
                <w:rFonts w:hint="eastAsia" w:asciiTheme="minorEastAsia" w:hAnsiTheme="minorEastAsia" w:cstheme="minorEastAsia"/>
                <w:bCs/>
                <w:szCs w:val="21"/>
                <w:highlight w:val="none"/>
              </w:rPr>
              <w:t>15</w:t>
            </w:r>
            <w:r>
              <w:rPr>
                <w:rFonts w:hint="eastAsia" w:asciiTheme="minorEastAsia" w:hAnsiTheme="minorEastAsia" w:eastAsiaTheme="minorEastAsia" w:cstheme="minorEastAsia"/>
                <w:bCs/>
                <w:szCs w:val="21"/>
                <w:highlight w:val="none"/>
              </w:rPr>
              <w:t>年及以上被市场监督管理部门评为守合同重信用企业的得</w:t>
            </w:r>
            <w:r>
              <w:rPr>
                <w:rFonts w:hint="eastAsia" w:asciiTheme="minorEastAsia" w:hAnsiTheme="minorEastAsia" w:eastAsiaTheme="minorEastAsia" w:cstheme="minorEastAsia"/>
                <w:bCs/>
                <w:szCs w:val="21"/>
                <w:highlight w:val="none"/>
                <w:lang w:val="en-US" w:eastAsia="zh-CN"/>
              </w:rPr>
              <w:t>9</w:t>
            </w:r>
            <w:r>
              <w:rPr>
                <w:rFonts w:hint="eastAsia" w:asciiTheme="minorEastAsia" w:hAnsiTheme="minorEastAsia" w:eastAsiaTheme="minorEastAsia" w:cstheme="minorEastAsia"/>
                <w:bCs/>
                <w:szCs w:val="21"/>
                <w:highlight w:val="none"/>
              </w:rPr>
              <w:t>分</w:t>
            </w:r>
            <w:r>
              <w:rPr>
                <w:rFonts w:hint="eastAsia" w:asciiTheme="minorEastAsia" w:hAnsiTheme="minorEastAsia" w:cstheme="minorEastAsia"/>
                <w:bCs/>
                <w:szCs w:val="21"/>
                <w:highlight w:val="none"/>
              </w:rPr>
              <w:t>，</w:t>
            </w:r>
            <w:r>
              <w:rPr>
                <w:rFonts w:hint="eastAsia" w:asciiTheme="minorEastAsia" w:hAnsiTheme="minorEastAsia" w:eastAsiaTheme="minorEastAsia" w:cstheme="minorEastAsia"/>
                <w:bCs/>
                <w:szCs w:val="21"/>
                <w:highlight w:val="none"/>
              </w:rPr>
              <w:t>连续</w:t>
            </w:r>
            <w:r>
              <w:rPr>
                <w:rFonts w:hint="eastAsia" w:asciiTheme="minorEastAsia" w:hAnsiTheme="minorEastAsia" w:cstheme="minorEastAsia"/>
                <w:bCs/>
                <w:szCs w:val="21"/>
                <w:highlight w:val="none"/>
              </w:rPr>
              <w:t>10-14</w:t>
            </w:r>
            <w:r>
              <w:rPr>
                <w:rFonts w:hint="eastAsia" w:asciiTheme="minorEastAsia" w:hAnsiTheme="minorEastAsia" w:eastAsiaTheme="minorEastAsia" w:cstheme="minorEastAsia"/>
                <w:bCs/>
                <w:szCs w:val="21"/>
                <w:highlight w:val="none"/>
              </w:rPr>
              <w:t>年的得</w:t>
            </w:r>
            <w:r>
              <w:rPr>
                <w:rFonts w:hint="eastAsia" w:asciiTheme="minorEastAsia" w:hAnsiTheme="minorEastAsia" w:eastAsiaTheme="minorEastAsia" w:cstheme="minorEastAsia"/>
                <w:bCs/>
                <w:szCs w:val="21"/>
                <w:highlight w:val="none"/>
                <w:lang w:val="en-US" w:eastAsia="zh-CN"/>
              </w:rPr>
              <w:t>4</w:t>
            </w:r>
            <w:r>
              <w:rPr>
                <w:rFonts w:hint="eastAsia" w:asciiTheme="minorEastAsia" w:hAnsiTheme="minorEastAsia" w:eastAsiaTheme="minorEastAsia" w:cstheme="minorEastAsia"/>
                <w:bCs/>
                <w:szCs w:val="21"/>
                <w:highlight w:val="none"/>
              </w:rPr>
              <w:t>分</w:t>
            </w:r>
            <w:r>
              <w:rPr>
                <w:rFonts w:hint="eastAsia" w:asciiTheme="minorEastAsia" w:hAnsiTheme="minorEastAsia" w:cstheme="minorEastAsia"/>
                <w:bCs/>
                <w:szCs w:val="21"/>
                <w:highlight w:val="none"/>
              </w:rPr>
              <w:t>，</w:t>
            </w:r>
            <w:r>
              <w:rPr>
                <w:rFonts w:hint="eastAsia" w:asciiTheme="minorEastAsia" w:hAnsiTheme="minorEastAsia" w:eastAsiaTheme="minorEastAsia" w:cstheme="minorEastAsia"/>
                <w:bCs/>
                <w:szCs w:val="21"/>
                <w:highlight w:val="none"/>
              </w:rPr>
              <w:t>连续</w:t>
            </w:r>
            <w:r>
              <w:rPr>
                <w:rFonts w:hint="eastAsia" w:asciiTheme="minorEastAsia" w:hAnsiTheme="minorEastAsia" w:cstheme="minorEastAsia"/>
                <w:bCs/>
                <w:szCs w:val="21"/>
                <w:highlight w:val="none"/>
              </w:rPr>
              <w:t>5-9</w:t>
            </w:r>
            <w:r>
              <w:rPr>
                <w:rFonts w:hint="eastAsia" w:asciiTheme="minorEastAsia" w:hAnsiTheme="minorEastAsia" w:eastAsiaTheme="minorEastAsia" w:cstheme="minorEastAsia"/>
                <w:bCs/>
                <w:szCs w:val="21"/>
                <w:highlight w:val="none"/>
              </w:rPr>
              <w:t>年的得</w:t>
            </w:r>
            <w:r>
              <w:rPr>
                <w:rFonts w:hint="eastAsia" w:asciiTheme="minorEastAsia" w:hAnsiTheme="minorEastAsia" w:eastAsiaTheme="minorEastAsia" w:cstheme="minorEastAsia"/>
                <w:bCs/>
                <w:szCs w:val="21"/>
                <w:highlight w:val="none"/>
                <w:lang w:val="en-US" w:eastAsia="zh-CN"/>
              </w:rPr>
              <w:t>2</w:t>
            </w:r>
            <w:r>
              <w:rPr>
                <w:rFonts w:hint="eastAsia" w:asciiTheme="minorEastAsia" w:hAnsiTheme="minorEastAsia" w:eastAsiaTheme="minorEastAsia" w:cstheme="minorEastAsia"/>
                <w:bCs/>
                <w:szCs w:val="21"/>
                <w:highlight w:val="none"/>
              </w:rPr>
              <w:t>分</w:t>
            </w:r>
            <w:r>
              <w:rPr>
                <w:rFonts w:hint="eastAsia" w:asciiTheme="minorEastAsia" w:hAnsiTheme="minorEastAsia" w:cstheme="minorEastAsia"/>
                <w:bCs/>
                <w:szCs w:val="21"/>
                <w:highlight w:val="none"/>
              </w:rPr>
              <w:t>，1-4年的得1</w:t>
            </w:r>
            <w:r>
              <w:rPr>
                <w:rFonts w:hint="eastAsia" w:asciiTheme="minorEastAsia" w:hAnsiTheme="minorEastAsia" w:eastAsiaTheme="minorEastAsia" w:cstheme="minorEastAsia"/>
                <w:bCs/>
                <w:szCs w:val="21"/>
                <w:highlight w:val="none"/>
              </w:rPr>
              <w:t>分</w:t>
            </w:r>
            <w:r>
              <w:rPr>
                <w:rFonts w:hint="eastAsia" w:asciiTheme="minorEastAsia" w:hAnsiTheme="minorEastAsia" w:cstheme="minorEastAsia"/>
                <w:bCs/>
                <w:szCs w:val="21"/>
                <w:highlight w:val="none"/>
              </w:rPr>
              <w:t>，</w:t>
            </w:r>
            <w:r>
              <w:rPr>
                <w:rFonts w:hint="eastAsia" w:asciiTheme="minorEastAsia" w:hAnsiTheme="minorEastAsia" w:eastAsiaTheme="minorEastAsia" w:cstheme="minorEastAsia"/>
                <w:bCs/>
                <w:szCs w:val="21"/>
                <w:highlight w:val="none"/>
              </w:rPr>
              <w:t>其他不得分</w:t>
            </w:r>
            <w:r>
              <w:rPr>
                <w:rFonts w:hint="eastAsia" w:asciiTheme="minorEastAsia" w:hAnsiTheme="minorEastAsia" w:cstheme="minorEastAsia"/>
                <w:bCs/>
                <w:szCs w:val="21"/>
                <w:highlight w:val="none"/>
              </w:rPr>
              <w:t>。</w:t>
            </w:r>
          </w:p>
          <w:p>
            <w:pPr>
              <w:widowControl/>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证明文件：</w:t>
            </w:r>
          </w:p>
          <w:p>
            <w:pPr>
              <w:widowControl/>
              <w:spacing w:line="360" w:lineRule="auto"/>
              <w:rPr>
                <w:rFonts w:ascii="宋体" w:hAnsi="宋体" w:cs="宋体"/>
                <w:kern w:val="0"/>
                <w:szCs w:val="21"/>
                <w:highlight w:val="none"/>
              </w:rPr>
            </w:pPr>
            <w:r>
              <w:rPr>
                <w:rFonts w:hint="eastAsia" w:asciiTheme="minorEastAsia" w:hAnsiTheme="minorEastAsia" w:eastAsiaTheme="minorEastAsia" w:cstheme="minorEastAsia"/>
                <w:bCs/>
                <w:szCs w:val="21"/>
                <w:highlight w:val="none"/>
              </w:rPr>
              <w:t>投标人须提供相关</w:t>
            </w:r>
            <w:r>
              <w:rPr>
                <w:rFonts w:hint="eastAsia" w:asciiTheme="minorEastAsia" w:hAnsiTheme="minorEastAsia" w:cstheme="minorEastAsia"/>
                <w:bCs/>
                <w:szCs w:val="21"/>
                <w:highlight w:val="none"/>
              </w:rPr>
              <w:t>证明文件</w:t>
            </w:r>
            <w:r>
              <w:rPr>
                <w:rFonts w:hint="eastAsia" w:asciiTheme="minorEastAsia" w:hAnsiTheme="minorEastAsia" w:eastAsiaTheme="minorEastAsia" w:cstheme="minorEastAsia"/>
                <w:bCs/>
                <w:szCs w:val="21"/>
                <w:highlight w:val="none"/>
              </w:rPr>
              <w:t>复印件</w:t>
            </w:r>
            <w:r>
              <w:rPr>
                <w:rFonts w:hint="eastAsia" w:asciiTheme="minorEastAsia" w:hAnsiTheme="minorEastAsia" w:eastAsiaTheme="minorEastAsia" w:cstheme="minorEastAsia"/>
                <w:szCs w:val="21"/>
                <w:highlight w:val="none"/>
              </w:rPr>
              <w:t>或扫描件加盖投标人公章</w:t>
            </w:r>
            <w:r>
              <w:rPr>
                <w:rFonts w:hint="eastAsia" w:asciiTheme="minorEastAsia" w:hAnsiTheme="minorEastAsia" w:eastAsiaTheme="minorEastAsia" w:cstheme="minorEastAsia"/>
                <w:bCs/>
                <w:szCs w:val="21"/>
                <w:highlight w:val="none"/>
              </w:rPr>
              <w:t>，</w:t>
            </w:r>
            <w:r>
              <w:rPr>
                <w:rFonts w:hint="eastAsia" w:asciiTheme="minorEastAsia" w:hAnsiTheme="minorEastAsia" w:cstheme="minorEastAsia"/>
                <w:bCs/>
                <w:szCs w:val="21"/>
                <w:highlight w:val="none"/>
              </w:rPr>
              <w:t>原件备查。</w:t>
            </w:r>
          </w:p>
        </w:tc>
        <w:tc>
          <w:tcPr>
            <w:tcW w:w="755" w:type="dxa"/>
            <w:vAlign w:val="center"/>
          </w:tcPr>
          <w:p>
            <w:pPr>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476" w:type="dxa"/>
            <w:vAlign w:val="center"/>
          </w:tcPr>
          <w:p>
            <w:pPr>
              <w:autoSpaceDE w:val="0"/>
              <w:autoSpaceDN w:val="0"/>
              <w:adjustRightInd w:val="0"/>
              <w:spacing w:line="360" w:lineRule="auto"/>
              <w:rPr>
                <w:rFonts w:ascii="宋体" w:hAnsi="宋体"/>
                <w:kern w:val="0"/>
                <w:szCs w:val="21"/>
                <w:highlight w:val="none"/>
              </w:rPr>
            </w:pPr>
            <w:r>
              <w:rPr>
                <w:rFonts w:hint="eastAsia" w:ascii="宋体" w:hAnsi="宋体"/>
                <w:kern w:val="0"/>
                <w:szCs w:val="21"/>
                <w:highlight w:val="none"/>
              </w:rPr>
              <w:t>5</w:t>
            </w:r>
          </w:p>
        </w:tc>
        <w:tc>
          <w:tcPr>
            <w:tcW w:w="1206" w:type="dxa"/>
            <w:vAlign w:val="center"/>
          </w:tcPr>
          <w:p>
            <w:pPr>
              <w:spacing w:line="340" w:lineRule="exact"/>
              <w:jc w:val="center"/>
              <w:rPr>
                <w:rFonts w:asciiTheme="minorEastAsia" w:hAnsiTheme="minorEastAsia" w:cstheme="minorEastAsia"/>
                <w:szCs w:val="21"/>
                <w:highlight w:val="none"/>
              </w:rPr>
            </w:pPr>
            <w:r>
              <w:rPr>
                <w:rFonts w:hint="eastAsia"/>
                <w:color w:val="000000" w:themeColor="text1"/>
                <w:highlight w:val="none"/>
                <w14:textFill>
                  <w14:solidFill>
                    <w14:schemeClr w14:val="tx1"/>
                  </w14:solidFill>
                </w14:textFill>
              </w:rPr>
              <w:t>投标人资质情况</w:t>
            </w:r>
          </w:p>
        </w:tc>
        <w:tc>
          <w:tcPr>
            <w:tcW w:w="770" w:type="dxa"/>
            <w:tcBorders>
              <w:bottom w:val="single" w:color="auto" w:sz="4" w:space="0"/>
            </w:tcBorders>
            <w:shd w:val="clear" w:color="auto" w:fill="auto"/>
            <w:vAlign w:val="center"/>
          </w:tcPr>
          <w:p>
            <w:pPr>
              <w:spacing w:line="340" w:lineRule="exact"/>
              <w:jc w:val="center"/>
              <w:rPr>
                <w:rFonts w:hint="eastAsia" w:asciiTheme="minorEastAsia" w:hAnsiTheme="minorEastAsia" w:eastAsiaTheme="minorEastAsia" w:cstheme="minorEastAsia"/>
                <w:szCs w:val="21"/>
                <w:highlight w:val="none"/>
                <w:lang w:eastAsia="zh-CN"/>
              </w:rPr>
            </w:pPr>
            <w:r>
              <w:rPr>
                <w:rFonts w:hint="eastAsia" w:eastAsiaTheme="minorEastAsia"/>
                <w:color w:val="000000" w:themeColor="text1"/>
                <w:highlight w:val="none"/>
                <w:lang w:val="en-US" w:eastAsia="zh-CN"/>
                <w14:textFill>
                  <w14:solidFill>
                    <w14:schemeClr w14:val="tx1"/>
                  </w14:solidFill>
                </w14:textFill>
              </w:rPr>
              <w:t>5</w:t>
            </w:r>
          </w:p>
        </w:tc>
        <w:tc>
          <w:tcPr>
            <w:tcW w:w="5550" w:type="dxa"/>
            <w:gridSpan w:val="2"/>
            <w:tcBorders>
              <w:bottom w:val="single" w:color="auto" w:sz="4" w:space="0"/>
            </w:tcBorders>
            <w:vAlign w:val="center"/>
          </w:tcPr>
          <w:p>
            <w:pPr>
              <w:tabs>
                <w:tab w:val="left" w:pos="0"/>
                <w:tab w:val="clear" w:pos="426"/>
              </w:tabs>
              <w:spacing w:line="360" w:lineRule="auto"/>
              <w:jc w:val="left"/>
              <w:rPr>
                <w:highlight w:val="none"/>
              </w:rPr>
            </w:pPr>
            <w:r>
              <w:rPr>
                <w:rFonts w:hint="eastAsia"/>
                <w:highlight w:val="none"/>
              </w:rPr>
              <w:t>评审标准：</w:t>
            </w:r>
          </w:p>
          <w:p>
            <w:pPr>
              <w:numPr>
                <w:ilvl w:val="0"/>
                <w:numId w:val="23"/>
              </w:numPr>
              <w:tabs>
                <w:tab w:val="left" w:pos="0"/>
                <w:tab w:val="clear" w:pos="426"/>
              </w:tabs>
              <w:spacing w:line="360" w:lineRule="auto"/>
              <w:rPr>
                <w:b/>
                <w:bCs/>
                <w:highlight w:val="none"/>
              </w:rPr>
            </w:pPr>
            <w:r>
              <w:rPr>
                <w:rFonts w:hint="eastAsia"/>
                <w:b/>
                <w:bCs/>
                <w:highlight w:val="none"/>
              </w:rPr>
              <w:t>具有建筑机电安装工程专业承包资质的：一级或以上2分、二级得1分；</w:t>
            </w:r>
          </w:p>
          <w:p>
            <w:pPr>
              <w:numPr>
                <w:ilvl w:val="0"/>
                <w:numId w:val="23"/>
              </w:numPr>
              <w:tabs>
                <w:tab w:val="left" w:pos="0"/>
                <w:tab w:val="clear" w:pos="426"/>
              </w:tabs>
              <w:spacing w:line="360" w:lineRule="auto"/>
              <w:rPr>
                <w:b/>
                <w:bCs/>
                <w:highlight w:val="none"/>
              </w:rPr>
            </w:pPr>
            <w:r>
              <w:rPr>
                <w:rFonts w:hint="eastAsia"/>
                <w:b/>
                <w:bCs/>
                <w:highlight w:val="none"/>
              </w:rPr>
              <w:t>具有建筑装修装饰工程专业承包资质：一级或以上2分、二级得1分；</w:t>
            </w:r>
          </w:p>
          <w:p>
            <w:pPr>
              <w:numPr>
                <w:ilvl w:val="0"/>
                <w:numId w:val="23"/>
              </w:numPr>
              <w:tabs>
                <w:tab w:val="left" w:pos="0"/>
                <w:tab w:val="clear" w:pos="426"/>
              </w:tabs>
              <w:spacing w:line="360" w:lineRule="auto"/>
              <w:rPr>
                <w:highlight w:val="none"/>
              </w:rPr>
            </w:pPr>
            <w:r>
              <w:rPr>
                <w:rFonts w:hint="eastAsia"/>
                <w:b/>
                <w:bCs/>
                <w:highlight w:val="none"/>
              </w:rPr>
              <w:t>投标人具有安全生产许可证的得1分</w:t>
            </w:r>
            <w:r>
              <w:rPr>
                <w:rFonts w:hint="eastAsia"/>
                <w:b/>
                <w:bCs/>
                <w:highlight w:val="none"/>
                <w:lang w:eastAsia="zh-CN"/>
              </w:rPr>
              <w:t>。</w:t>
            </w:r>
          </w:p>
          <w:p>
            <w:pPr>
              <w:tabs>
                <w:tab w:val="left" w:pos="0"/>
                <w:tab w:val="clear" w:pos="426"/>
              </w:tabs>
              <w:spacing w:line="360" w:lineRule="auto"/>
              <w:rPr>
                <w:rFonts w:asciiTheme="minorEastAsia" w:hAnsiTheme="minorEastAsia" w:eastAsiaTheme="minorEastAsia" w:cstheme="minorEastAsia"/>
                <w:bCs/>
                <w:szCs w:val="21"/>
                <w:highlight w:val="none"/>
              </w:rPr>
            </w:pPr>
            <w:r>
              <w:rPr>
                <w:rFonts w:hint="eastAsia"/>
                <w:highlight w:val="none"/>
              </w:rPr>
              <w:t>证明文件：投标人</w:t>
            </w:r>
            <w:r>
              <w:rPr>
                <w:rFonts w:hint="eastAsia"/>
                <w:highlight w:val="none"/>
                <w:lang w:val="zh-CN"/>
              </w:rPr>
              <w:t>须提供以上相关证书扫描件，不满足或未提供有效证明文件的，不得分，原件备查。</w:t>
            </w:r>
          </w:p>
        </w:tc>
        <w:tc>
          <w:tcPr>
            <w:tcW w:w="755" w:type="dxa"/>
            <w:vAlign w:val="center"/>
          </w:tcPr>
          <w:p>
            <w:pPr>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476" w:type="dxa"/>
            <w:vAlign w:val="center"/>
          </w:tcPr>
          <w:p>
            <w:pPr>
              <w:autoSpaceDE w:val="0"/>
              <w:autoSpaceDN w:val="0"/>
              <w:adjustRightInd w:val="0"/>
              <w:spacing w:line="360" w:lineRule="auto"/>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6</w:t>
            </w:r>
          </w:p>
        </w:tc>
        <w:tc>
          <w:tcPr>
            <w:tcW w:w="1206" w:type="dxa"/>
            <w:vAlign w:val="center"/>
          </w:tcPr>
          <w:p>
            <w:pPr>
              <w:autoSpaceDE w:val="0"/>
              <w:autoSpaceDN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诚信档案</w:t>
            </w:r>
          </w:p>
        </w:tc>
        <w:tc>
          <w:tcPr>
            <w:tcW w:w="770" w:type="dxa"/>
            <w:tcBorders>
              <w:bottom w:val="single" w:color="auto" w:sz="4" w:space="0"/>
            </w:tcBorders>
            <w:shd w:val="clear" w:color="auto" w:fill="auto"/>
            <w:vAlign w:val="center"/>
          </w:tcPr>
          <w:p>
            <w:pPr>
              <w:autoSpaceDE w:val="0"/>
              <w:autoSpaceDN w:val="0"/>
              <w:jc w:val="cente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5</w:t>
            </w:r>
          </w:p>
        </w:tc>
        <w:tc>
          <w:tcPr>
            <w:tcW w:w="5550" w:type="dxa"/>
            <w:gridSpan w:val="2"/>
            <w:tcBorders>
              <w:bottom w:val="single" w:color="auto" w:sz="4" w:space="0"/>
            </w:tcBorders>
            <w:vAlign w:val="center"/>
          </w:tcPr>
          <w:p>
            <w:pPr>
              <w:autoSpaceDE w:val="0"/>
              <w:autoSpaceDN w:val="0"/>
              <w:spacing w:line="360" w:lineRule="exact"/>
              <w:jc w:val="left"/>
              <w:rPr>
                <w:color w:val="000000" w:themeColor="text1"/>
                <w:highlight w:val="none"/>
                <w14:textFill>
                  <w14:solidFill>
                    <w14:schemeClr w14:val="tx1"/>
                  </w14:solidFill>
                </w14:textFill>
              </w:rPr>
            </w:pPr>
            <w:r>
              <w:rPr>
                <w:rFonts w:hint="eastAsia"/>
                <w:b/>
                <w:color w:val="000000" w:themeColor="text1"/>
                <w:szCs w:val="21"/>
                <w:highlight w:val="none"/>
                <w:lang w:val="zh-CN"/>
                <w14:textFill>
                  <w14:solidFill>
                    <w14:schemeClr w14:val="tx1"/>
                  </w14:solidFill>
                </w14:textFill>
              </w:rPr>
              <w:t>评审标准：</w:t>
            </w:r>
          </w:p>
          <w:p>
            <w:pPr>
              <w:widowControl/>
              <w:wordWrap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分。</w:t>
            </w:r>
          </w:p>
          <w:p>
            <w:pPr>
              <w:autoSpaceDE w:val="0"/>
              <w:autoSpaceDN w:val="0"/>
              <w:spacing w:line="360" w:lineRule="exact"/>
              <w:jc w:val="left"/>
              <w:rPr>
                <w:b/>
                <w:color w:val="000000" w:themeColor="text1"/>
                <w:szCs w:val="21"/>
                <w:highlight w:val="none"/>
                <w:lang w:val="zh-CN"/>
                <w14:textFill>
                  <w14:solidFill>
                    <w14:schemeClr w14:val="tx1"/>
                  </w14:solidFill>
                </w14:textFill>
              </w:rPr>
            </w:pPr>
            <w:r>
              <w:rPr>
                <w:rFonts w:hint="eastAsia"/>
                <w:b/>
                <w:color w:val="000000" w:themeColor="text1"/>
                <w:szCs w:val="21"/>
                <w:highlight w:val="none"/>
                <w:lang w:val="zh-CN"/>
                <w14:textFill>
                  <w14:solidFill>
                    <w14:schemeClr w14:val="tx1"/>
                  </w14:solidFill>
                </w14:textFill>
              </w:rPr>
              <w:t>证明文件：</w:t>
            </w:r>
          </w:p>
          <w:p>
            <w:pPr>
              <w:pStyle w:val="2"/>
              <w:rPr>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kern w:val="2"/>
                <w:sz w:val="21"/>
                <w:szCs w:val="21"/>
                <w:highlight w:val="none"/>
                <w:lang w:val="zh-CN" w:eastAsia="zh-CN" w:bidi="ar-SA"/>
              </w:rPr>
              <w:t>须提供《诚信承诺函》，如若投标人承诺与实际情况不相符，将按照虚假投标的情况报相关主管部门处理，承诺函应按招标文件格式填写原件加盖投标人公章（诚信承诺函格式自拟）。</w:t>
            </w:r>
          </w:p>
        </w:tc>
        <w:tc>
          <w:tcPr>
            <w:tcW w:w="755" w:type="dxa"/>
            <w:vAlign w:val="center"/>
          </w:tcPr>
          <w:p>
            <w:pPr>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02" w:type="dxa"/>
            <w:gridSpan w:val="5"/>
            <w:vAlign w:val="center"/>
          </w:tcPr>
          <w:p>
            <w:pPr>
              <w:autoSpaceDE w:val="0"/>
              <w:autoSpaceDN w:val="0"/>
              <w:adjustRightInd w:val="0"/>
              <w:spacing w:line="360" w:lineRule="auto"/>
              <w:jc w:val="center"/>
              <w:rPr>
                <w:rFonts w:ascii="宋体" w:hAnsi="宋体"/>
                <w:b/>
                <w:szCs w:val="21"/>
                <w:highlight w:val="none"/>
                <w:lang w:val="zh-CN"/>
              </w:rPr>
            </w:pPr>
            <w:r>
              <w:rPr>
                <w:rFonts w:hint="eastAsia" w:ascii="宋体" w:hAnsi="宋体"/>
                <w:b/>
                <w:szCs w:val="21"/>
                <w:highlight w:val="none"/>
                <w:lang w:val="zh-CN"/>
              </w:rPr>
              <w:t>技术部分</w:t>
            </w:r>
          </w:p>
        </w:tc>
        <w:tc>
          <w:tcPr>
            <w:tcW w:w="755" w:type="dxa"/>
            <w:vAlign w:val="center"/>
          </w:tcPr>
          <w:p>
            <w:pPr>
              <w:autoSpaceDE w:val="0"/>
              <w:autoSpaceDN w:val="0"/>
              <w:adjustRightInd w:val="0"/>
              <w:spacing w:line="360" w:lineRule="auto"/>
              <w:ind w:firstLine="210" w:firstLineChars="100"/>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76" w:type="dxa"/>
            <w:vAlign w:val="center"/>
          </w:tcPr>
          <w:p>
            <w:pPr>
              <w:autoSpaceDE w:val="0"/>
              <w:autoSpaceDN w:val="0"/>
              <w:adjustRightInd w:val="0"/>
              <w:spacing w:line="360" w:lineRule="auto"/>
              <w:rPr>
                <w:rFonts w:ascii="宋体" w:hAnsi="宋体"/>
                <w:szCs w:val="21"/>
                <w:highlight w:val="none"/>
              </w:rPr>
            </w:pPr>
            <w:r>
              <w:rPr>
                <w:rFonts w:hint="eastAsia" w:ascii="宋体" w:hAnsi="宋体"/>
                <w:szCs w:val="21"/>
                <w:highlight w:val="none"/>
                <w:lang w:val="zh-CN"/>
              </w:rPr>
              <w:t>序号</w:t>
            </w:r>
          </w:p>
        </w:tc>
        <w:tc>
          <w:tcPr>
            <w:tcW w:w="1206" w:type="dxa"/>
            <w:vAlign w:val="center"/>
          </w:tcPr>
          <w:p>
            <w:pPr>
              <w:autoSpaceDE w:val="0"/>
              <w:autoSpaceDN w:val="0"/>
              <w:adjustRightInd w:val="0"/>
              <w:spacing w:line="360" w:lineRule="auto"/>
              <w:rPr>
                <w:rFonts w:ascii="宋体" w:hAnsi="宋体"/>
                <w:szCs w:val="21"/>
                <w:highlight w:val="none"/>
              </w:rPr>
            </w:pPr>
          </w:p>
        </w:tc>
        <w:tc>
          <w:tcPr>
            <w:tcW w:w="832" w:type="dxa"/>
            <w:gridSpan w:val="2"/>
            <w:vAlign w:val="center"/>
          </w:tcPr>
          <w:p>
            <w:pPr>
              <w:autoSpaceDE w:val="0"/>
              <w:autoSpaceDN w:val="0"/>
              <w:adjustRightInd w:val="0"/>
              <w:spacing w:line="360" w:lineRule="auto"/>
              <w:rPr>
                <w:rFonts w:ascii="宋体" w:hAnsi="宋体"/>
                <w:szCs w:val="21"/>
                <w:highlight w:val="none"/>
              </w:rPr>
            </w:pPr>
            <w:r>
              <w:rPr>
                <w:rFonts w:hint="eastAsia" w:ascii="宋体" w:hAnsi="宋体"/>
                <w:szCs w:val="21"/>
                <w:highlight w:val="none"/>
                <w:lang w:val="zh-CN"/>
              </w:rPr>
              <w:t>权重</w:t>
            </w:r>
          </w:p>
        </w:tc>
        <w:tc>
          <w:tcPr>
            <w:tcW w:w="5488" w:type="dxa"/>
            <w:vAlign w:val="center"/>
          </w:tcPr>
          <w:p>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评分规则</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76" w:type="dxa"/>
            <w:vAlign w:val="center"/>
          </w:tcPr>
          <w:p>
            <w:pPr>
              <w:autoSpaceDE w:val="0"/>
              <w:autoSpaceDN w:val="0"/>
              <w:adjustRightInd w:val="0"/>
              <w:spacing w:line="360" w:lineRule="auto"/>
              <w:rPr>
                <w:rFonts w:ascii="宋体" w:hAnsi="宋体"/>
                <w:szCs w:val="21"/>
                <w:highlight w:val="none"/>
              </w:rPr>
            </w:pPr>
            <w:r>
              <w:rPr>
                <w:rFonts w:hint="eastAsia" w:ascii="宋体" w:hAnsi="宋体"/>
                <w:szCs w:val="21"/>
                <w:highlight w:val="none"/>
              </w:rPr>
              <w:t>1</w:t>
            </w:r>
          </w:p>
        </w:tc>
        <w:tc>
          <w:tcPr>
            <w:tcW w:w="1206" w:type="dxa"/>
            <w:vAlign w:val="center"/>
          </w:tcPr>
          <w:p>
            <w:pPr>
              <w:autoSpaceDE w:val="0"/>
              <w:autoSpaceDN w:val="0"/>
              <w:adjustRightInd w:val="0"/>
              <w:spacing w:line="360" w:lineRule="auto"/>
              <w:jc w:val="center"/>
              <w:rPr>
                <w:rFonts w:ascii="宋体" w:hAnsi="宋体"/>
                <w:kern w:val="0"/>
                <w:szCs w:val="21"/>
                <w:highlight w:val="none"/>
              </w:rPr>
            </w:pPr>
            <w:r>
              <w:rPr>
                <w:rFonts w:hint="eastAsia" w:asciiTheme="minorEastAsia" w:hAnsiTheme="minorEastAsia" w:eastAsiaTheme="minorEastAsia" w:cstheme="minorEastAsia"/>
                <w:szCs w:val="21"/>
                <w:highlight w:val="none"/>
              </w:rPr>
              <w:t>拟安排</w:t>
            </w:r>
            <w:r>
              <w:rPr>
                <w:rFonts w:hint="eastAsia" w:asciiTheme="minorEastAsia" w:hAnsiTheme="minorEastAsia" w:cstheme="minorEastAsia"/>
                <w:szCs w:val="21"/>
                <w:highlight w:val="none"/>
              </w:rPr>
              <w:t>项目负责人情况</w:t>
            </w:r>
          </w:p>
        </w:tc>
        <w:tc>
          <w:tcPr>
            <w:tcW w:w="832" w:type="dxa"/>
            <w:gridSpan w:val="2"/>
            <w:vAlign w:val="center"/>
          </w:tcPr>
          <w:p>
            <w:pPr>
              <w:autoSpaceDE w:val="0"/>
              <w:autoSpaceDN w:val="0"/>
              <w:adjustRightInd w:val="0"/>
              <w:spacing w:line="360" w:lineRule="auto"/>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8</w:t>
            </w:r>
          </w:p>
        </w:tc>
        <w:tc>
          <w:tcPr>
            <w:tcW w:w="5488" w:type="dxa"/>
            <w:vAlign w:val="center"/>
          </w:tcPr>
          <w:p>
            <w:pPr>
              <w:autoSpaceDE w:val="0"/>
              <w:autoSpaceDN w:val="0"/>
              <w:spacing w:line="360" w:lineRule="exact"/>
              <w:jc w:val="left"/>
              <w:rPr>
                <w:b/>
                <w:bCs/>
                <w:color w:val="000000" w:themeColor="text1"/>
                <w:highlight w:val="none"/>
                <w14:textFill>
                  <w14:solidFill>
                    <w14:schemeClr w14:val="tx1"/>
                  </w14:solidFill>
                </w14:textFill>
              </w:rPr>
            </w:pPr>
            <w:r>
              <w:rPr>
                <w:rFonts w:hint="eastAsia"/>
                <w:b/>
                <w:bCs/>
                <w:color w:val="000000" w:themeColor="text1"/>
                <w:highlight w:val="none"/>
                <w:lang w:val="zh-CN"/>
                <w14:textFill>
                  <w14:solidFill>
                    <w14:schemeClr w14:val="tx1"/>
                  </w14:solidFill>
                </w14:textFill>
              </w:rPr>
              <w:t>评审标准：</w:t>
            </w:r>
          </w:p>
          <w:p>
            <w:pPr>
              <w:widowControl/>
              <w:shd w:val="clear" w:color="auto" w:fill="FFFFFF"/>
              <w:autoSpaceDE w:val="0"/>
              <w:autoSpaceDN w:val="0"/>
              <w:adjustRightIn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拟安排项目负责人情况：</w:t>
            </w:r>
          </w:p>
          <w:p>
            <w:pPr>
              <w:widowControl/>
              <w:shd w:val="clear" w:color="auto" w:fill="FFFFFF"/>
              <w:autoSpaceDE w:val="0"/>
              <w:autoSpaceDN w:val="0"/>
              <w:adjustRightInd w:val="0"/>
              <w:spacing w:line="360" w:lineRule="auto"/>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具有一级注册建造师（机电）得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1分</w:t>
            </w:r>
          </w:p>
          <w:p>
            <w:pPr>
              <w:widowControl/>
              <w:shd w:val="clear" w:color="auto" w:fill="FFFFFF"/>
              <w:autoSpaceDE w:val="0"/>
              <w:autoSpaceDN w:val="0"/>
              <w:adjustRightInd w:val="0"/>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具有工程相关专业高级职称得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p>
            <w:pPr>
              <w:widowControl/>
              <w:shd w:val="clear" w:color="auto" w:fill="FFFFFF"/>
              <w:autoSpaceDE w:val="0"/>
              <w:autoSpaceDN w:val="0"/>
              <w:adjustRightInd w:val="0"/>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）项目负责人具有类似项目业绩经验（</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指广告牌、招牌、标识系统业绩</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p>
            <w:pPr>
              <w:widowControl/>
              <w:wordWrap w:val="0"/>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）项目负责人类似项目业绩（</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指广告牌、招牌、标识系统业绩</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获得省部级以上奖项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p>
            <w:pPr>
              <w:widowControl/>
              <w:shd w:val="clear" w:color="auto" w:fill="FFFFFF"/>
              <w:autoSpaceDE w:val="0"/>
              <w:autoSpaceDN w:val="0"/>
              <w:adjustRightInd w:val="0"/>
              <w:spacing w:line="360" w:lineRule="auto"/>
              <w:rPr>
                <w:rFonts w:asciiTheme="minorEastAsia" w:hAnsiTheme="minorEastAsia" w:cstheme="minorEastAsia"/>
                <w:b/>
                <w:color w:val="000000" w:themeColor="text1"/>
                <w:szCs w:val="21"/>
                <w:highlight w:val="none"/>
                <w:lang w:val="zh-CN"/>
                <w14:textFill>
                  <w14:solidFill>
                    <w14:schemeClr w14:val="tx1"/>
                  </w14:solidFill>
                </w14:textFill>
              </w:rPr>
            </w:pPr>
            <w:r>
              <w:rPr>
                <w:rFonts w:hint="eastAsia" w:asciiTheme="minorEastAsia" w:hAnsiTheme="minorEastAsia" w:cstheme="minorEastAsia"/>
                <w:b/>
                <w:color w:val="000000" w:themeColor="text1"/>
                <w:szCs w:val="21"/>
                <w:highlight w:val="none"/>
                <w14:textFill>
                  <w14:solidFill>
                    <w14:schemeClr w14:val="tx1"/>
                  </w14:solidFill>
                </w14:textFill>
              </w:rPr>
              <w:t>证明文件</w:t>
            </w:r>
            <w:r>
              <w:rPr>
                <w:rFonts w:hint="eastAsia" w:asciiTheme="minorEastAsia" w:hAnsiTheme="minorEastAsia" w:cstheme="minorEastAsia"/>
                <w:b/>
                <w:color w:val="000000" w:themeColor="text1"/>
                <w:szCs w:val="21"/>
                <w:highlight w:val="none"/>
                <w:lang w:val="zh-CN"/>
                <w14:textFill>
                  <w14:solidFill>
                    <w14:schemeClr w14:val="tx1"/>
                  </w14:solidFill>
                </w14:textFill>
              </w:rPr>
              <w:t>：</w:t>
            </w:r>
          </w:p>
          <w:p>
            <w:pPr>
              <w:pStyle w:val="2"/>
              <w:rPr>
                <w:color w:val="000000" w:themeColor="text1"/>
                <w:highlight w:val="none"/>
                <w:lang w:val="zh-CN"/>
                <w14:textFill>
                  <w14:solidFill>
                    <w14:schemeClr w14:val="tx1"/>
                  </w14:solidFill>
                </w14:textFill>
              </w:rPr>
            </w:pPr>
            <w:r>
              <w:rPr>
                <w:rFonts w:hint="eastAsia" w:asciiTheme="minorEastAsia" w:hAnsiTheme="minorEastAsia" w:cstheme="minorEastAsia"/>
                <w:b w:val="0"/>
                <w:color w:val="000000" w:themeColor="text1"/>
                <w:sz w:val="21"/>
                <w:szCs w:val="21"/>
                <w:highlight w:val="none"/>
                <w14:textFill>
                  <w14:solidFill>
                    <w14:schemeClr w14:val="tx1"/>
                  </w14:solidFill>
                </w14:textFill>
              </w:rPr>
              <w:t>须提供投标截止日前近</w:t>
            </w:r>
            <w:r>
              <w:rPr>
                <w:rFonts w:hint="eastAsia" w:asciiTheme="minorEastAsia" w:hAnsiTheme="minorEastAsia" w:cstheme="minorEastAsia"/>
                <w:b w:val="0"/>
                <w:color w:val="000000" w:themeColor="text1"/>
                <w:sz w:val="21"/>
                <w:szCs w:val="21"/>
                <w:highlight w:val="none"/>
                <w:u w:val="single"/>
                <w14:textFill>
                  <w14:solidFill>
                    <w14:schemeClr w14:val="tx1"/>
                  </w14:solidFill>
                </w14:textFill>
              </w:rPr>
              <w:t>6</w:t>
            </w:r>
            <w:r>
              <w:rPr>
                <w:rFonts w:hint="eastAsia" w:asciiTheme="minorEastAsia" w:hAnsiTheme="minorEastAsia" w:cstheme="minorEastAsia"/>
                <w:b w:val="0"/>
                <w:color w:val="000000" w:themeColor="text1"/>
                <w:sz w:val="21"/>
                <w:szCs w:val="21"/>
                <w:highlight w:val="none"/>
                <w14:textFill>
                  <w14:solidFill>
                    <w14:schemeClr w14:val="tx1"/>
                  </w14:solidFill>
                </w14:textFill>
              </w:rPr>
              <w:t>个月（若当月不能开具社保证明，可往前顺延一个月）在本单位购买的社保清单、业绩证明文件（需体现职务）、学历证明文件以及相应人员的职称证、执业证，不提供不得分，专家无法辨认的不得分。</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r>
              <w:rPr>
                <w:rFonts w:hint="eastAsia" w:ascii="宋体" w:hAnsi="宋体"/>
                <w:szCs w:val="21"/>
                <w:highlight w:val="none"/>
                <w:lang w:val="zh-CN"/>
              </w:rPr>
              <w:t>2</w:t>
            </w:r>
          </w:p>
        </w:tc>
        <w:tc>
          <w:tcPr>
            <w:tcW w:w="1206" w:type="dxa"/>
            <w:vAlign w:val="center"/>
          </w:tcPr>
          <w:p>
            <w:pPr>
              <w:autoSpaceDE w:val="0"/>
              <w:autoSpaceDN w:val="0"/>
              <w:adjustRightInd w:val="0"/>
              <w:spacing w:line="360" w:lineRule="auto"/>
              <w:rPr>
                <w:rFonts w:ascii="宋体" w:hAnsi="宋体"/>
                <w:kern w:val="0"/>
                <w:szCs w:val="21"/>
                <w:highlight w:val="none"/>
                <w:lang w:val="zh-CN"/>
              </w:rPr>
            </w:pPr>
            <w:r>
              <w:rPr>
                <w:rFonts w:hint="eastAsia" w:asciiTheme="minorEastAsia" w:hAnsiTheme="minorEastAsia" w:eastAsiaTheme="minorEastAsia" w:cstheme="minorEastAsia"/>
                <w:szCs w:val="21"/>
                <w:highlight w:val="none"/>
              </w:rPr>
              <w:t>拟安排</w:t>
            </w:r>
            <w:r>
              <w:rPr>
                <w:rFonts w:hint="eastAsia" w:asciiTheme="minorEastAsia" w:hAnsiTheme="minorEastAsia" w:cstheme="minorEastAsia"/>
                <w:szCs w:val="21"/>
                <w:highlight w:val="none"/>
              </w:rPr>
              <w:t>项目班子成员（项目负责人除外）</w:t>
            </w:r>
          </w:p>
        </w:tc>
        <w:tc>
          <w:tcPr>
            <w:tcW w:w="832" w:type="dxa"/>
            <w:gridSpan w:val="2"/>
            <w:vAlign w:val="center"/>
          </w:tcPr>
          <w:p>
            <w:pPr>
              <w:autoSpaceDE w:val="0"/>
              <w:autoSpaceDN w:val="0"/>
              <w:adjustRightInd w:val="0"/>
              <w:spacing w:line="360" w:lineRule="auto"/>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3</w:t>
            </w:r>
          </w:p>
        </w:tc>
        <w:tc>
          <w:tcPr>
            <w:tcW w:w="5488"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（1）投标人项目班子成员配备齐全，具有施工员、安全员、质量（检）员各至少1名的得1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分，并分别提供住建部门颁发的资格证书复印件。</w:t>
            </w:r>
          </w:p>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（2）特种工人员齐全，架子工、高处作业吊篮安装拆卸工、电工、电焊工、木工、测量各至少1人的得1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分，分别提供以上人员证书复印件。</w:t>
            </w:r>
          </w:p>
          <w:p>
            <w:pPr>
              <w:pStyle w:val="2"/>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（3）同一人具有多项证书的可以重复计分。不具备或未提供有效证明文件的不得分。</w:t>
            </w:r>
          </w:p>
          <w:p>
            <w:pPr>
              <w:widowControl/>
              <w:shd w:val="clear" w:color="auto" w:fill="FFFFFF"/>
              <w:autoSpaceDE w:val="0"/>
              <w:autoSpaceDN w:val="0"/>
              <w:adjustRightInd w:val="0"/>
              <w:spacing w:line="360" w:lineRule="auto"/>
              <w:rPr>
                <w:rFonts w:asciiTheme="minorEastAsia" w:hAnsiTheme="minorEastAsia" w:cstheme="minorEastAsia"/>
                <w:b/>
                <w:szCs w:val="21"/>
                <w:highlight w:val="none"/>
                <w:lang w:val="zh-CN"/>
              </w:rPr>
            </w:pPr>
            <w:r>
              <w:rPr>
                <w:rFonts w:hint="eastAsia" w:asciiTheme="minorEastAsia" w:hAnsiTheme="minorEastAsia" w:cstheme="minorEastAsia"/>
                <w:b/>
                <w:szCs w:val="21"/>
                <w:highlight w:val="none"/>
              </w:rPr>
              <w:t>证明文件</w:t>
            </w:r>
            <w:r>
              <w:rPr>
                <w:rFonts w:hint="eastAsia" w:asciiTheme="minorEastAsia" w:hAnsiTheme="minorEastAsia" w:cstheme="minorEastAsia"/>
                <w:b/>
                <w:szCs w:val="21"/>
                <w:highlight w:val="none"/>
                <w:lang w:val="zh-CN"/>
              </w:rPr>
              <w:t>：</w:t>
            </w:r>
          </w:p>
          <w:p>
            <w:pPr>
              <w:pStyle w:val="2"/>
              <w:spacing w:line="360" w:lineRule="auto"/>
              <w:rPr>
                <w:highlight w:val="none"/>
              </w:rPr>
            </w:pPr>
            <w:r>
              <w:rPr>
                <w:rFonts w:hint="eastAsia" w:asciiTheme="minorEastAsia" w:hAnsiTheme="minorEastAsia" w:cstheme="minorEastAsia"/>
                <w:b w:val="0"/>
                <w:sz w:val="21"/>
                <w:szCs w:val="21"/>
                <w:highlight w:val="none"/>
              </w:rPr>
              <w:t>提供以上人员证书以及投标截止日前近</w:t>
            </w:r>
            <w:r>
              <w:rPr>
                <w:rFonts w:hint="eastAsia" w:asciiTheme="minorEastAsia" w:hAnsiTheme="minorEastAsia" w:cstheme="minorEastAsia"/>
                <w:b w:val="0"/>
                <w:sz w:val="21"/>
                <w:szCs w:val="21"/>
                <w:highlight w:val="none"/>
                <w:u w:val="single"/>
              </w:rPr>
              <w:t>1</w:t>
            </w:r>
            <w:r>
              <w:rPr>
                <w:rFonts w:hint="eastAsia" w:asciiTheme="minorEastAsia" w:hAnsiTheme="minorEastAsia" w:cstheme="minorEastAsia"/>
                <w:b w:val="0"/>
                <w:sz w:val="21"/>
                <w:szCs w:val="21"/>
                <w:highlight w:val="none"/>
              </w:rPr>
              <w:t>个月（若当月不能开具社保证明，可往前顺延一个月）在本单位购买的社保清单，不提供不得分，专家无法辨认的不得分。</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p>
        </w:tc>
        <w:tc>
          <w:tcPr>
            <w:tcW w:w="1206"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样品</w:t>
            </w:r>
          </w:p>
        </w:tc>
        <w:tc>
          <w:tcPr>
            <w:tcW w:w="832" w:type="dxa"/>
            <w:gridSpan w:val="2"/>
            <w:vAlign w:val="center"/>
          </w:tcPr>
          <w:p>
            <w:pPr>
              <w:autoSpaceDE w:val="0"/>
              <w:autoSpaceDN w:val="0"/>
              <w:adjustRightInd w:val="0"/>
              <w:spacing w:line="360" w:lineRule="auto"/>
              <w:jc w:val="left"/>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5488"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w:t>
            </w:r>
            <w:r>
              <w:rPr>
                <w:rFonts w:hint="eastAsia" w:ascii="宋体" w:hAnsi="宋体"/>
                <w:color w:val="000000" w:themeColor="text1"/>
                <w:szCs w:val="21"/>
                <w:highlight w:val="none"/>
                <w14:textFill>
                  <w14:solidFill>
                    <w14:schemeClr w14:val="tx1"/>
                  </w14:solidFill>
                </w14:textFill>
              </w:rPr>
              <w:t>对标识标牌的工艺理解充分，并</w:t>
            </w:r>
            <w:r>
              <w:rPr>
                <w:rFonts w:hint="eastAsia"/>
                <w:color w:val="000000" w:themeColor="text1"/>
                <w:highlight w:val="none"/>
                <w14:textFill>
                  <w14:solidFill>
                    <w14:schemeClr w14:val="tx1"/>
                  </w14:solidFill>
                </w14:textFill>
              </w:rPr>
              <w:t>按照招标文件的</w:t>
            </w:r>
            <w:r>
              <w:rPr>
                <w:rFonts w:hint="eastAsia"/>
                <w:color w:val="000000" w:themeColor="text1"/>
                <w:highlight w:val="none"/>
                <w:lang w:eastAsia="zh-CN"/>
                <w14:textFill>
                  <w14:solidFill>
                    <w14:schemeClr w14:val="tx1"/>
                  </w14:solidFill>
                </w14:textFill>
              </w:rPr>
              <w:t>具体</w:t>
            </w:r>
            <w:r>
              <w:rPr>
                <w:rFonts w:hint="eastAsia"/>
                <w:color w:val="000000" w:themeColor="text1"/>
                <w:highlight w:val="none"/>
                <w14:textFill>
                  <w14:solidFill>
                    <w14:schemeClr w14:val="tx1"/>
                  </w14:solidFill>
                </w14:textFill>
              </w:rPr>
              <w:t>技术要求对</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清单第</w:t>
            </w:r>
            <w:r>
              <w:rPr>
                <w:rFonts w:hint="eastAsia"/>
                <w:b/>
                <w:bCs/>
                <w:color w:val="000000" w:themeColor="text1"/>
                <w:highlight w:val="none"/>
                <w:lang w:val="en-US" w:eastAsia="zh-CN"/>
                <w14:textFill>
                  <w14:solidFill>
                    <w14:schemeClr w14:val="tx1"/>
                  </w14:solidFill>
                </w14:textFill>
              </w:rPr>
              <w:t>18项标</w:t>
            </w:r>
            <w:r>
              <w:rPr>
                <w:rFonts w:hint="eastAsia" w:ascii="宋体" w:hAnsi="宋体"/>
                <w:b/>
                <w:bCs/>
                <w:color w:val="000000" w:themeColor="text1"/>
                <w:szCs w:val="21"/>
                <w:highlight w:val="none"/>
                <w14:textFill>
                  <w14:solidFill>
                    <w14:schemeClr w14:val="tx1"/>
                  </w14:solidFill>
                </w14:textFill>
              </w:rPr>
              <w:t>牌</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清单第</w:t>
            </w:r>
            <w:r>
              <w:rPr>
                <w:rFonts w:hint="eastAsia"/>
                <w:b/>
                <w:bCs/>
                <w:color w:val="000000" w:themeColor="text1"/>
                <w:highlight w:val="none"/>
                <w:lang w:val="en-US" w:eastAsia="zh-CN"/>
                <w14:textFill>
                  <w14:solidFill>
                    <w14:schemeClr w14:val="tx1"/>
                  </w14:solidFill>
                </w14:textFill>
              </w:rPr>
              <w:t>19项标</w:t>
            </w:r>
            <w:r>
              <w:rPr>
                <w:rFonts w:hint="eastAsia" w:ascii="宋体" w:hAnsi="宋体"/>
                <w:b/>
                <w:bCs/>
                <w:color w:val="000000" w:themeColor="text1"/>
                <w:szCs w:val="21"/>
                <w:highlight w:val="none"/>
                <w14:textFill>
                  <w14:solidFill>
                    <w14:schemeClr w14:val="tx1"/>
                  </w14:solidFill>
                </w14:textFill>
              </w:rPr>
              <w:t>牌</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清单</w:t>
            </w:r>
            <w:r>
              <w:rPr>
                <w:rFonts w:hint="eastAsia"/>
                <w:b/>
                <w:bCs/>
                <w:color w:val="000000" w:themeColor="text1"/>
                <w:highlight w:val="none"/>
                <w:lang w:val="en-US" w:eastAsia="zh-CN"/>
                <w14:textFill>
                  <w14:solidFill>
                    <w14:schemeClr w14:val="tx1"/>
                  </w14:solidFill>
                </w14:textFill>
              </w:rPr>
              <w:t>20项标</w:t>
            </w:r>
            <w:r>
              <w:rPr>
                <w:rFonts w:hint="eastAsia" w:ascii="宋体" w:hAnsi="宋体"/>
                <w:b/>
                <w:bCs/>
                <w:color w:val="000000" w:themeColor="text1"/>
                <w:szCs w:val="21"/>
                <w:highlight w:val="none"/>
                <w14:textFill>
                  <w14:solidFill>
                    <w14:schemeClr w14:val="tx1"/>
                  </w14:solidFill>
                </w14:textFill>
              </w:rPr>
              <w:t>牌</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、“清单第23项标牌”</w:t>
            </w:r>
            <w:r>
              <w:rPr>
                <w:rFonts w:hint="eastAsia" w:ascii="宋体" w:hAnsi="宋体"/>
                <w:b/>
                <w:bCs/>
                <w:color w:val="000000" w:themeColor="text1"/>
                <w:szCs w:val="21"/>
                <w:highlight w:val="none"/>
                <w14:textFill>
                  <w14:solidFill>
                    <w14:schemeClr w14:val="tx1"/>
                  </w14:solidFill>
                </w14:textFill>
              </w:rPr>
              <w:t>制作样品一块</w:t>
            </w:r>
            <w:r>
              <w:rPr>
                <w:rFonts w:hint="eastAsia" w:ascii="宋体" w:hAnsi="宋体"/>
                <w:color w:val="000000" w:themeColor="text1"/>
                <w:szCs w:val="21"/>
                <w:highlight w:val="none"/>
                <w14:textFill>
                  <w14:solidFill>
                    <w14:schemeClr w14:val="tx1"/>
                  </w14:solidFill>
                </w14:textFill>
              </w:rPr>
              <w:t>,评标委员会根据样品</w:t>
            </w:r>
            <w:r>
              <w:rPr>
                <w:rFonts w:hint="eastAsia"/>
                <w:color w:val="000000" w:themeColor="text1"/>
                <w:highlight w:val="none"/>
                <w14:textFill>
                  <w14:solidFill>
                    <w14:schemeClr w14:val="tx1"/>
                  </w14:solidFill>
                </w14:textFill>
              </w:rPr>
              <w:t>制作工艺、材料、外观</w:t>
            </w:r>
            <w:r>
              <w:rPr>
                <w:color w:val="000000" w:themeColor="text1"/>
                <w:highlight w:val="none"/>
                <w14:textFill>
                  <w14:solidFill>
                    <w14:schemeClr w14:val="tx1"/>
                  </w14:solidFill>
                </w14:textFill>
              </w:rPr>
              <w:t>等方面进行评审。</w:t>
            </w:r>
          </w:p>
          <w:p>
            <w:pPr>
              <w:numPr>
                <w:ilvl w:val="0"/>
                <w:numId w:val="24"/>
              </w:num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有样品且数量符合要求，样品制作工艺精良、表观质量上乘、</w:t>
            </w:r>
            <w:r>
              <w:rPr>
                <w:rFonts w:hint="eastAsia"/>
                <w:color w:val="000000" w:themeColor="text1"/>
                <w:highlight w:val="none"/>
                <w:lang w:eastAsia="zh-CN"/>
                <w14:textFill>
                  <w14:solidFill>
                    <w14:schemeClr w14:val="tx1"/>
                  </w14:solidFill>
                </w14:textFill>
              </w:rPr>
              <w:t>与图纸符合、</w:t>
            </w:r>
            <w:r>
              <w:rPr>
                <w:rFonts w:hint="eastAsia"/>
                <w:color w:val="000000" w:themeColor="text1"/>
                <w:highlight w:val="none"/>
                <w14:textFill>
                  <w14:solidFill>
                    <w14:schemeClr w14:val="tx1"/>
                  </w14:solidFill>
                </w14:textFill>
              </w:rPr>
              <w:t>材料用料满足招标文件要求得</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分。</w:t>
            </w:r>
          </w:p>
          <w:p>
            <w:pPr>
              <w:numPr>
                <w:ilvl w:val="0"/>
                <w:numId w:val="24"/>
              </w:num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有样品但样品制作工艺一般、表观质量一般</w:t>
            </w:r>
            <w:r>
              <w:rPr>
                <w:rFonts w:hint="eastAsia"/>
                <w:color w:val="000000" w:themeColor="text1"/>
                <w:highlight w:val="none"/>
                <w:lang w:eastAsia="zh-CN"/>
                <w14:textFill>
                  <w14:solidFill>
                    <w14:schemeClr w14:val="tx1"/>
                  </w14:solidFill>
                </w14:textFill>
              </w:rPr>
              <w:t>、基本符合图纸要求、</w:t>
            </w:r>
            <w:r>
              <w:rPr>
                <w:rFonts w:hint="eastAsia"/>
                <w:color w:val="000000" w:themeColor="text1"/>
                <w:highlight w:val="none"/>
                <w14:textFill>
                  <w14:solidFill>
                    <w14:schemeClr w14:val="tx1"/>
                  </w14:solidFill>
                </w14:textFill>
              </w:rPr>
              <w:t>材料用料基本满足招标文件。得5分，</w:t>
            </w:r>
          </w:p>
          <w:p>
            <w:pPr>
              <w:spacing w:line="360" w:lineRule="auto"/>
              <w:jc w:val="left"/>
              <w:rPr>
                <w:rFonts w:asciiTheme="minorEastAsia" w:hAnsiTheme="minorEastAsia" w:cstheme="minorEastAsia"/>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（3）无样品或样品制作工艺一般、表观质量粗糙、材料用料不符合招标文件要求，得0分。</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p>
        </w:tc>
        <w:tc>
          <w:tcPr>
            <w:tcW w:w="1206" w:type="dxa"/>
            <w:vAlign w:val="center"/>
          </w:tcPr>
          <w:p>
            <w:pPr>
              <w:autoSpaceDE w:val="0"/>
              <w:autoSpaceDN w:val="0"/>
              <w:adjustRightInd w:val="0"/>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供货方案</w:t>
            </w:r>
          </w:p>
        </w:tc>
        <w:tc>
          <w:tcPr>
            <w:tcW w:w="832" w:type="dxa"/>
            <w:gridSpan w:val="2"/>
            <w:vAlign w:val="center"/>
          </w:tcPr>
          <w:p>
            <w:pPr>
              <w:autoSpaceDE w:val="0"/>
              <w:autoSpaceDN w:val="0"/>
              <w:adjustRightInd w:val="0"/>
              <w:spacing w:line="360" w:lineRule="auto"/>
              <w:jc w:val="left"/>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4</w:t>
            </w:r>
          </w:p>
        </w:tc>
        <w:tc>
          <w:tcPr>
            <w:tcW w:w="5488" w:type="dxa"/>
            <w:vAlign w:val="center"/>
          </w:tcPr>
          <w:p>
            <w:pPr>
              <w:spacing w:line="300" w:lineRule="auto"/>
              <w:jc w:val="left"/>
              <w:rPr>
                <w:rFonts w:asciiTheme="minorEastAsia" w:hAnsiTheme="minorEastAsia" w:cstheme="minorEastAsia"/>
                <w:bCs/>
                <w:szCs w:val="21"/>
                <w:highlight w:val="none"/>
                <w:lang w:val="zh-CN"/>
              </w:rPr>
            </w:pPr>
            <w:r>
              <w:rPr>
                <w:rFonts w:hint="eastAsia" w:asciiTheme="minorEastAsia" w:hAnsiTheme="minorEastAsia" w:cstheme="minorEastAsia"/>
                <w:bCs/>
                <w:szCs w:val="21"/>
                <w:highlight w:val="none"/>
                <w:lang w:val="zh-CN"/>
              </w:rPr>
              <w:t>考察投标人提供项目供货方案：</w:t>
            </w:r>
          </w:p>
          <w:p>
            <w:pPr>
              <w:spacing w:line="300" w:lineRule="auto"/>
              <w:jc w:val="left"/>
              <w:rPr>
                <w:rFonts w:ascii="宋体" w:hAnsi="宋体" w:cs="宋体"/>
                <w:szCs w:val="21"/>
                <w:highlight w:val="none"/>
              </w:rPr>
            </w:pPr>
            <w:r>
              <w:rPr>
                <w:rFonts w:hint="eastAsia" w:ascii="宋体" w:hAnsi="宋体" w:cs="宋体"/>
                <w:szCs w:val="21"/>
                <w:highlight w:val="none"/>
              </w:rPr>
              <w:t>（1）</w:t>
            </w:r>
            <w:r>
              <w:rPr>
                <w:rFonts w:hint="eastAsia" w:asciiTheme="minorEastAsia" w:hAnsiTheme="minorEastAsia" w:cstheme="minorEastAsia"/>
                <w:bCs/>
                <w:szCs w:val="21"/>
                <w:highlight w:val="none"/>
                <w:lang w:val="zh-CN"/>
              </w:rPr>
              <w:t>供货方案措施</w:t>
            </w:r>
            <w:r>
              <w:rPr>
                <w:rFonts w:hint="eastAsia" w:ascii="宋体" w:hAnsi="宋体" w:cs="宋体"/>
                <w:szCs w:val="21"/>
                <w:highlight w:val="none"/>
              </w:rPr>
              <w:t>内容全面；</w:t>
            </w:r>
          </w:p>
          <w:p>
            <w:pPr>
              <w:spacing w:line="300" w:lineRule="auto"/>
              <w:jc w:val="left"/>
              <w:rPr>
                <w:rFonts w:ascii="宋体" w:hAnsi="宋体" w:cs="宋体"/>
                <w:szCs w:val="21"/>
                <w:highlight w:val="none"/>
              </w:rPr>
            </w:pPr>
            <w:r>
              <w:rPr>
                <w:rFonts w:hint="eastAsia" w:ascii="宋体" w:hAnsi="宋体" w:cs="宋体"/>
                <w:szCs w:val="21"/>
                <w:highlight w:val="none"/>
              </w:rPr>
              <w:t>（2）</w:t>
            </w:r>
            <w:r>
              <w:rPr>
                <w:rFonts w:hint="eastAsia" w:asciiTheme="minorEastAsia" w:hAnsiTheme="minorEastAsia" w:cstheme="minorEastAsia"/>
                <w:bCs/>
                <w:szCs w:val="21"/>
                <w:highlight w:val="none"/>
                <w:lang w:val="zh-CN"/>
              </w:rPr>
              <w:t>供货方案措施</w:t>
            </w:r>
            <w:r>
              <w:rPr>
                <w:rFonts w:hint="eastAsia" w:ascii="宋体" w:hAnsi="宋体" w:cs="宋体"/>
                <w:szCs w:val="21"/>
                <w:highlight w:val="none"/>
              </w:rPr>
              <w:t>内容具体；</w:t>
            </w:r>
          </w:p>
          <w:p>
            <w:pPr>
              <w:spacing w:line="300" w:lineRule="auto"/>
              <w:jc w:val="left"/>
              <w:rPr>
                <w:rFonts w:ascii="宋体" w:hAnsi="宋体" w:cs="宋体"/>
                <w:szCs w:val="21"/>
                <w:highlight w:val="none"/>
              </w:rPr>
            </w:pPr>
            <w:r>
              <w:rPr>
                <w:rFonts w:hint="eastAsia" w:ascii="宋体" w:hAnsi="宋体" w:cs="宋体"/>
                <w:szCs w:val="21"/>
                <w:highlight w:val="none"/>
              </w:rPr>
              <w:t>（3）</w:t>
            </w:r>
            <w:r>
              <w:rPr>
                <w:rFonts w:hint="eastAsia" w:asciiTheme="minorEastAsia" w:hAnsiTheme="minorEastAsia" w:cstheme="minorEastAsia"/>
                <w:bCs/>
                <w:szCs w:val="21"/>
                <w:highlight w:val="none"/>
                <w:lang w:val="zh-CN"/>
              </w:rPr>
              <w:t>供货方案</w:t>
            </w:r>
            <w:r>
              <w:rPr>
                <w:rFonts w:hint="eastAsia" w:ascii="宋体" w:hAnsi="宋体" w:cs="宋体"/>
                <w:szCs w:val="21"/>
                <w:highlight w:val="none"/>
              </w:rPr>
              <w:t>内容科学合理；</w:t>
            </w:r>
          </w:p>
          <w:p>
            <w:pPr>
              <w:spacing w:line="300" w:lineRule="auto"/>
              <w:jc w:val="left"/>
              <w:rPr>
                <w:rFonts w:ascii="宋体" w:hAnsi="宋体" w:cs="宋体"/>
                <w:szCs w:val="21"/>
                <w:highlight w:val="none"/>
              </w:rPr>
            </w:pPr>
            <w:r>
              <w:rPr>
                <w:rFonts w:hint="eastAsia" w:ascii="宋体" w:hAnsi="宋体" w:cs="宋体"/>
                <w:szCs w:val="21"/>
                <w:highlight w:val="none"/>
              </w:rPr>
              <w:t>（4）</w:t>
            </w:r>
            <w:r>
              <w:rPr>
                <w:rFonts w:hint="eastAsia" w:asciiTheme="minorEastAsia" w:hAnsiTheme="minorEastAsia" w:cstheme="minorEastAsia"/>
                <w:bCs/>
                <w:szCs w:val="21"/>
                <w:highlight w:val="none"/>
                <w:lang w:val="zh-CN"/>
              </w:rPr>
              <w:t>供货方案</w:t>
            </w:r>
            <w:r>
              <w:rPr>
                <w:rFonts w:hint="eastAsia" w:ascii="宋体" w:hAnsi="宋体" w:cs="宋体"/>
                <w:szCs w:val="21"/>
                <w:highlight w:val="none"/>
              </w:rPr>
              <w:t>内容针对性强；</w:t>
            </w:r>
          </w:p>
          <w:p>
            <w:pPr>
              <w:spacing w:line="300" w:lineRule="auto"/>
              <w:jc w:val="left"/>
              <w:rPr>
                <w:rFonts w:ascii="宋体" w:hAnsi="宋体" w:cs="宋体"/>
                <w:szCs w:val="21"/>
                <w:highlight w:val="none"/>
              </w:rPr>
            </w:pPr>
            <w:r>
              <w:rPr>
                <w:rFonts w:hint="eastAsia" w:ascii="宋体" w:hAnsi="宋体" w:cs="宋体"/>
                <w:szCs w:val="21"/>
                <w:highlight w:val="none"/>
              </w:rPr>
              <w:t>（5）</w:t>
            </w:r>
            <w:r>
              <w:rPr>
                <w:rFonts w:hint="eastAsia" w:asciiTheme="minorEastAsia" w:hAnsiTheme="minorEastAsia" w:cstheme="minorEastAsia"/>
                <w:bCs/>
                <w:szCs w:val="21"/>
                <w:highlight w:val="none"/>
                <w:lang w:val="zh-CN"/>
              </w:rPr>
              <w:t>供货方案</w:t>
            </w:r>
            <w:r>
              <w:rPr>
                <w:rFonts w:hint="eastAsia" w:ascii="宋体" w:hAnsi="宋体" w:cs="宋体"/>
                <w:szCs w:val="21"/>
                <w:highlight w:val="none"/>
              </w:rPr>
              <w:t>内容可操作性强。</w:t>
            </w:r>
          </w:p>
          <w:p>
            <w:pPr>
              <w:pStyle w:val="2"/>
              <w:spacing w:line="360" w:lineRule="auto"/>
              <w:jc w:val="left"/>
              <w:rPr>
                <w:rFonts w:asciiTheme="minorEastAsia" w:hAnsiTheme="minorEastAsia" w:cstheme="minorEastAsia"/>
                <w:b w:val="0"/>
                <w:sz w:val="21"/>
                <w:szCs w:val="21"/>
                <w:highlight w:val="none"/>
              </w:rPr>
            </w:pPr>
            <w:r>
              <w:rPr>
                <w:rFonts w:hint="eastAsia" w:asciiTheme="minorEastAsia" w:hAnsiTheme="minorEastAsia" w:cstheme="minorEastAsia"/>
                <w:b w:val="0"/>
                <w:sz w:val="21"/>
                <w:szCs w:val="21"/>
                <w:highlight w:val="none"/>
                <w:lang w:val="zh-CN"/>
              </w:rPr>
              <w:t>评标委员会根据以上要求综合评分，优得</w:t>
            </w:r>
            <w:r>
              <w:rPr>
                <w:rFonts w:hint="eastAsia" w:asciiTheme="minorEastAsia" w:hAnsiTheme="minorEastAsia" w:cstheme="minorEastAsia"/>
                <w:b w:val="0"/>
                <w:sz w:val="21"/>
                <w:szCs w:val="21"/>
                <w:highlight w:val="none"/>
                <w:lang w:val="en-US" w:eastAsia="zh-CN"/>
              </w:rPr>
              <w:t>4</w:t>
            </w:r>
            <w:r>
              <w:rPr>
                <w:rFonts w:hint="eastAsia" w:asciiTheme="minorEastAsia" w:hAnsiTheme="minorEastAsia" w:cstheme="minorEastAsia"/>
                <w:b w:val="0"/>
                <w:sz w:val="21"/>
                <w:szCs w:val="21"/>
                <w:highlight w:val="none"/>
              </w:rPr>
              <w:t>分，良得</w:t>
            </w:r>
            <w:r>
              <w:rPr>
                <w:rFonts w:hint="eastAsia" w:asciiTheme="minorEastAsia" w:hAnsiTheme="minorEastAsia" w:cstheme="minorEastAsia"/>
                <w:b w:val="0"/>
                <w:sz w:val="21"/>
                <w:szCs w:val="21"/>
                <w:highlight w:val="none"/>
                <w:lang w:val="en-US" w:eastAsia="zh-CN"/>
              </w:rPr>
              <w:t>2</w:t>
            </w:r>
            <w:r>
              <w:rPr>
                <w:rFonts w:hint="eastAsia" w:asciiTheme="minorEastAsia" w:hAnsiTheme="minorEastAsia" w:cstheme="minorEastAsia"/>
                <w:b w:val="0"/>
                <w:sz w:val="21"/>
                <w:szCs w:val="21"/>
                <w:highlight w:val="none"/>
              </w:rPr>
              <w:t>分，中得1分，差不得分。</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p>
        </w:tc>
        <w:tc>
          <w:tcPr>
            <w:tcW w:w="1206" w:type="dxa"/>
            <w:vAlign w:val="center"/>
          </w:tcPr>
          <w:p>
            <w:pPr>
              <w:autoSpaceDE w:val="0"/>
              <w:autoSpaceDN w:val="0"/>
              <w:adjustRightIn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现场安装方案</w:t>
            </w:r>
          </w:p>
        </w:tc>
        <w:tc>
          <w:tcPr>
            <w:tcW w:w="832" w:type="dxa"/>
            <w:gridSpan w:val="2"/>
            <w:vAlign w:val="center"/>
          </w:tcPr>
          <w:p>
            <w:pPr>
              <w:autoSpaceDE w:val="0"/>
              <w:autoSpaceDN w:val="0"/>
              <w:adjustRightInd w:val="0"/>
              <w:spacing w:line="360" w:lineRule="auto"/>
              <w:jc w:val="left"/>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4</w:t>
            </w:r>
          </w:p>
        </w:tc>
        <w:tc>
          <w:tcPr>
            <w:tcW w:w="5488" w:type="dxa"/>
            <w:vAlign w:val="center"/>
          </w:tcPr>
          <w:p>
            <w:pPr>
              <w:spacing w:line="300" w:lineRule="auto"/>
              <w:jc w:val="left"/>
              <w:rPr>
                <w:rFonts w:asciiTheme="minorEastAsia" w:hAnsiTheme="minorEastAsia" w:cstheme="minorEastAsia"/>
                <w:bCs/>
                <w:szCs w:val="21"/>
                <w:highlight w:val="none"/>
                <w:lang w:val="zh-CN"/>
              </w:rPr>
            </w:pPr>
            <w:r>
              <w:rPr>
                <w:rFonts w:hint="eastAsia" w:asciiTheme="minorEastAsia" w:hAnsiTheme="minorEastAsia" w:cstheme="minorEastAsia"/>
                <w:bCs/>
                <w:szCs w:val="21"/>
                <w:highlight w:val="none"/>
                <w:lang w:val="zh-CN"/>
              </w:rPr>
              <w:t>考察投标人提供项目现场安装方案：</w:t>
            </w:r>
          </w:p>
          <w:p>
            <w:pPr>
              <w:spacing w:line="300" w:lineRule="auto"/>
              <w:jc w:val="left"/>
              <w:rPr>
                <w:rFonts w:ascii="宋体" w:hAnsi="宋体" w:cs="宋体"/>
                <w:szCs w:val="21"/>
                <w:highlight w:val="none"/>
              </w:rPr>
            </w:pPr>
            <w:r>
              <w:rPr>
                <w:rFonts w:hint="eastAsia" w:ascii="宋体" w:hAnsi="宋体" w:cs="宋体"/>
                <w:szCs w:val="21"/>
                <w:highlight w:val="none"/>
              </w:rPr>
              <w:t>（1）</w:t>
            </w:r>
            <w:r>
              <w:rPr>
                <w:rFonts w:hint="eastAsia" w:asciiTheme="minorEastAsia" w:hAnsiTheme="minorEastAsia" w:eastAsiaTheme="minorEastAsia" w:cstheme="minorEastAsia"/>
                <w:szCs w:val="21"/>
                <w:highlight w:val="none"/>
              </w:rPr>
              <w:t>安装方案</w:t>
            </w:r>
            <w:r>
              <w:rPr>
                <w:rFonts w:hint="eastAsia" w:ascii="宋体" w:hAnsi="宋体" w:cs="宋体"/>
                <w:szCs w:val="21"/>
                <w:highlight w:val="none"/>
              </w:rPr>
              <w:t>内容全面；</w:t>
            </w:r>
          </w:p>
          <w:p>
            <w:pPr>
              <w:spacing w:line="300" w:lineRule="auto"/>
              <w:jc w:val="left"/>
              <w:rPr>
                <w:rFonts w:ascii="宋体" w:hAnsi="宋体" w:cs="宋体"/>
                <w:szCs w:val="21"/>
                <w:highlight w:val="none"/>
              </w:rPr>
            </w:pPr>
            <w:r>
              <w:rPr>
                <w:rFonts w:hint="eastAsia" w:ascii="宋体" w:hAnsi="宋体" w:cs="宋体"/>
                <w:szCs w:val="21"/>
                <w:highlight w:val="none"/>
              </w:rPr>
              <w:t>（2）</w:t>
            </w:r>
            <w:r>
              <w:rPr>
                <w:rFonts w:hint="eastAsia" w:asciiTheme="minorEastAsia" w:hAnsiTheme="minorEastAsia" w:eastAsiaTheme="minorEastAsia" w:cstheme="minorEastAsia"/>
                <w:szCs w:val="21"/>
                <w:highlight w:val="none"/>
              </w:rPr>
              <w:t>安装方案</w:t>
            </w:r>
            <w:r>
              <w:rPr>
                <w:rFonts w:hint="eastAsia" w:ascii="宋体" w:hAnsi="宋体" w:cs="宋体"/>
                <w:szCs w:val="21"/>
                <w:highlight w:val="none"/>
              </w:rPr>
              <w:t>内容具体；</w:t>
            </w:r>
          </w:p>
          <w:p>
            <w:pPr>
              <w:spacing w:line="300" w:lineRule="auto"/>
              <w:jc w:val="left"/>
              <w:rPr>
                <w:rFonts w:ascii="宋体" w:hAnsi="宋体" w:cs="宋体"/>
                <w:szCs w:val="21"/>
                <w:highlight w:val="none"/>
              </w:rPr>
            </w:pPr>
            <w:r>
              <w:rPr>
                <w:rFonts w:hint="eastAsia" w:ascii="宋体" w:hAnsi="宋体" w:cs="宋体"/>
                <w:szCs w:val="21"/>
                <w:highlight w:val="none"/>
              </w:rPr>
              <w:t>（3）</w:t>
            </w:r>
            <w:r>
              <w:rPr>
                <w:rFonts w:hint="eastAsia" w:asciiTheme="minorEastAsia" w:hAnsiTheme="minorEastAsia" w:eastAsiaTheme="minorEastAsia" w:cstheme="minorEastAsia"/>
                <w:szCs w:val="21"/>
                <w:highlight w:val="none"/>
              </w:rPr>
              <w:t>安装方案</w:t>
            </w:r>
            <w:r>
              <w:rPr>
                <w:rFonts w:hint="eastAsia" w:ascii="宋体" w:hAnsi="宋体" w:cs="宋体"/>
                <w:szCs w:val="21"/>
                <w:highlight w:val="none"/>
              </w:rPr>
              <w:t>内容科学合理；</w:t>
            </w:r>
          </w:p>
          <w:p>
            <w:pPr>
              <w:spacing w:line="300" w:lineRule="auto"/>
              <w:jc w:val="left"/>
              <w:rPr>
                <w:rFonts w:ascii="宋体" w:hAnsi="宋体" w:cs="宋体"/>
                <w:szCs w:val="21"/>
                <w:highlight w:val="none"/>
              </w:rPr>
            </w:pPr>
            <w:r>
              <w:rPr>
                <w:rFonts w:hint="eastAsia" w:ascii="宋体" w:hAnsi="宋体" w:cs="宋体"/>
                <w:szCs w:val="21"/>
                <w:highlight w:val="none"/>
              </w:rPr>
              <w:t>（4）</w:t>
            </w:r>
            <w:r>
              <w:rPr>
                <w:rFonts w:hint="eastAsia" w:asciiTheme="minorEastAsia" w:hAnsiTheme="minorEastAsia" w:eastAsiaTheme="minorEastAsia" w:cstheme="minorEastAsia"/>
                <w:szCs w:val="21"/>
                <w:highlight w:val="none"/>
              </w:rPr>
              <w:t>安装方案</w:t>
            </w:r>
            <w:r>
              <w:rPr>
                <w:rFonts w:hint="eastAsia" w:ascii="宋体" w:hAnsi="宋体" w:cs="宋体"/>
                <w:szCs w:val="21"/>
                <w:highlight w:val="none"/>
              </w:rPr>
              <w:t>内容针对性强；</w:t>
            </w:r>
          </w:p>
          <w:p>
            <w:pPr>
              <w:spacing w:line="300" w:lineRule="auto"/>
              <w:jc w:val="left"/>
              <w:rPr>
                <w:rFonts w:ascii="宋体" w:hAnsi="宋体" w:cs="宋体"/>
                <w:szCs w:val="21"/>
                <w:highlight w:val="none"/>
              </w:rPr>
            </w:pPr>
            <w:r>
              <w:rPr>
                <w:rFonts w:hint="eastAsia" w:ascii="宋体" w:hAnsi="宋体" w:cs="宋体"/>
                <w:szCs w:val="21"/>
                <w:highlight w:val="none"/>
              </w:rPr>
              <w:t>（5）</w:t>
            </w:r>
            <w:r>
              <w:rPr>
                <w:rFonts w:hint="eastAsia" w:asciiTheme="minorEastAsia" w:hAnsiTheme="minorEastAsia" w:eastAsiaTheme="minorEastAsia" w:cstheme="minorEastAsia"/>
                <w:szCs w:val="21"/>
                <w:highlight w:val="none"/>
              </w:rPr>
              <w:t>安装方案</w:t>
            </w:r>
            <w:r>
              <w:rPr>
                <w:rFonts w:hint="eastAsia" w:ascii="宋体" w:hAnsi="宋体" w:cs="宋体"/>
                <w:szCs w:val="21"/>
                <w:highlight w:val="none"/>
              </w:rPr>
              <w:t>可操作性强。</w:t>
            </w:r>
          </w:p>
          <w:p>
            <w:pPr>
              <w:pStyle w:val="2"/>
              <w:spacing w:line="360" w:lineRule="auto"/>
              <w:jc w:val="left"/>
              <w:rPr>
                <w:rFonts w:asciiTheme="minorEastAsia" w:hAnsiTheme="minorEastAsia" w:cstheme="minorEastAsia"/>
                <w:b w:val="0"/>
                <w:sz w:val="21"/>
                <w:szCs w:val="21"/>
                <w:highlight w:val="none"/>
              </w:rPr>
            </w:pPr>
            <w:r>
              <w:rPr>
                <w:rFonts w:hint="eastAsia" w:asciiTheme="minorEastAsia" w:hAnsiTheme="minorEastAsia" w:cstheme="minorEastAsia"/>
                <w:b w:val="0"/>
                <w:sz w:val="21"/>
                <w:szCs w:val="21"/>
                <w:highlight w:val="none"/>
                <w:lang w:val="zh-CN"/>
              </w:rPr>
              <w:t>评标委员会根据以上要求综合评分，优得</w:t>
            </w:r>
            <w:r>
              <w:rPr>
                <w:rFonts w:hint="eastAsia" w:asciiTheme="minorEastAsia" w:hAnsiTheme="minorEastAsia" w:cstheme="minorEastAsia"/>
                <w:b w:val="0"/>
                <w:sz w:val="21"/>
                <w:szCs w:val="21"/>
                <w:highlight w:val="none"/>
                <w:lang w:val="en-US" w:eastAsia="zh-CN"/>
              </w:rPr>
              <w:t>4</w:t>
            </w:r>
            <w:r>
              <w:rPr>
                <w:rFonts w:hint="eastAsia" w:asciiTheme="minorEastAsia" w:hAnsiTheme="minorEastAsia" w:cstheme="minorEastAsia"/>
                <w:b w:val="0"/>
                <w:sz w:val="21"/>
                <w:szCs w:val="21"/>
                <w:highlight w:val="none"/>
              </w:rPr>
              <w:t>分，良得</w:t>
            </w:r>
            <w:r>
              <w:rPr>
                <w:rFonts w:hint="eastAsia" w:asciiTheme="minorEastAsia" w:hAnsiTheme="minorEastAsia" w:cstheme="minorEastAsia"/>
                <w:b w:val="0"/>
                <w:sz w:val="21"/>
                <w:szCs w:val="21"/>
                <w:highlight w:val="none"/>
                <w:lang w:val="en-US" w:eastAsia="zh-CN"/>
              </w:rPr>
              <w:t>2</w:t>
            </w:r>
            <w:r>
              <w:rPr>
                <w:rFonts w:hint="eastAsia" w:asciiTheme="minorEastAsia" w:hAnsiTheme="minorEastAsia" w:cstheme="minorEastAsia"/>
                <w:b w:val="0"/>
                <w:sz w:val="21"/>
                <w:szCs w:val="21"/>
                <w:highlight w:val="none"/>
              </w:rPr>
              <w:t>分，中得1分，差不得分。</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p>
        </w:tc>
        <w:tc>
          <w:tcPr>
            <w:tcW w:w="1206" w:type="dxa"/>
            <w:vAlign w:val="center"/>
          </w:tcPr>
          <w:p>
            <w:pPr>
              <w:autoSpaceDE w:val="0"/>
              <w:autoSpaceDN w:val="0"/>
              <w:adjustRightInd w:val="0"/>
              <w:spacing w:line="360"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优化方案</w:t>
            </w:r>
            <w:r>
              <w:rPr>
                <w:rFonts w:hint="eastAsia" w:asciiTheme="minorEastAsia" w:hAnsiTheme="minorEastAsia" w:eastAsiaTheme="minorEastAsia" w:cstheme="minorEastAsia"/>
                <w:szCs w:val="21"/>
                <w:highlight w:val="none"/>
                <w:lang w:eastAsia="zh-CN"/>
              </w:rPr>
              <w:t>及重点难点分析</w:t>
            </w:r>
          </w:p>
        </w:tc>
        <w:tc>
          <w:tcPr>
            <w:tcW w:w="832" w:type="dxa"/>
            <w:gridSpan w:val="2"/>
            <w:vAlign w:val="center"/>
          </w:tcPr>
          <w:p>
            <w:pPr>
              <w:autoSpaceDE w:val="0"/>
              <w:autoSpaceDN w:val="0"/>
              <w:adjustRightInd w:val="0"/>
              <w:spacing w:line="360" w:lineRule="auto"/>
              <w:jc w:val="left"/>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4</w:t>
            </w:r>
          </w:p>
        </w:tc>
        <w:tc>
          <w:tcPr>
            <w:tcW w:w="5488" w:type="dxa"/>
            <w:vAlign w:val="center"/>
          </w:tcPr>
          <w:p>
            <w:pPr>
              <w:spacing w:line="300" w:lineRule="auto"/>
              <w:jc w:val="left"/>
              <w:rPr>
                <w:rFonts w:asciiTheme="minorEastAsia" w:hAnsiTheme="minorEastAsia" w:cstheme="minorEastAsia"/>
                <w:bCs/>
                <w:szCs w:val="21"/>
                <w:highlight w:val="none"/>
                <w:lang w:val="zh-CN"/>
              </w:rPr>
            </w:pPr>
            <w:r>
              <w:rPr>
                <w:rFonts w:hint="eastAsia" w:asciiTheme="minorEastAsia" w:hAnsiTheme="minorEastAsia" w:cstheme="minorEastAsia"/>
                <w:bCs/>
                <w:szCs w:val="21"/>
                <w:highlight w:val="none"/>
                <w:lang w:val="zh-CN"/>
              </w:rPr>
              <w:t>考察投标人的对设计图纸、施工工艺的优化能力：</w:t>
            </w:r>
          </w:p>
          <w:p>
            <w:pPr>
              <w:spacing w:line="300" w:lineRule="auto"/>
              <w:jc w:val="left"/>
              <w:rPr>
                <w:rFonts w:ascii="宋体" w:hAnsi="宋体" w:cs="宋体"/>
                <w:szCs w:val="21"/>
                <w:highlight w:val="none"/>
              </w:rPr>
            </w:pPr>
            <w:r>
              <w:rPr>
                <w:rFonts w:hint="eastAsia" w:ascii="宋体" w:hAnsi="宋体" w:cs="宋体"/>
                <w:szCs w:val="21"/>
                <w:highlight w:val="none"/>
              </w:rPr>
              <w:t>（1）</w:t>
            </w:r>
            <w:r>
              <w:rPr>
                <w:rFonts w:hint="eastAsia" w:asciiTheme="minorEastAsia" w:hAnsiTheme="minorEastAsia" w:cstheme="minorEastAsia"/>
                <w:bCs/>
                <w:szCs w:val="21"/>
                <w:highlight w:val="none"/>
                <w:lang w:val="zh-CN"/>
              </w:rPr>
              <w:t>优化</w:t>
            </w:r>
            <w:r>
              <w:rPr>
                <w:rFonts w:hint="eastAsia" w:asciiTheme="minorEastAsia" w:hAnsiTheme="minorEastAsia" w:eastAsiaTheme="minorEastAsia" w:cstheme="minorEastAsia"/>
                <w:szCs w:val="21"/>
                <w:highlight w:val="none"/>
              </w:rPr>
              <w:t>方案</w:t>
            </w:r>
            <w:r>
              <w:rPr>
                <w:rFonts w:hint="eastAsia" w:asciiTheme="minorEastAsia" w:hAnsiTheme="minorEastAsia" w:eastAsiaTheme="minorEastAsia" w:cstheme="minorEastAsia"/>
                <w:szCs w:val="21"/>
                <w:highlight w:val="none"/>
                <w:lang w:eastAsia="zh-CN"/>
              </w:rPr>
              <w:t>及重点难点分析</w:t>
            </w:r>
            <w:r>
              <w:rPr>
                <w:rFonts w:hint="eastAsia" w:ascii="宋体" w:hAnsi="宋体" w:cs="宋体"/>
                <w:szCs w:val="21"/>
                <w:highlight w:val="none"/>
              </w:rPr>
              <w:t>内容全面；</w:t>
            </w:r>
          </w:p>
          <w:p>
            <w:pPr>
              <w:spacing w:line="300" w:lineRule="auto"/>
              <w:jc w:val="left"/>
              <w:rPr>
                <w:rFonts w:ascii="宋体" w:hAnsi="宋体" w:cs="宋体"/>
                <w:szCs w:val="21"/>
                <w:highlight w:val="none"/>
              </w:rPr>
            </w:pPr>
            <w:r>
              <w:rPr>
                <w:rFonts w:hint="eastAsia" w:ascii="宋体" w:hAnsi="宋体" w:cs="宋体"/>
                <w:szCs w:val="21"/>
                <w:highlight w:val="none"/>
              </w:rPr>
              <w:t>（2）</w:t>
            </w:r>
            <w:r>
              <w:rPr>
                <w:rFonts w:hint="eastAsia" w:asciiTheme="minorEastAsia" w:hAnsiTheme="minorEastAsia" w:cstheme="minorEastAsia"/>
                <w:bCs/>
                <w:szCs w:val="21"/>
                <w:highlight w:val="none"/>
                <w:lang w:val="zh-CN"/>
              </w:rPr>
              <w:t>优化</w:t>
            </w:r>
            <w:r>
              <w:rPr>
                <w:rFonts w:hint="eastAsia" w:asciiTheme="minorEastAsia" w:hAnsiTheme="minorEastAsia" w:eastAsiaTheme="minorEastAsia" w:cstheme="minorEastAsia"/>
                <w:szCs w:val="21"/>
                <w:highlight w:val="none"/>
              </w:rPr>
              <w:t>方案</w:t>
            </w:r>
            <w:r>
              <w:rPr>
                <w:rFonts w:hint="eastAsia" w:asciiTheme="minorEastAsia" w:hAnsiTheme="minorEastAsia" w:eastAsiaTheme="minorEastAsia" w:cstheme="minorEastAsia"/>
                <w:szCs w:val="21"/>
                <w:highlight w:val="none"/>
                <w:lang w:eastAsia="zh-CN"/>
              </w:rPr>
              <w:t>及重点难点分析</w:t>
            </w:r>
            <w:r>
              <w:rPr>
                <w:rFonts w:hint="eastAsia" w:ascii="宋体" w:hAnsi="宋体" w:cs="宋体"/>
                <w:szCs w:val="21"/>
                <w:highlight w:val="none"/>
              </w:rPr>
              <w:t>内容具体；</w:t>
            </w:r>
          </w:p>
          <w:p>
            <w:pPr>
              <w:spacing w:line="300" w:lineRule="auto"/>
              <w:jc w:val="left"/>
              <w:rPr>
                <w:rFonts w:ascii="宋体" w:hAnsi="宋体" w:cs="宋体"/>
                <w:szCs w:val="21"/>
                <w:highlight w:val="none"/>
              </w:rPr>
            </w:pPr>
            <w:r>
              <w:rPr>
                <w:rFonts w:hint="eastAsia" w:ascii="宋体" w:hAnsi="宋体" w:cs="宋体"/>
                <w:szCs w:val="21"/>
                <w:highlight w:val="none"/>
              </w:rPr>
              <w:t>（3）</w:t>
            </w:r>
            <w:r>
              <w:rPr>
                <w:rFonts w:hint="eastAsia" w:asciiTheme="minorEastAsia" w:hAnsiTheme="minorEastAsia" w:cstheme="minorEastAsia"/>
                <w:bCs/>
                <w:szCs w:val="21"/>
                <w:highlight w:val="none"/>
                <w:lang w:val="zh-CN"/>
              </w:rPr>
              <w:t>优化</w:t>
            </w:r>
            <w:r>
              <w:rPr>
                <w:rFonts w:hint="eastAsia" w:asciiTheme="minorEastAsia" w:hAnsiTheme="minorEastAsia" w:eastAsiaTheme="minorEastAsia" w:cstheme="minorEastAsia"/>
                <w:szCs w:val="21"/>
                <w:highlight w:val="none"/>
              </w:rPr>
              <w:t>方案</w:t>
            </w:r>
            <w:r>
              <w:rPr>
                <w:rFonts w:hint="eastAsia" w:asciiTheme="minorEastAsia" w:hAnsiTheme="minorEastAsia" w:eastAsiaTheme="minorEastAsia" w:cstheme="minorEastAsia"/>
                <w:szCs w:val="21"/>
                <w:highlight w:val="none"/>
                <w:lang w:eastAsia="zh-CN"/>
              </w:rPr>
              <w:t>及重点难点分析</w:t>
            </w:r>
            <w:r>
              <w:rPr>
                <w:rFonts w:hint="eastAsia" w:ascii="宋体" w:hAnsi="宋体" w:cs="宋体"/>
                <w:szCs w:val="21"/>
                <w:highlight w:val="none"/>
              </w:rPr>
              <w:t>内容科学合理；</w:t>
            </w:r>
          </w:p>
          <w:p>
            <w:pPr>
              <w:spacing w:line="300" w:lineRule="auto"/>
              <w:jc w:val="left"/>
              <w:rPr>
                <w:rFonts w:ascii="宋体" w:hAnsi="宋体" w:cs="宋体"/>
                <w:szCs w:val="21"/>
                <w:highlight w:val="none"/>
              </w:rPr>
            </w:pPr>
            <w:r>
              <w:rPr>
                <w:rFonts w:hint="eastAsia" w:ascii="宋体" w:hAnsi="宋体" w:cs="宋体"/>
                <w:szCs w:val="21"/>
                <w:highlight w:val="none"/>
              </w:rPr>
              <w:t>（4）</w:t>
            </w:r>
            <w:r>
              <w:rPr>
                <w:rFonts w:hint="eastAsia" w:asciiTheme="minorEastAsia" w:hAnsiTheme="minorEastAsia" w:cstheme="minorEastAsia"/>
                <w:bCs/>
                <w:szCs w:val="21"/>
                <w:highlight w:val="none"/>
                <w:lang w:val="zh-CN"/>
              </w:rPr>
              <w:t>优化</w:t>
            </w:r>
            <w:r>
              <w:rPr>
                <w:rFonts w:hint="eastAsia" w:asciiTheme="minorEastAsia" w:hAnsiTheme="minorEastAsia" w:eastAsiaTheme="minorEastAsia" w:cstheme="minorEastAsia"/>
                <w:szCs w:val="21"/>
                <w:highlight w:val="none"/>
              </w:rPr>
              <w:t>方案</w:t>
            </w:r>
            <w:r>
              <w:rPr>
                <w:rFonts w:hint="eastAsia" w:asciiTheme="minorEastAsia" w:hAnsiTheme="minorEastAsia" w:eastAsiaTheme="minorEastAsia" w:cstheme="minorEastAsia"/>
                <w:szCs w:val="21"/>
                <w:highlight w:val="none"/>
                <w:lang w:eastAsia="zh-CN"/>
              </w:rPr>
              <w:t>及重点难点分析</w:t>
            </w:r>
            <w:r>
              <w:rPr>
                <w:rFonts w:hint="eastAsia" w:ascii="宋体" w:hAnsi="宋体" w:cs="宋体"/>
                <w:szCs w:val="21"/>
                <w:highlight w:val="none"/>
              </w:rPr>
              <w:t>内容针对性强；</w:t>
            </w:r>
          </w:p>
          <w:p>
            <w:pPr>
              <w:spacing w:line="300" w:lineRule="auto"/>
              <w:jc w:val="left"/>
              <w:rPr>
                <w:rFonts w:ascii="宋体" w:hAnsi="宋体" w:cs="宋体"/>
                <w:szCs w:val="21"/>
                <w:highlight w:val="none"/>
              </w:rPr>
            </w:pPr>
            <w:r>
              <w:rPr>
                <w:rFonts w:hint="eastAsia" w:ascii="宋体" w:hAnsi="宋体" w:cs="宋体"/>
                <w:szCs w:val="21"/>
                <w:highlight w:val="none"/>
              </w:rPr>
              <w:t>（5）</w:t>
            </w:r>
            <w:r>
              <w:rPr>
                <w:rFonts w:hint="eastAsia" w:asciiTheme="minorEastAsia" w:hAnsiTheme="minorEastAsia" w:cstheme="minorEastAsia"/>
                <w:bCs/>
                <w:szCs w:val="21"/>
                <w:highlight w:val="none"/>
                <w:lang w:val="zh-CN"/>
              </w:rPr>
              <w:t>优化</w:t>
            </w:r>
            <w:r>
              <w:rPr>
                <w:rFonts w:hint="eastAsia" w:asciiTheme="minorEastAsia" w:hAnsiTheme="minorEastAsia" w:eastAsiaTheme="minorEastAsia" w:cstheme="minorEastAsia"/>
                <w:szCs w:val="21"/>
                <w:highlight w:val="none"/>
              </w:rPr>
              <w:t>方案</w:t>
            </w:r>
            <w:r>
              <w:rPr>
                <w:rFonts w:hint="eastAsia" w:asciiTheme="minorEastAsia" w:hAnsiTheme="minorEastAsia" w:eastAsiaTheme="minorEastAsia" w:cstheme="minorEastAsia"/>
                <w:szCs w:val="21"/>
                <w:highlight w:val="none"/>
                <w:lang w:eastAsia="zh-CN"/>
              </w:rPr>
              <w:t>及重点难点分析</w:t>
            </w:r>
            <w:r>
              <w:rPr>
                <w:rFonts w:hint="eastAsia" w:ascii="宋体" w:hAnsi="宋体" w:cs="宋体"/>
                <w:szCs w:val="21"/>
                <w:highlight w:val="none"/>
              </w:rPr>
              <w:t>可操作性强。</w:t>
            </w:r>
          </w:p>
          <w:p>
            <w:pPr>
              <w:pStyle w:val="2"/>
              <w:spacing w:line="360" w:lineRule="auto"/>
              <w:jc w:val="left"/>
              <w:rPr>
                <w:rFonts w:asciiTheme="minorEastAsia" w:hAnsiTheme="minorEastAsia" w:cstheme="minorEastAsia"/>
                <w:b w:val="0"/>
                <w:sz w:val="21"/>
                <w:szCs w:val="21"/>
                <w:highlight w:val="none"/>
              </w:rPr>
            </w:pPr>
            <w:r>
              <w:rPr>
                <w:rFonts w:hint="eastAsia" w:asciiTheme="minorEastAsia" w:hAnsiTheme="minorEastAsia" w:cstheme="minorEastAsia"/>
                <w:b w:val="0"/>
                <w:sz w:val="21"/>
                <w:szCs w:val="21"/>
                <w:highlight w:val="none"/>
                <w:lang w:val="zh-CN"/>
              </w:rPr>
              <w:t>评标委员会根据以上要求综合评分，优得</w:t>
            </w:r>
            <w:r>
              <w:rPr>
                <w:rFonts w:hint="eastAsia" w:asciiTheme="minorEastAsia" w:hAnsiTheme="minorEastAsia" w:cstheme="minorEastAsia"/>
                <w:b w:val="0"/>
                <w:sz w:val="21"/>
                <w:szCs w:val="21"/>
                <w:highlight w:val="none"/>
                <w:lang w:val="en-US" w:eastAsia="zh-CN"/>
              </w:rPr>
              <w:t>4</w:t>
            </w:r>
            <w:r>
              <w:rPr>
                <w:rFonts w:hint="eastAsia" w:asciiTheme="minorEastAsia" w:hAnsiTheme="minorEastAsia" w:cstheme="minorEastAsia"/>
                <w:b w:val="0"/>
                <w:sz w:val="21"/>
                <w:szCs w:val="21"/>
                <w:highlight w:val="none"/>
              </w:rPr>
              <w:t>分，良得</w:t>
            </w:r>
            <w:r>
              <w:rPr>
                <w:rFonts w:hint="eastAsia" w:asciiTheme="minorEastAsia" w:hAnsiTheme="minorEastAsia" w:cstheme="minorEastAsia"/>
                <w:b w:val="0"/>
                <w:sz w:val="21"/>
                <w:szCs w:val="21"/>
                <w:highlight w:val="none"/>
                <w:lang w:val="en-US" w:eastAsia="zh-CN"/>
              </w:rPr>
              <w:t>2</w:t>
            </w:r>
            <w:r>
              <w:rPr>
                <w:rFonts w:hint="eastAsia" w:asciiTheme="minorEastAsia" w:hAnsiTheme="minorEastAsia" w:cstheme="minorEastAsia"/>
                <w:b w:val="0"/>
                <w:sz w:val="21"/>
                <w:szCs w:val="21"/>
                <w:highlight w:val="none"/>
              </w:rPr>
              <w:t>分，中得</w:t>
            </w:r>
            <w:r>
              <w:rPr>
                <w:rFonts w:hint="eastAsia" w:asciiTheme="minorEastAsia" w:hAnsiTheme="minorEastAsia" w:cstheme="minorEastAsia"/>
                <w:b w:val="0"/>
                <w:sz w:val="21"/>
                <w:szCs w:val="21"/>
                <w:highlight w:val="none"/>
                <w:lang w:val="en-US" w:eastAsia="zh-CN"/>
              </w:rPr>
              <w:t>1</w:t>
            </w:r>
            <w:r>
              <w:rPr>
                <w:rFonts w:hint="eastAsia" w:asciiTheme="minorEastAsia" w:hAnsiTheme="minorEastAsia" w:cstheme="minorEastAsia"/>
                <w:b w:val="0"/>
                <w:sz w:val="21"/>
                <w:szCs w:val="21"/>
                <w:highlight w:val="none"/>
              </w:rPr>
              <w:t>分，差不得分。</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76" w:type="dxa"/>
            <w:vAlign w:val="center"/>
          </w:tcPr>
          <w:p>
            <w:pPr>
              <w:autoSpaceDE w:val="0"/>
              <w:autoSpaceDN w:val="0"/>
              <w:adjustRightInd w:val="0"/>
              <w:spacing w:line="360" w:lineRule="auto"/>
              <w:rPr>
                <w:rFonts w:ascii="宋体" w:hAnsi="宋体"/>
                <w:szCs w:val="21"/>
                <w:highlight w:val="none"/>
                <w:lang w:val="zh-CN"/>
              </w:rPr>
            </w:pPr>
          </w:p>
        </w:tc>
        <w:tc>
          <w:tcPr>
            <w:tcW w:w="1206"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供货期</w:t>
            </w:r>
          </w:p>
          <w:p>
            <w:pPr>
              <w:autoSpaceDE w:val="0"/>
              <w:autoSpaceDN w:val="0"/>
              <w:adjustRightInd w:val="0"/>
              <w:spacing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保证</w:t>
            </w:r>
          </w:p>
        </w:tc>
        <w:tc>
          <w:tcPr>
            <w:tcW w:w="832" w:type="dxa"/>
            <w:gridSpan w:val="2"/>
            <w:vAlign w:val="center"/>
          </w:tcPr>
          <w:p>
            <w:pPr>
              <w:autoSpaceDE w:val="0"/>
              <w:autoSpaceDN w:val="0"/>
              <w:adjustRightInd w:val="0"/>
              <w:spacing w:line="360" w:lineRule="auto"/>
              <w:jc w:val="left"/>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2</w:t>
            </w:r>
          </w:p>
        </w:tc>
        <w:tc>
          <w:tcPr>
            <w:tcW w:w="5488" w:type="dxa"/>
            <w:vAlign w:val="center"/>
          </w:tcPr>
          <w:p>
            <w:pPr>
              <w:pStyle w:val="2"/>
              <w:spacing w:line="360" w:lineRule="auto"/>
              <w:jc w:val="left"/>
              <w:rPr>
                <w:rFonts w:hint="eastAsia" w:asciiTheme="minorEastAsia" w:hAnsiTheme="minorEastAsia" w:cstheme="minorEastAsia"/>
                <w:b w:val="0"/>
                <w:sz w:val="21"/>
                <w:szCs w:val="21"/>
                <w:highlight w:val="none"/>
                <w:lang w:val="en-US" w:eastAsia="zh-CN"/>
              </w:rPr>
            </w:pPr>
            <w:r>
              <w:rPr>
                <w:rFonts w:hint="eastAsia" w:asciiTheme="minorEastAsia" w:hAnsiTheme="minorEastAsia" w:cstheme="minorEastAsia"/>
                <w:b w:val="0"/>
                <w:sz w:val="21"/>
                <w:szCs w:val="21"/>
                <w:highlight w:val="none"/>
                <w:lang w:val="zh-CN"/>
              </w:rPr>
              <w:t>在满足招标文件供货期（</w:t>
            </w:r>
            <w:r>
              <w:rPr>
                <w:rFonts w:hint="eastAsia" w:asciiTheme="minorEastAsia" w:hAnsiTheme="minorEastAsia" w:cstheme="minorEastAsia"/>
                <w:b w:val="0"/>
                <w:sz w:val="21"/>
                <w:szCs w:val="21"/>
                <w:highlight w:val="none"/>
                <w:lang w:val="en-US" w:eastAsia="zh-CN"/>
              </w:rPr>
              <w:t>60天</w:t>
            </w:r>
            <w:r>
              <w:rPr>
                <w:rFonts w:hint="eastAsia" w:asciiTheme="minorEastAsia" w:hAnsiTheme="minorEastAsia" w:cstheme="minorEastAsia"/>
                <w:b w:val="0"/>
                <w:sz w:val="21"/>
                <w:szCs w:val="21"/>
                <w:highlight w:val="none"/>
                <w:lang w:val="zh-CN"/>
              </w:rPr>
              <w:t>）要求的条件下，每减少一天，得</w:t>
            </w:r>
            <w:r>
              <w:rPr>
                <w:rFonts w:hint="eastAsia" w:asciiTheme="minorEastAsia" w:hAnsiTheme="minorEastAsia" w:cstheme="minorEastAsia"/>
                <w:b w:val="0"/>
                <w:sz w:val="21"/>
                <w:szCs w:val="21"/>
                <w:highlight w:val="none"/>
                <w:lang w:val="en-US" w:eastAsia="zh-CN"/>
              </w:rPr>
              <w:t>0.5分，此项最高得2分。</w:t>
            </w:r>
          </w:p>
          <w:p>
            <w:pPr>
              <w:pStyle w:val="2"/>
              <w:spacing w:line="360" w:lineRule="auto"/>
              <w:jc w:val="left"/>
              <w:rPr>
                <w:rFonts w:hint="eastAsia" w:asciiTheme="minorEastAsia" w:hAnsiTheme="minorEastAsia" w:eastAsiaTheme="minorEastAsia" w:cstheme="minorEastAsia"/>
                <w:b w:val="0"/>
                <w:bCs w:val="0"/>
                <w:kern w:val="2"/>
                <w:sz w:val="21"/>
                <w:szCs w:val="21"/>
                <w:highlight w:val="none"/>
                <w:lang w:val="zh-CN" w:eastAsia="zh-CN" w:bidi="ar-SA"/>
              </w:rPr>
            </w:pPr>
            <w:r>
              <w:rPr>
                <w:rFonts w:hint="eastAsia" w:asciiTheme="minorEastAsia" w:hAnsiTheme="minorEastAsia" w:cstheme="minorEastAsia"/>
                <w:b w:val="0"/>
                <w:sz w:val="21"/>
                <w:szCs w:val="21"/>
                <w:highlight w:val="none"/>
                <w:lang w:val="en-US" w:eastAsia="zh-CN"/>
              </w:rPr>
              <w:t>证明文件：投标人需按招标文件提供《供货</w:t>
            </w:r>
            <w:r>
              <w:rPr>
                <w:rFonts w:hint="eastAsia" w:asciiTheme="minorEastAsia" w:hAnsiTheme="minorEastAsia" w:eastAsiaTheme="minorEastAsia" w:cstheme="minorEastAsia"/>
                <w:b w:val="0"/>
                <w:bCs w:val="0"/>
                <w:kern w:val="2"/>
                <w:sz w:val="21"/>
                <w:szCs w:val="21"/>
                <w:highlight w:val="none"/>
                <w:lang w:val="zh-CN" w:eastAsia="zh-CN" w:bidi="ar-SA"/>
              </w:rPr>
              <w:t>承诺函》。</w:t>
            </w:r>
          </w:p>
          <w:p>
            <w:pPr>
              <w:pStyle w:val="2"/>
              <w:spacing w:line="360" w:lineRule="auto"/>
              <w:jc w:val="left"/>
              <w:rPr>
                <w:rFonts w:hint="default" w:asciiTheme="minorEastAsia" w:hAnsiTheme="minorEastAsia" w:cstheme="minorEastAsia"/>
                <w:b w:val="0"/>
                <w:sz w:val="21"/>
                <w:szCs w:val="21"/>
                <w:highlight w:val="none"/>
                <w:lang w:val="en-US" w:eastAsia="zh-CN"/>
              </w:rPr>
            </w:pPr>
            <w:r>
              <w:rPr>
                <w:rFonts w:hint="eastAsia" w:asciiTheme="minorEastAsia" w:hAnsiTheme="minorEastAsia" w:cstheme="minorEastAsia"/>
                <w:b w:val="0"/>
                <w:sz w:val="21"/>
                <w:szCs w:val="21"/>
                <w:highlight w:val="none"/>
                <w:lang w:val="en-US" w:eastAsia="zh-CN"/>
              </w:rPr>
              <w:t>注：投标人应按照自身实际填写供货期，若投标人在自行承诺的供货期内未完成供货要求，视为虚假应标，招标人将上报政府采购主管部门。</w:t>
            </w:r>
          </w:p>
        </w:tc>
        <w:tc>
          <w:tcPr>
            <w:tcW w:w="755" w:type="dxa"/>
            <w:vAlign w:val="center"/>
          </w:tcPr>
          <w:p>
            <w:pPr>
              <w:autoSpaceDE w:val="0"/>
              <w:autoSpaceDN w:val="0"/>
              <w:adjustRightInd w:val="0"/>
              <w:spacing w:line="360" w:lineRule="auto"/>
              <w:rPr>
                <w:rFonts w:ascii="宋体" w:hAnsi="宋体"/>
                <w:szCs w:val="21"/>
                <w:highlight w:val="none"/>
                <w:lang w:val="zh-CN"/>
              </w:rPr>
            </w:pPr>
            <w:r>
              <w:rPr>
                <w:rFonts w:hint="eastAsia"/>
                <w:szCs w:val="21"/>
                <w:highlight w:val="none"/>
                <w:lang w:val="zh-CN"/>
              </w:rPr>
              <w:t>专家评分</w:t>
            </w:r>
          </w:p>
        </w:tc>
      </w:tr>
    </w:tbl>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r>
        <w:rPr>
          <w:rFonts w:hint="eastAsia"/>
          <w:color w:val="auto"/>
          <w:highlight w:val="none"/>
          <w:shd w:val="clear" w:color="auto" w:fill="auto"/>
        </w:rPr>
        <w:t>备注：</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1. 有取值范围的，含上限值不含下限值。每一项的得分均不能超过该项最高分值。</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2. 缺项则该项为0分或不合格为0分。</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color w:val="auto"/>
          <w:szCs w:val="18"/>
          <w:highlight w:val="none"/>
          <w:shd w:val="clear" w:color="auto" w:fill="auto"/>
        </w:rPr>
      </w:pPr>
      <w:r>
        <w:rPr>
          <w:rFonts w:hint="eastAsia"/>
          <w:color w:val="auto"/>
          <w:highlight w:val="none"/>
          <w:shd w:val="clear" w:color="auto" w:fill="auto"/>
        </w:rPr>
        <w:t>4. 综合以上</w:t>
      </w:r>
      <w:r>
        <w:rPr>
          <w:rFonts w:hint="eastAsia"/>
          <w:snapToGrid w:val="0"/>
          <w:color w:val="auto"/>
          <w:highlight w:val="none"/>
          <w:shd w:val="clear" w:color="auto" w:fill="auto"/>
        </w:rPr>
        <w:t>分析比较，评委会将对各投标文件进行书面的量化评定，得分</w:t>
      </w:r>
      <w:r>
        <w:rPr>
          <w:rFonts w:ascii="Arial" w:hAnsi="Arial" w:cs="Arial"/>
          <w:snapToGrid w:val="0"/>
          <w:color w:val="auto"/>
          <w:szCs w:val="18"/>
          <w:highlight w:val="none"/>
          <w:shd w:val="clear" w:color="auto" w:fill="auto"/>
        </w:rPr>
        <w:t>精确到小数点后两位</w:t>
      </w:r>
      <w:r>
        <w:rPr>
          <w:rFonts w:hint="eastAsia" w:ascii="Arial" w:hAnsi="Arial" w:cs="Arial"/>
          <w:snapToGrid w:val="0"/>
          <w:color w:val="auto"/>
          <w:szCs w:val="18"/>
          <w:highlight w:val="none"/>
          <w:shd w:val="clear" w:color="auto" w:fill="auto"/>
        </w:rPr>
        <w:t>。</w:t>
      </w:r>
    </w:p>
    <w:p>
      <w:pPr>
        <w:tabs>
          <w:tab w:val="clear" w:pos="426"/>
        </w:tabs>
        <w:spacing w:line="240" w:lineRule="auto"/>
        <w:ind w:firstLine="424" w:firstLineChars="202"/>
        <w:rPr>
          <w:bCs/>
          <w:color w:val="auto"/>
          <w:highlight w:val="none"/>
          <w:shd w:val="clear" w:color="auto" w:fill="auto"/>
        </w:rPr>
      </w:pPr>
      <w:r>
        <w:rPr>
          <w:rFonts w:hint="eastAsia"/>
          <w:bCs/>
          <w:color w:val="auto"/>
          <w:highlight w:val="none"/>
          <w:shd w:val="clear" w:color="auto" w:fill="auto"/>
        </w:rPr>
        <w:t>5.客观评分项，所有评审专家应当统一打分分值；主观评分项，评审专家应当按照打分标准独立打分。</w:t>
      </w:r>
    </w:p>
    <w:p>
      <w:pPr>
        <w:tabs>
          <w:tab w:val="clear" w:pos="426"/>
        </w:tabs>
        <w:spacing w:line="240" w:lineRule="auto"/>
        <w:ind w:firstLine="424" w:firstLineChars="202"/>
        <w:jc w:val="left"/>
        <w:rPr>
          <w:bCs/>
          <w:color w:val="auto"/>
          <w:highlight w:val="none"/>
          <w:shd w:val="clear" w:color="auto" w:fill="auto"/>
        </w:rPr>
      </w:pPr>
      <w:r>
        <w:rPr>
          <w:rFonts w:hint="eastAsia"/>
          <w:bCs/>
          <w:color w:val="auto"/>
          <w:highlight w:val="none"/>
          <w:shd w:val="clear" w:color="auto" w:fill="auto"/>
        </w:rPr>
        <w:t>6.根据财政部《关于在政府采购活动中查询及使用信用记录有关问题的通知》（财库</w:t>
      </w:r>
      <w:r>
        <w:rPr>
          <w:rFonts w:ascii="Arial" w:hAnsi="Arial" w:cs="Arial"/>
          <w:color w:val="auto"/>
          <w:sz w:val="20"/>
          <w:szCs w:val="20"/>
          <w:highlight w:val="none"/>
          <w:shd w:val="clear" w:color="auto" w:fill="auto"/>
        </w:rPr>
        <w:t>〔</w:t>
      </w:r>
      <w:r>
        <w:rPr>
          <w:rFonts w:hint="eastAsia" w:ascii="Arial" w:hAnsi="Arial" w:cs="Arial"/>
          <w:color w:val="auto"/>
          <w:sz w:val="20"/>
          <w:szCs w:val="20"/>
          <w:highlight w:val="none"/>
          <w:shd w:val="clear" w:color="auto" w:fill="auto"/>
        </w:rPr>
        <w:t>2016</w:t>
      </w:r>
      <w:r>
        <w:rPr>
          <w:rFonts w:ascii="Arial" w:hAnsi="Arial" w:cs="Arial"/>
          <w:color w:val="auto"/>
          <w:sz w:val="20"/>
          <w:szCs w:val="20"/>
          <w:highlight w:val="none"/>
          <w:shd w:val="clear" w:color="auto" w:fill="auto"/>
        </w:rPr>
        <w:t>〕</w:t>
      </w:r>
      <w:r>
        <w:rPr>
          <w:rFonts w:hint="eastAsia" w:ascii="Arial" w:hAnsi="Arial" w:cs="Arial"/>
          <w:color w:val="auto"/>
          <w:sz w:val="20"/>
          <w:szCs w:val="20"/>
          <w:highlight w:val="none"/>
          <w:shd w:val="clear" w:color="auto" w:fill="auto"/>
        </w:rPr>
        <w:t>125号</w:t>
      </w:r>
      <w:r>
        <w:rPr>
          <w:rFonts w:hint="eastAsia"/>
          <w:bCs/>
          <w:color w:val="auto"/>
          <w:highlight w:val="none"/>
          <w:shd w:val="clear" w:color="auto" w:fill="auto"/>
        </w:rPr>
        <w:t>）、《深圳市政府采购供应商诚信管理暂行办法》（深财规〔</w:t>
      </w:r>
      <w:r>
        <w:rPr>
          <w:bCs/>
          <w:color w:val="auto"/>
          <w:highlight w:val="none"/>
          <w:shd w:val="clear" w:color="auto" w:fill="auto"/>
        </w:rPr>
        <w:t>2017〕8号</w:t>
      </w:r>
      <w:r>
        <w:rPr>
          <w:rFonts w:hint="eastAsia"/>
          <w:bCs/>
          <w:color w:val="auto"/>
          <w:highlight w:val="none"/>
          <w:shd w:val="clear" w:color="auto" w:fill="auto"/>
        </w:rPr>
        <w:t>），供应商信用信息的查询渠道为“信用中国（</w:t>
      </w:r>
      <w:r>
        <w:rPr>
          <w:bCs/>
          <w:color w:val="auto"/>
          <w:highlight w:val="none"/>
          <w:shd w:val="clear" w:color="auto" w:fill="auto"/>
        </w:rPr>
        <w:t>https://www.creditchina.gov.cn/</w:t>
      </w:r>
      <w:r>
        <w:rPr>
          <w:rFonts w:hint="eastAsia"/>
          <w:bCs/>
          <w:color w:val="auto"/>
          <w:highlight w:val="none"/>
          <w:shd w:val="clear" w:color="auto" w:fill="auto"/>
        </w:rPr>
        <w:t>）”、 “中国政府采购网（</w:t>
      </w:r>
      <w:r>
        <w:rPr>
          <w:bCs/>
          <w:color w:val="auto"/>
          <w:highlight w:val="none"/>
          <w:shd w:val="clear" w:color="auto" w:fill="auto"/>
        </w:rPr>
        <w:t>http://www.ccgp.gov.cn/</w:t>
      </w:r>
      <w:r>
        <w:rPr>
          <w:rFonts w:hint="eastAsia"/>
          <w:bCs/>
          <w:color w:val="auto"/>
          <w:highlight w:val="none"/>
          <w:shd w:val="clear" w:color="auto" w:fill="auto"/>
        </w:rPr>
        <w:t>）”、“深圳市政府采购监管网（</w:t>
      </w:r>
      <w:r>
        <w:rPr>
          <w:bCs/>
          <w:color w:val="auto"/>
          <w:highlight w:val="none"/>
          <w:shd w:val="clear" w:color="auto" w:fill="auto"/>
        </w:rPr>
        <w:t>http://www.zfcg.sz.gov.cn/</w:t>
      </w:r>
      <w:r>
        <w:rPr>
          <w:rFonts w:hint="eastAsia"/>
          <w:bCs/>
          <w:color w:val="auto"/>
          <w:highlight w:val="none"/>
          <w:shd w:val="clear" w:color="auto" w:fill="auto"/>
        </w:rPr>
        <w:t>）”，相关信息以中标通知书发出前的查询结果为准。</w:t>
      </w:r>
    </w:p>
    <w:p>
      <w:pPr>
        <w:tabs>
          <w:tab w:val="clear" w:pos="426"/>
        </w:tabs>
        <w:spacing w:line="240" w:lineRule="auto"/>
        <w:ind w:firstLine="424" w:firstLineChars="202"/>
        <w:rPr>
          <w:bCs/>
          <w:color w:val="auto"/>
          <w:highlight w:val="none"/>
          <w:shd w:val="clear" w:color="auto" w:fill="auto"/>
        </w:rPr>
      </w:pPr>
    </w:p>
    <w:p>
      <w:pPr>
        <w:tabs>
          <w:tab w:val="clear" w:pos="426"/>
        </w:tabs>
        <w:spacing w:line="240" w:lineRule="auto"/>
        <w:ind w:firstLine="426" w:firstLineChars="202"/>
        <w:rPr>
          <w:rFonts w:ascii="Calibri" w:hAnsi="Calibri" w:cs="Times New Roman"/>
          <w:b/>
          <w:color w:val="auto"/>
          <w:kern w:val="2"/>
          <w:szCs w:val="22"/>
          <w:highlight w:val="none"/>
          <w:shd w:val="clear" w:color="auto" w:fill="auto"/>
        </w:rPr>
      </w:pPr>
    </w:p>
    <w:p>
      <w:pPr>
        <w:tabs>
          <w:tab w:val="clear" w:pos="426"/>
        </w:tabs>
        <w:spacing w:line="240" w:lineRule="auto"/>
        <w:ind w:firstLine="424" w:firstLineChars="202"/>
        <w:rPr>
          <w:bCs/>
          <w:color w:val="auto"/>
          <w:highlight w:val="none"/>
          <w:shd w:val="clear" w:color="auto" w:fill="auto"/>
        </w:rPr>
      </w:pPr>
    </w:p>
    <w:p>
      <w:pPr>
        <w:pStyle w:val="42"/>
        <w:tabs>
          <w:tab w:val="clear" w:pos="426"/>
        </w:tabs>
        <w:rPr>
          <w:color w:val="auto"/>
          <w:highlight w:val="none"/>
          <w:shd w:val="clear" w:color="auto" w:fill="auto"/>
        </w:rPr>
      </w:pPr>
      <w:r>
        <w:rPr>
          <w:color w:val="auto"/>
          <w:highlight w:val="none"/>
          <w:shd w:val="clear" w:color="auto" w:fill="auto"/>
        </w:rPr>
        <w:br w:type="page"/>
      </w:r>
      <w:bookmarkStart w:id="29" w:name="_Toc3628657"/>
      <w:bookmarkStart w:id="30" w:name="_Toc21244"/>
      <w:r>
        <w:rPr>
          <w:rFonts w:hint="eastAsia"/>
          <w:color w:val="auto"/>
          <w:highlight w:val="none"/>
          <w:shd w:val="clear" w:color="auto" w:fill="auto"/>
        </w:rPr>
        <w:t>第一册  专用条款</w:t>
      </w:r>
      <w:bookmarkEnd w:id="28"/>
      <w:bookmarkEnd w:id="29"/>
      <w:bookmarkEnd w:id="30"/>
    </w:p>
    <w:p>
      <w:pPr>
        <w:pStyle w:val="33"/>
        <w:tabs>
          <w:tab w:val="clear" w:pos="426"/>
        </w:tabs>
        <w:rPr>
          <w:color w:val="auto"/>
          <w:highlight w:val="none"/>
          <w:shd w:val="clear" w:color="auto" w:fill="auto"/>
        </w:rPr>
      </w:pPr>
      <w:bookmarkStart w:id="31" w:name="_Toc26007"/>
      <w:bookmarkStart w:id="32" w:name="_Toc432592813"/>
      <w:bookmarkStart w:id="33" w:name="_Toc3628658"/>
      <w:bookmarkStart w:id="34" w:name="_Toc265483798"/>
      <w:r>
        <w:rPr>
          <w:rFonts w:hint="eastAsia"/>
          <w:color w:val="auto"/>
          <w:highlight w:val="none"/>
          <w:shd w:val="clear" w:color="auto" w:fill="auto"/>
        </w:rPr>
        <w:t>第一章 采购公告</w:t>
      </w:r>
      <w:bookmarkEnd w:id="31"/>
      <w:bookmarkEnd w:id="32"/>
      <w:bookmarkEnd w:id="33"/>
      <w:bookmarkEnd w:id="34"/>
    </w:p>
    <w:p>
      <w:pPr>
        <w:tabs>
          <w:tab w:val="clear" w:pos="426"/>
        </w:tabs>
        <w:rPr>
          <w:b/>
          <w:color w:val="auto"/>
          <w:highlight w:val="none"/>
          <w:shd w:val="clear" w:color="auto" w:fill="auto"/>
        </w:rPr>
      </w:pPr>
      <w:r>
        <w:rPr>
          <w:rFonts w:hint="eastAsia"/>
          <w:b/>
          <w:color w:val="auto"/>
          <w:highlight w:val="none"/>
          <w:shd w:val="clear" w:color="auto" w:fill="auto"/>
        </w:rPr>
        <w:t>一、项目概况</w:t>
      </w:r>
    </w:p>
    <w:p>
      <w:pPr>
        <w:tabs>
          <w:tab w:val="clear" w:pos="426"/>
        </w:tabs>
        <w:ind w:firstLine="424" w:firstLineChars="202"/>
        <w:rPr>
          <w:rFonts w:hint="eastAsia" w:eastAsia="宋体"/>
          <w:color w:val="auto"/>
          <w:kern w:val="2"/>
          <w:highlight w:val="none"/>
          <w:shd w:val="clear" w:color="auto" w:fill="auto"/>
          <w:lang w:eastAsia="zh-CN"/>
        </w:rPr>
      </w:pPr>
      <w:bookmarkStart w:id="35" w:name="项目概况2"/>
      <w:r>
        <w:rPr>
          <w:rFonts w:hint="eastAsia"/>
          <w:color w:val="auto"/>
          <w:highlight w:val="none"/>
          <w:shd w:val="clear" w:color="auto" w:fill="auto"/>
        </w:rPr>
        <w:t>1.项目编号：</w:t>
      </w:r>
      <w:r>
        <w:rPr>
          <w:rFonts w:hint="eastAsia"/>
          <w:color w:val="auto"/>
          <w:highlight w:val="none"/>
          <w:shd w:val="clear" w:color="auto" w:fill="auto"/>
          <w:lang w:eastAsia="zh-CN"/>
        </w:rPr>
        <w:t xml:space="preserve"> PSDL2019153877</w:t>
      </w:r>
    </w:p>
    <w:p>
      <w:pPr>
        <w:tabs>
          <w:tab w:val="clear" w:pos="426"/>
        </w:tabs>
        <w:ind w:firstLine="424" w:firstLineChars="202"/>
        <w:rPr>
          <w:rFonts w:hint="eastAsia" w:eastAsia="宋体"/>
          <w:color w:val="auto"/>
          <w:highlight w:val="none"/>
          <w:shd w:val="clear" w:color="auto" w:fill="auto"/>
          <w:lang w:eastAsia="zh-CN"/>
        </w:rPr>
      </w:pPr>
      <w:r>
        <w:rPr>
          <w:rFonts w:hint="eastAsia"/>
          <w:color w:val="auto"/>
          <w:highlight w:val="none"/>
          <w:shd w:val="clear" w:color="auto" w:fill="auto"/>
        </w:rPr>
        <w:t>2.项目名称：</w:t>
      </w:r>
      <w:r>
        <w:rPr>
          <w:rFonts w:hint="eastAsia"/>
          <w:color w:val="auto"/>
          <w:highlight w:val="none"/>
          <w:shd w:val="clear" w:color="auto" w:fill="auto"/>
          <w:lang w:eastAsia="zh-CN"/>
        </w:rPr>
        <w:t>标识标牌系统优化项目</w:t>
      </w:r>
    </w:p>
    <w:p>
      <w:pPr>
        <w:tabs>
          <w:tab w:val="clear" w:pos="426"/>
        </w:tabs>
        <w:ind w:firstLine="424" w:firstLineChars="202"/>
        <w:rPr>
          <w:rFonts w:hint="eastAsia" w:eastAsia="宋体"/>
          <w:color w:val="auto"/>
          <w:highlight w:val="none"/>
          <w:shd w:val="clear" w:color="auto" w:fill="auto"/>
          <w:lang w:eastAsia="zh-CN"/>
        </w:rPr>
      </w:pPr>
      <w:r>
        <w:rPr>
          <w:rFonts w:hint="eastAsia"/>
          <w:color w:val="auto"/>
          <w:highlight w:val="none"/>
          <w:shd w:val="clear" w:color="auto" w:fill="auto"/>
        </w:rPr>
        <w:t>3.采购人：</w:t>
      </w:r>
      <w:r>
        <w:rPr>
          <w:rFonts w:hint="eastAsia"/>
          <w:color w:val="auto"/>
          <w:highlight w:val="none"/>
          <w:shd w:val="clear" w:color="auto" w:fill="auto"/>
          <w:lang w:eastAsia="zh-CN"/>
        </w:rPr>
        <w:t>深圳平乐骨伤科医院（深圳市坪山区中医院）</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4.采购代理机构：深圳市深水水务咨询有限公司</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5.项目地点：深圳市</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6.项目规模及特征：详</w:t>
      </w:r>
      <w:r>
        <w:rPr>
          <w:rFonts w:hint="eastAsia"/>
          <w:color w:val="auto"/>
          <w:kern w:val="2"/>
          <w:highlight w:val="none"/>
          <w:shd w:val="clear" w:color="auto" w:fill="auto"/>
        </w:rPr>
        <w:t>见招标文件及采购需求</w:t>
      </w:r>
      <w:r>
        <w:rPr>
          <w:rFonts w:hint="eastAsia"/>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7.资金来源：财政资金100%</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8</w:t>
      </w:r>
      <w:r>
        <w:rPr>
          <w:color w:val="auto"/>
          <w:highlight w:val="none"/>
          <w:shd w:val="clear" w:color="auto" w:fill="auto"/>
        </w:rPr>
        <w:t>.</w:t>
      </w:r>
      <w:r>
        <w:rPr>
          <w:rFonts w:hint="eastAsia"/>
          <w:color w:val="auto"/>
          <w:highlight w:val="none"/>
          <w:shd w:val="clear" w:color="auto" w:fill="auto"/>
        </w:rPr>
        <w:t xml:space="preserve"> 采购计划编号：</w:t>
      </w:r>
    </w:p>
    <w:p>
      <w:pPr>
        <w:tabs>
          <w:tab w:val="clear" w:pos="426"/>
        </w:tabs>
        <w:ind w:firstLine="424" w:firstLineChars="202"/>
        <w:rPr>
          <w:color w:val="auto"/>
          <w:highlight w:val="none"/>
          <w:shd w:val="clear" w:color="auto" w:fill="auto"/>
        </w:rPr>
      </w:pPr>
      <w:r>
        <w:rPr>
          <w:color w:val="auto"/>
          <w:highlight w:val="none"/>
          <w:shd w:val="clear" w:color="auto" w:fill="auto"/>
        </w:rPr>
        <w:t>9</w:t>
      </w:r>
      <w:r>
        <w:rPr>
          <w:rFonts w:hint="eastAsia"/>
          <w:color w:val="auto"/>
          <w:highlight w:val="none"/>
          <w:shd w:val="clear" w:color="auto" w:fill="auto"/>
        </w:rPr>
        <w:t>.采购内容：</w:t>
      </w:r>
      <w:r>
        <w:rPr>
          <w:rFonts w:hint="eastAsia"/>
          <w:color w:val="auto"/>
          <w:highlight w:val="none"/>
          <w:shd w:val="clear" w:color="auto" w:fill="auto"/>
          <w:lang w:eastAsia="zh-CN"/>
        </w:rPr>
        <w:t>标识标牌系统优化项目</w:t>
      </w:r>
      <w:r>
        <w:rPr>
          <w:rFonts w:hint="eastAsia"/>
          <w:color w:val="auto"/>
          <w:highlight w:val="none"/>
          <w:shd w:val="clear" w:color="auto" w:fill="auto"/>
        </w:rPr>
        <w:t>，详</w:t>
      </w:r>
      <w:r>
        <w:rPr>
          <w:rFonts w:hint="eastAsia"/>
          <w:color w:val="auto"/>
          <w:kern w:val="2"/>
          <w:highlight w:val="none"/>
          <w:shd w:val="clear" w:color="auto" w:fill="auto"/>
        </w:rPr>
        <w:t>见招标文件及采购需求</w:t>
      </w:r>
      <w:r>
        <w:rPr>
          <w:rFonts w:hint="eastAsia"/>
          <w:color w:val="auto"/>
          <w:highlight w:val="none"/>
          <w:shd w:val="clear" w:color="auto" w:fill="auto"/>
        </w:rPr>
        <w:t>。</w:t>
      </w:r>
    </w:p>
    <w:tbl>
      <w:tblPr>
        <w:tblStyle w:val="44"/>
        <w:tblW w:w="7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587"/>
        <w:gridCol w:w="916"/>
        <w:gridCol w:w="916"/>
        <w:gridCol w:w="91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序号</w:t>
            </w:r>
          </w:p>
        </w:tc>
        <w:tc>
          <w:tcPr>
            <w:tcW w:w="2587"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货物名称</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数量</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单位</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备注</w:t>
            </w:r>
          </w:p>
        </w:tc>
        <w:tc>
          <w:tcPr>
            <w:tcW w:w="1683"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spacing w:line="240" w:lineRule="auto"/>
              <w:jc w:val="center"/>
              <w:rPr>
                <w:bCs/>
                <w:color w:val="auto"/>
                <w:szCs w:val="21"/>
                <w:highlight w:val="none"/>
                <w:shd w:val="clear" w:color="auto" w:fill="auto"/>
              </w:rPr>
            </w:pPr>
            <w:r>
              <w:rPr>
                <w:rFonts w:hint="eastAsia"/>
                <w:bCs/>
                <w:color w:val="auto"/>
                <w:szCs w:val="21"/>
                <w:highlight w:val="none"/>
                <w:shd w:val="clear" w:color="auto" w:fill="auto"/>
              </w:rPr>
              <w:t>1</w:t>
            </w:r>
          </w:p>
        </w:tc>
        <w:tc>
          <w:tcPr>
            <w:tcW w:w="2587" w:type="dxa"/>
            <w:vAlign w:val="center"/>
          </w:tcPr>
          <w:p>
            <w:pPr>
              <w:spacing w:line="240" w:lineRule="auto"/>
              <w:jc w:val="center"/>
              <w:rPr>
                <w:rFonts w:hint="eastAsia" w:eastAsia="宋体"/>
                <w:bCs/>
                <w:color w:val="auto"/>
                <w:szCs w:val="21"/>
                <w:highlight w:val="none"/>
                <w:shd w:val="clear" w:color="auto" w:fill="auto"/>
                <w:lang w:eastAsia="zh-CN"/>
              </w:rPr>
            </w:pPr>
            <w:r>
              <w:rPr>
                <w:rFonts w:hint="eastAsia" w:ascii="宋体" w:hAnsi="宋体" w:eastAsia="宋体" w:cs="宋体"/>
                <w:sz w:val="18"/>
                <w:szCs w:val="18"/>
              </w:rPr>
              <w:t>标识标牌系统优化项目</w:t>
            </w:r>
          </w:p>
        </w:tc>
        <w:tc>
          <w:tcPr>
            <w:tcW w:w="916" w:type="dxa"/>
            <w:vAlign w:val="center"/>
          </w:tcPr>
          <w:p>
            <w:pPr>
              <w:spacing w:line="240" w:lineRule="auto"/>
              <w:jc w:val="center"/>
              <w:rPr>
                <w:bCs/>
                <w:color w:val="auto"/>
                <w:szCs w:val="21"/>
                <w:highlight w:val="none"/>
                <w:shd w:val="clear" w:color="auto" w:fill="auto"/>
              </w:rPr>
            </w:pPr>
            <w:r>
              <w:rPr>
                <w:rFonts w:hint="eastAsia"/>
                <w:bCs/>
                <w:color w:val="auto"/>
                <w:szCs w:val="21"/>
                <w:highlight w:val="none"/>
                <w:shd w:val="clear" w:color="auto" w:fill="auto"/>
              </w:rPr>
              <w:t>1</w:t>
            </w:r>
          </w:p>
        </w:tc>
        <w:tc>
          <w:tcPr>
            <w:tcW w:w="916" w:type="dxa"/>
            <w:vAlign w:val="center"/>
          </w:tcPr>
          <w:p>
            <w:pPr>
              <w:spacing w:line="240" w:lineRule="auto"/>
              <w:jc w:val="center"/>
              <w:rPr>
                <w:bCs/>
                <w:color w:val="auto"/>
                <w:szCs w:val="21"/>
                <w:highlight w:val="none"/>
                <w:shd w:val="clear" w:color="auto" w:fill="auto"/>
              </w:rPr>
            </w:pPr>
            <w:r>
              <w:rPr>
                <w:rFonts w:hint="eastAsia"/>
                <w:color w:val="auto"/>
                <w:szCs w:val="21"/>
                <w:highlight w:val="none"/>
                <w:shd w:val="clear" w:color="auto" w:fill="auto"/>
              </w:rPr>
              <w:t>套</w:t>
            </w:r>
          </w:p>
        </w:tc>
        <w:tc>
          <w:tcPr>
            <w:tcW w:w="916" w:type="dxa"/>
            <w:vAlign w:val="center"/>
          </w:tcPr>
          <w:p>
            <w:pPr>
              <w:spacing w:line="240" w:lineRule="auto"/>
              <w:jc w:val="center"/>
              <w:rPr>
                <w:rFonts w:hint="eastAsia" w:eastAsia="宋体"/>
                <w:bCs/>
                <w:color w:val="auto"/>
                <w:szCs w:val="21"/>
                <w:highlight w:val="none"/>
                <w:shd w:val="clear" w:color="auto" w:fill="auto"/>
                <w:lang w:eastAsia="zh-CN"/>
              </w:rPr>
            </w:pPr>
            <w:r>
              <w:rPr>
                <w:rFonts w:hint="eastAsia"/>
                <w:color w:val="auto"/>
                <w:szCs w:val="21"/>
                <w:highlight w:val="none"/>
                <w:shd w:val="clear" w:color="auto" w:fill="auto"/>
                <w:lang w:eastAsia="zh-CN"/>
              </w:rPr>
              <w:t>拒绝进口</w:t>
            </w:r>
          </w:p>
        </w:tc>
        <w:tc>
          <w:tcPr>
            <w:tcW w:w="1683" w:type="dxa"/>
            <w:vAlign w:val="center"/>
          </w:tcPr>
          <w:p>
            <w:pPr>
              <w:widowControl w:val="0"/>
              <w:shd w:val="clear" w:color="auto" w:fill="auto"/>
              <w:tabs>
                <w:tab w:val="clear" w:pos="426"/>
              </w:tabs>
              <w:adjustRightInd/>
              <w:snapToGrid/>
              <w:spacing w:line="240" w:lineRule="auto"/>
              <w:jc w:val="center"/>
              <w:rPr>
                <w:rFonts w:hint="eastAsia" w:eastAsia="宋体" w:cs="Times New Roman"/>
                <w:color w:val="auto"/>
                <w:szCs w:val="21"/>
                <w:highlight w:val="none"/>
                <w:shd w:val="clear" w:color="auto" w:fill="auto"/>
                <w:lang w:eastAsia="zh-CN"/>
              </w:rPr>
            </w:pPr>
            <w:r>
              <w:rPr>
                <w:rFonts w:hint="eastAsia" w:cs="Times New Roman"/>
                <w:color w:val="auto"/>
                <w:szCs w:val="21"/>
                <w:highlight w:val="none"/>
                <w:shd w:val="clear" w:color="auto" w:fill="auto"/>
                <w:lang w:eastAsia="zh-CN"/>
              </w:rPr>
              <w:t>1,267,594.2</w:t>
            </w:r>
          </w:p>
        </w:tc>
      </w:tr>
    </w:tbl>
    <w:p>
      <w:pPr>
        <w:tabs>
          <w:tab w:val="clear" w:pos="426"/>
        </w:tabs>
        <w:ind w:firstLine="424" w:firstLineChars="202"/>
        <w:rPr>
          <w:color w:val="auto"/>
          <w:highlight w:val="none"/>
          <w:shd w:val="clear" w:color="auto" w:fill="auto"/>
        </w:rPr>
      </w:pPr>
      <w:r>
        <w:rPr>
          <w:color w:val="auto"/>
          <w:highlight w:val="none"/>
          <w:shd w:val="clear" w:color="auto" w:fill="auto"/>
        </w:rPr>
        <w:t>10</w:t>
      </w:r>
      <w:r>
        <w:rPr>
          <w:rFonts w:hint="eastAsia"/>
          <w:color w:val="auto"/>
          <w:highlight w:val="none"/>
          <w:shd w:val="clear" w:color="auto" w:fill="auto"/>
        </w:rPr>
        <w:t>.采购方式：公开招标</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1.</w:t>
      </w:r>
      <w:r>
        <w:rPr>
          <w:rFonts w:hint="eastAsia"/>
          <w:color w:val="auto"/>
          <w:highlight w:val="none"/>
          <w:shd w:val="clear" w:color="auto" w:fill="auto"/>
        </w:rPr>
        <w:t>评标方法：综合评分法</w:t>
      </w:r>
    </w:p>
    <w:p>
      <w:pPr>
        <w:tabs>
          <w:tab w:val="clear" w:pos="426"/>
        </w:tabs>
        <w:ind w:firstLine="424" w:firstLineChars="202"/>
        <w:rPr>
          <w:rFonts w:hint="eastAsia" w:eastAsia="宋体"/>
          <w:color w:val="auto"/>
          <w:highlight w:val="none"/>
          <w:shd w:val="clear" w:color="auto" w:fill="auto"/>
          <w:lang w:eastAsia="zh-CN"/>
        </w:rPr>
      </w:pPr>
      <w:r>
        <w:rPr>
          <w:rFonts w:hint="eastAsia"/>
          <w:color w:val="auto"/>
          <w:highlight w:val="none"/>
          <w:shd w:val="clear" w:color="auto" w:fill="auto"/>
        </w:rPr>
        <w:t>1</w:t>
      </w:r>
      <w:r>
        <w:rPr>
          <w:color w:val="auto"/>
          <w:highlight w:val="none"/>
          <w:shd w:val="clear" w:color="auto" w:fill="auto"/>
        </w:rPr>
        <w:t>2</w:t>
      </w:r>
      <w:r>
        <w:rPr>
          <w:rFonts w:hint="eastAsia"/>
          <w:color w:val="auto"/>
          <w:highlight w:val="none"/>
          <w:shd w:val="clear" w:color="auto" w:fill="auto"/>
        </w:rPr>
        <w:t>.交货期要求：</w:t>
      </w:r>
      <w:bookmarkEnd w:id="35"/>
      <w:r>
        <w:rPr>
          <w:rFonts w:hint="eastAsia"/>
          <w:color w:val="auto"/>
          <w:highlight w:val="none"/>
          <w:shd w:val="clear" w:color="auto" w:fill="auto"/>
          <w:lang w:eastAsia="zh-CN"/>
        </w:rPr>
        <w:t>合同签订后60日历日内</w:t>
      </w:r>
    </w:p>
    <w:p>
      <w:pPr>
        <w:tabs>
          <w:tab w:val="clear" w:pos="426"/>
        </w:tabs>
        <w:rPr>
          <w:b/>
          <w:color w:val="auto"/>
          <w:highlight w:val="none"/>
          <w:shd w:val="clear" w:color="auto" w:fill="auto"/>
        </w:rPr>
      </w:pPr>
      <w:r>
        <w:rPr>
          <w:rFonts w:hint="eastAsia"/>
          <w:b/>
          <w:color w:val="auto"/>
          <w:highlight w:val="none"/>
          <w:shd w:val="clear" w:color="auto" w:fill="auto"/>
        </w:rPr>
        <w:t>二、投标人资格要求</w:t>
      </w:r>
    </w:p>
    <w:p>
      <w:pPr>
        <w:pStyle w:val="8"/>
        <w:tabs>
          <w:tab w:val="clear" w:pos="426"/>
        </w:tabs>
        <w:ind w:firstLine="424" w:firstLineChars="202"/>
        <w:rPr>
          <w:rFonts w:ascii="宋体" w:hAnsi="宋体"/>
          <w:color w:val="auto"/>
          <w:highlight w:val="none"/>
          <w:shd w:val="clear" w:color="auto" w:fill="auto"/>
        </w:rPr>
      </w:pPr>
      <w:r>
        <w:rPr>
          <w:rFonts w:hint="eastAsia" w:ascii="宋体" w:hAnsi="宋体"/>
          <w:color w:val="auto"/>
          <w:highlight w:val="none"/>
          <w:shd w:val="clear" w:color="auto" w:fill="auto"/>
        </w:rPr>
        <w:t>1.具有独立法人资格</w:t>
      </w:r>
      <w:r>
        <w:rPr>
          <w:rFonts w:ascii="宋体" w:hAnsi="宋体"/>
          <w:color w:val="auto"/>
          <w:highlight w:val="none"/>
          <w:shd w:val="clear" w:color="auto" w:fill="auto"/>
        </w:rPr>
        <w:t>（证明文件：须提供营业执照</w:t>
      </w:r>
      <w:r>
        <w:rPr>
          <w:rFonts w:hint="eastAsia" w:ascii="宋体" w:hAnsi="宋体"/>
          <w:color w:val="auto"/>
          <w:highlight w:val="none"/>
          <w:shd w:val="clear" w:color="auto" w:fill="auto"/>
        </w:rPr>
        <w:t>或法人证书</w:t>
      </w:r>
      <w:r>
        <w:rPr>
          <w:rFonts w:ascii="宋体" w:hAnsi="宋体"/>
          <w:color w:val="auto"/>
          <w:highlight w:val="none"/>
          <w:shd w:val="clear" w:color="auto" w:fill="auto"/>
        </w:rPr>
        <w:t>或其他证明文件的</w:t>
      </w:r>
      <w:r>
        <w:rPr>
          <w:rFonts w:hint="eastAsia" w:ascii="宋体" w:hAnsi="宋体"/>
          <w:color w:val="auto"/>
          <w:highlight w:val="none"/>
          <w:shd w:val="clear" w:color="auto" w:fill="auto"/>
        </w:rPr>
        <w:t>复印件</w:t>
      </w:r>
      <w:r>
        <w:rPr>
          <w:rFonts w:ascii="宋体" w:hAnsi="宋体"/>
          <w:color w:val="auto"/>
          <w:highlight w:val="none"/>
          <w:shd w:val="clear" w:color="auto" w:fill="auto"/>
        </w:rPr>
        <w:t>并加盖投标人公章，原件中标备查</w:t>
      </w:r>
      <w:r>
        <w:rPr>
          <w:rFonts w:hint="eastAsia" w:ascii="宋体" w:hAnsi="宋体"/>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2.本项目不接受联合体投标，中标后不允许转包、分包；</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3.本项目</w:t>
      </w:r>
      <w:r>
        <w:rPr>
          <w:rFonts w:hint="eastAsia"/>
          <w:b/>
          <w:bCs/>
          <w:color w:val="auto"/>
          <w:highlight w:val="none"/>
          <w:shd w:val="clear" w:color="auto" w:fill="auto"/>
          <w:lang w:eastAsia="zh-CN"/>
        </w:rPr>
        <w:t>不</w:t>
      </w:r>
      <w:r>
        <w:rPr>
          <w:rFonts w:hint="eastAsia"/>
          <w:b/>
          <w:color w:val="auto"/>
          <w:highlight w:val="none"/>
          <w:shd w:val="clear" w:color="auto" w:fill="auto"/>
        </w:rPr>
        <w:t>接受</w:t>
      </w:r>
      <w:r>
        <w:rPr>
          <w:rFonts w:hint="eastAsia"/>
          <w:color w:val="auto"/>
          <w:highlight w:val="none"/>
          <w:shd w:val="clear" w:color="auto" w:fill="auto"/>
        </w:rPr>
        <w:t>进口产品投标。</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4</w:t>
      </w:r>
      <w:r>
        <w:rPr>
          <w:color w:val="auto"/>
          <w:highlight w:val="none"/>
          <w:shd w:val="clear" w:color="auto" w:fill="auto"/>
        </w:rPr>
        <w:t>.</w:t>
      </w:r>
      <w:r>
        <w:rPr>
          <w:rFonts w:hint="eastAsia"/>
          <w:color w:val="auto"/>
          <w:highlight w:val="none"/>
          <w:shd w:val="clear" w:color="auto" w:fill="auto"/>
        </w:rPr>
        <w:t>参与本项目投标前三年内，在经营活动中没有重大违法记录（由供应商在《政府采购投标及履约承诺函》中作出声明）；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5.</w:t>
      </w:r>
      <w:r>
        <w:rPr>
          <w:color w:val="auto"/>
          <w:highlight w:val="none"/>
          <w:shd w:val="clear" w:color="auto" w:fill="auto"/>
        </w:rP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6.</w:t>
      </w:r>
      <w:r>
        <w:rPr>
          <w:color w:val="auto"/>
          <w:highlight w:val="none"/>
          <w:shd w:val="clear" w:color="auto" w:fill="auto"/>
        </w:rPr>
        <w:t>参与本项目的供应商具备《中华人民共和国政府采购法》第二十二条第一款规定的条件（由供应商在《政府采购投标及履约承诺函》中作出声明）</w:t>
      </w:r>
      <w:r>
        <w:rPr>
          <w:rFonts w:hint="eastAsia"/>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7</w:t>
      </w:r>
      <w:r>
        <w:rPr>
          <w:color w:val="auto"/>
          <w:highlight w:val="none"/>
          <w:shd w:val="clear" w:color="auto" w:fill="auto"/>
        </w:rPr>
        <w:t>.</w:t>
      </w:r>
      <w:r>
        <w:rPr>
          <w:rFonts w:hint="eastAsia"/>
          <w:color w:val="auto"/>
          <w:highlight w:val="none"/>
          <w:shd w:val="clear" w:color="auto" w:fill="auto"/>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8</w:t>
      </w:r>
      <w:r>
        <w:rPr>
          <w:color w:val="auto"/>
          <w:highlight w:val="none"/>
          <w:shd w:val="clear" w:color="auto" w:fill="auto"/>
        </w:rPr>
        <w:t>.</w:t>
      </w:r>
      <w:r>
        <w:rPr>
          <w:rFonts w:hint="eastAsia"/>
          <w:color w:val="auto"/>
          <w:highlight w:val="none"/>
          <w:shd w:val="clear" w:color="auto" w:fill="auto"/>
        </w:rPr>
        <w:t>投标人必须具有深圳市政府采购注册供应商资格（供应商注册网址http://www.szzfcg.cn，投标文件中无需提供证明材料。采购代理机构将在开标当天从供应商资料库里查询本项目所有投标人的注册状态，投标人注册状态不是“有效”的，将按资格不符合招标文件要求，作资格审查不通过处理）；</w:t>
      </w: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三、获取招标文件的时间、地点、方式及招标文件售价</w:t>
      </w:r>
    </w:p>
    <w:p>
      <w:pPr>
        <w:tabs>
          <w:tab w:val="clear" w:pos="426"/>
        </w:tabs>
        <w:ind w:firstLine="424" w:firstLineChars="202"/>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.获取招标文件时间：</w:t>
      </w:r>
      <w:r>
        <w:rPr>
          <w:rFonts w:hint="eastAsia"/>
          <w:color w:val="auto"/>
          <w:highlight w:val="yellow"/>
          <w:u w:val="single"/>
          <w:shd w:val="clear" w:color="auto" w:fill="auto"/>
        </w:rPr>
        <w:t>2019</w:t>
      </w:r>
      <w:r>
        <w:rPr>
          <w:rFonts w:hint="eastAsia"/>
          <w:color w:val="auto"/>
          <w:highlight w:val="yellow"/>
          <w:shd w:val="clear" w:color="auto" w:fill="auto"/>
        </w:rPr>
        <w:t>年</w:t>
      </w:r>
      <w:r>
        <w:rPr>
          <w:rFonts w:hint="eastAsia"/>
          <w:color w:val="auto"/>
          <w:highlight w:val="yellow"/>
          <w:u w:val="single"/>
          <w:shd w:val="clear" w:color="auto" w:fill="auto"/>
          <w:lang w:val="en-US" w:eastAsia="zh-CN"/>
        </w:rPr>
        <w:t>10</w:t>
      </w:r>
      <w:r>
        <w:rPr>
          <w:rFonts w:hint="eastAsia"/>
          <w:color w:val="auto"/>
          <w:highlight w:val="yellow"/>
          <w:shd w:val="clear" w:color="auto" w:fill="auto"/>
        </w:rPr>
        <w:t>月</w:t>
      </w:r>
      <w:r>
        <w:rPr>
          <w:rFonts w:hint="eastAsia"/>
          <w:color w:val="auto"/>
          <w:highlight w:val="yellow"/>
          <w:u w:val="single"/>
          <w:shd w:val="clear" w:color="auto" w:fill="auto"/>
          <w:lang w:val="en-US" w:eastAsia="zh-CN"/>
        </w:rPr>
        <w:t>22</w:t>
      </w:r>
      <w:r>
        <w:rPr>
          <w:rFonts w:hint="eastAsia"/>
          <w:color w:val="auto"/>
          <w:highlight w:val="yellow"/>
          <w:shd w:val="clear" w:color="auto" w:fill="auto"/>
        </w:rPr>
        <w:t>日起至</w:t>
      </w:r>
      <w:r>
        <w:rPr>
          <w:rFonts w:hint="eastAsia"/>
          <w:color w:val="auto"/>
          <w:highlight w:val="yellow"/>
          <w:u w:val="single"/>
          <w:shd w:val="clear" w:color="auto" w:fill="auto"/>
        </w:rPr>
        <w:t>2019</w:t>
      </w:r>
      <w:r>
        <w:rPr>
          <w:rFonts w:hint="eastAsia"/>
          <w:color w:val="auto"/>
          <w:highlight w:val="yellow"/>
          <w:shd w:val="clear" w:color="auto" w:fill="auto"/>
        </w:rPr>
        <w:t>年</w:t>
      </w:r>
      <w:r>
        <w:rPr>
          <w:rFonts w:hint="eastAsia"/>
          <w:color w:val="auto"/>
          <w:highlight w:val="yellow"/>
          <w:u w:val="single"/>
          <w:shd w:val="clear" w:color="auto" w:fill="auto"/>
          <w:lang w:val="en-US" w:eastAsia="zh-CN"/>
        </w:rPr>
        <w:t>10</w:t>
      </w:r>
      <w:r>
        <w:rPr>
          <w:rFonts w:hint="eastAsia"/>
          <w:color w:val="auto"/>
          <w:highlight w:val="yellow"/>
          <w:shd w:val="clear" w:color="auto" w:fill="auto"/>
        </w:rPr>
        <w:t>月</w:t>
      </w:r>
      <w:r>
        <w:rPr>
          <w:rFonts w:hint="eastAsia"/>
          <w:color w:val="auto"/>
          <w:highlight w:val="yellow"/>
          <w:u w:val="single"/>
          <w:shd w:val="clear" w:color="auto" w:fill="auto"/>
          <w:lang w:val="en-US" w:eastAsia="zh-CN"/>
        </w:rPr>
        <w:t>28</w:t>
      </w:r>
      <w:r>
        <w:rPr>
          <w:rFonts w:hint="eastAsia"/>
          <w:color w:val="auto"/>
          <w:highlight w:val="yellow"/>
          <w:shd w:val="clear" w:color="auto" w:fill="auto"/>
        </w:rPr>
        <w:t>日（节假日除外），上午</w:t>
      </w:r>
      <w:r>
        <w:rPr>
          <w:rFonts w:hint="eastAsia"/>
          <w:color w:val="auto"/>
          <w:highlight w:val="yellow"/>
          <w:u w:val="single"/>
          <w:shd w:val="clear" w:color="auto" w:fill="auto"/>
        </w:rPr>
        <w:t xml:space="preserve"> 09:00</w:t>
      </w:r>
      <w:r>
        <w:rPr>
          <w:rFonts w:hint="eastAsia"/>
          <w:color w:val="auto"/>
          <w:highlight w:val="yellow"/>
          <w:shd w:val="clear" w:color="auto" w:fill="auto"/>
        </w:rPr>
        <w:t>～</w:t>
      </w:r>
      <w:r>
        <w:rPr>
          <w:rFonts w:hint="eastAsia"/>
          <w:color w:val="auto"/>
          <w:highlight w:val="yellow"/>
          <w:u w:val="single"/>
          <w:shd w:val="clear" w:color="auto" w:fill="auto"/>
        </w:rPr>
        <w:t xml:space="preserve">11:30  </w:t>
      </w:r>
      <w:r>
        <w:rPr>
          <w:rFonts w:hint="eastAsia"/>
          <w:color w:val="auto"/>
          <w:highlight w:val="yellow"/>
          <w:shd w:val="clear" w:color="auto" w:fill="auto"/>
        </w:rPr>
        <w:t>，下午</w:t>
      </w:r>
      <w:r>
        <w:rPr>
          <w:rFonts w:hint="eastAsia"/>
          <w:color w:val="auto"/>
          <w:highlight w:val="yellow"/>
          <w:u w:val="single"/>
          <w:shd w:val="clear" w:color="auto" w:fill="auto"/>
        </w:rPr>
        <w:t>14:00</w:t>
      </w:r>
      <w:r>
        <w:rPr>
          <w:rFonts w:hint="eastAsia"/>
          <w:color w:val="auto"/>
          <w:highlight w:val="yellow"/>
          <w:shd w:val="clear" w:color="auto" w:fill="auto"/>
        </w:rPr>
        <w:t>～</w:t>
      </w:r>
      <w:r>
        <w:rPr>
          <w:rFonts w:hint="eastAsia"/>
          <w:color w:val="auto"/>
          <w:highlight w:val="yellow"/>
          <w:u w:val="single"/>
          <w:shd w:val="clear" w:color="auto" w:fill="auto"/>
        </w:rPr>
        <w:t>17:30（</w:t>
      </w:r>
      <w:r>
        <w:rPr>
          <w:rFonts w:hint="eastAsia"/>
          <w:color w:val="auto"/>
          <w:highlight w:val="none"/>
          <w:shd w:val="clear" w:color="auto" w:fill="auto"/>
        </w:rPr>
        <w:t>北京时间）。</w:t>
      </w:r>
    </w:p>
    <w:p>
      <w:pPr>
        <w:tabs>
          <w:tab w:val="clear" w:pos="426"/>
        </w:tabs>
        <w:ind w:firstLine="424" w:firstLineChars="202"/>
        <w:rPr>
          <w:color w:val="auto"/>
          <w:highlight w:val="none"/>
          <w:shd w:val="clear" w:color="auto" w:fill="auto"/>
        </w:rPr>
      </w:pPr>
      <w:r>
        <w:rPr>
          <w:color w:val="auto"/>
          <w:highlight w:val="none"/>
          <w:shd w:val="clear" w:color="auto" w:fill="auto"/>
        </w:rPr>
        <w:t>2</w:t>
      </w:r>
      <w:r>
        <w:rPr>
          <w:rFonts w:hint="eastAsia"/>
          <w:color w:val="auto"/>
          <w:highlight w:val="none"/>
          <w:shd w:val="clear" w:color="auto" w:fill="auto"/>
        </w:rPr>
        <w:t>.获取招标文件地点：深圳市罗湖区布吉路1028号中设广场B座307。</w:t>
      </w:r>
    </w:p>
    <w:p>
      <w:pPr>
        <w:tabs>
          <w:tab w:val="clear" w:pos="426"/>
        </w:tabs>
        <w:ind w:firstLine="424" w:firstLineChars="202"/>
        <w:rPr>
          <w:color w:val="auto"/>
          <w:highlight w:val="none"/>
          <w:shd w:val="clear" w:color="auto" w:fill="auto"/>
        </w:rPr>
      </w:pPr>
      <w:r>
        <w:rPr>
          <w:color w:val="auto"/>
          <w:highlight w:val="none"/>
          <w:shd w:val="clear" w:color="auto" w:fill="auto"/>
        </w:rPr>
        <w:t>3</w:t>
      </w:r>
      <w:r>
        <w:rPr>
          <w:rFonts w:hint="eastAsia"/>
          <w:color w:val="auto"/>
          <w:highlight w:val="none"/>
          <w:shd w:val="clear" w:color="auto" w:fill="auto"/>
        </w:rPr>
        <w:t>.获取招标文件方式：现场购买或邮购。</w:t>
      </w:r>
    </w:p>
    <w:p>
      <w:pPr>
        <w:tabs>
          <w:tab w:val="clear" w:pos="426"/>
        </w:tabs>
        <w:ind w:firstLine="424" w:firstLineChars="202"/>
        <w:rPr>
          <w:color w:val="auto"/>
          <w:highlight w:val="none"/>
          <w:shd w:val="clear" w:color="auto" w:fill="auto"/>
        </w:rPr>
      </w:pPr>
      <w:r>
        <w:rPr>
          <w:color w:val="auto"/>
          <w:highlight w:val="none"/>
          <w:shd w:val="clear" w:color="auto" w:fill="auto"/>
        </w:rPr>
        <w:t>4</w:t>
      </w:r>
      <w:r>
        <w:rPr>
          <w:rFonts w:hint="eastAsia"/>
          <w:color w:val="auto"/>
          <w:highlight w:val="none"/>
          <w:shd w:val="clear" w:color="auto" w:fill="auto"/>
        </w:rPr>
        <w:t>.招标文件售价：每套人民币5</w:t>
      </w:r>
      <w:r>
        <w:rPr>
          <w:color w:val="auto"/>
          <w:highlight w:val="none"/>
          <w:shd w:val="clear" w:color="auto" w:fill="auto"/>
        </w:rPr>
        <w:t>00</w:t>
      </w:r>
      <w:r>
        <w:rPr>
          <w:rFonts w:hint="eastAsia"/>
          <w:color w:val="auto"/>
          <w:highlight w:val="none"/>
          <w:shd w:val="clear" w:color="auto" w:fill="auto"/>
        </w:rPr>
        <w:t>元</w:t>
      </w:r>
      <w:r>
        <w:rPr>
          <w:rFonts w:hint="eastAsia"/>
          <w:b/>
          <w:color w:val="auto"/>
          <w:highlight w:val="none"/>
          <w:shd w:val="clear" w:color="auto" w:fill="auto"/>
        </w:rPr>
        <w:t>（现金）</w:t>
      </w:r>
      <w:r>
        <w:rPr>
          <w:rFonts w:hint="eastAsia"/>
          <w:color w:val="auto"/>
          <w:highlight w:val="none"/>
          <w:shd w:val="clear" w:color="auto" w:fill="auto"/>
        </w:rPr>
        <w:t>；若邮购，每份加收人民币</w:t>
      </w:r>
      <w:r>
        <w:rPr>
          <w:color w:val="auto"/>
          <w:highlight w:val="none"/>
          <w:shd w:val="clear" w:color="auto" w:fill="auto"/>
        </w:rPr>
        <w:t>50元</w:t>
      </w:r>
      <w:r>
        <w:rPr>
          <w:rFonts w:hint="eastAsia"/>
          <w:color w:val="auto"/>
          <w:highlight w:val="none"/>
          <w:shd w:val="clear" w:color="auto" w:fill="auto"/>
        </w:rPr>
        <w:t>。招标文件售后不退。</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5.现场报名时提交以下资料：</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（1）投标人的营业执照复印件；</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（2）法人代表证明书原件、授权委托书原件、被授权委托人身份证复印件、被授权委托人联系方式</w:t>
      </w:r>
      <w:r>
        <w:rPr>
          <w:rFonts w:hint="eastAsia"/>
          <w:b/>
          <w:color w:val="auto"/>
          <w:highlight w:val="none"/>
          <w:shd w:val="clear" w:color="auto" w:fill="auto"/>
        </w:rPr>
        <w:t>（电话、邮箱）</w:t>
      </w:r>
      <w:r>
        <w:rPr>
          <w:rFonts w:hint="eastAsia"/>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3）投标人的增值税发票开票（信息）资料；</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以上资料均需加盖公章。</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四、投标截止时间、开标时间及地点</w:t>
      </w:r>
    </w:p>
    <w:p>
      <w:pPr>
        <w:tabs>
          <w:tab w:val="clear" w:pos="426"/>
        </w:tabs>
        <w:ind w:firstLine="424" w:firstLineChars="202"/>
        <w:rPr>
          <w:color w:val="auto"/>
          <w:highlight w:val="yellow"/>
          <w:shd w:val="clear" w:color="auto" w:fill="auto"/>
        </w:rPr>
      </w:pPr>
      <w:r>
        <w:rPr>
          <w:color w:val="auto"/>
          <w:highlight w:val="yellow"/>
          <w:shd w:val="clear" w:color="auto" w:fill="auto"/>
        </w:rPr>
        <w:t>1</w:t>
      </w:r>
      <w:r>
        <w:rPr>
          <w:rFonts w:hint="eastAsia"/>
          <w:color w:val="auto"/>
          <w:highlight w:val="yellow"/>
          <w:shd w:val="clear" w:color="auto" w:fill="auto"/>
        </w:rPr>
        <w:t>.递交投标文件时间：</w:t>
      </w:r>
      <w:r>
        <w:rPr>
          <w:rFonts w:hint="eastAsia"/>
          <w:color w:val="auto"/>
          <w:highlight w:val="yellow"/>
          <w:u w:val="single"/>
          <w:shd w:val="clear" w:color="auto" w:fill="auto"/>
        </w:rPr>
        <w:t xml:space="preserve"> 2019</w:t>
      </w:r>
      <w:r>
        <w:rPr>
          <w:rFonts w:hint="eastAsia"/>
          <w:color w:val="auto"/>
          <w:highlight w:val="yellow"/>
          <w:shd w:val="clear" w:color="auto" w:fill="auto"/>
        </w:rPr>
        <w:t>年</w:t>
      </w:r>
      <w:r>
        <w:rPr>
          <w:rFonts w:hint="eastAsia"/>
          <w:color w:val="auto"/>
          <w:highlight w:val="yellow"/>
          <w:u w:val="single"/>
          <w:shd w:val="clear" w:color="auto" w:fill="auto"/>
          <w:lang w:val="en-US" w:eastAsia="zh-CN"/>
        </w:rPr>
        <w:t>11</w:t>
      </w:r>
      <w:r>
        <w:rPr>
          <w:rFonts w:hint="eastAsia"/>
          <w:color w:val="auto"/>
          <w:highlight w:val="yellow"/>
          <w:shd w:val="clear" w:color="auto" w:fill="auto"/>
        </w:rPr>
        <w:t>月</w:t>
      </w:r>
      <w:r>
        <w:rPr>
          <w:rFonts w:hint="eastAsia"/>
          <w:color w:val="auto"/>
          <w:highlight w:val="yellow"/>
          <w:u w:val="single"/>
          <w:shd w:val="clear" w:color="auto" w:fill="auto"/>
          <w:lang w:val="en-US" w:eastAsia="zh-CN"/>
        </w:rPr>
        <w:t>1</w:t>
      </w:r>
      <w:r>
        <w:rPr>
          <w:rFonts w:hint="eastAsia"/>
          <w:color w:val="auto"/>
          <w:highlight w:val="yellow"/>
          <w:shd w:val="clear" w:color="auto" w:fill="auto"/>
        </w:rPr>
        <w:t xml:space="preserve">日 </w:t>
      </w:r>
      <w:r>
        <w:rPr>
          <w:rFonts w:hint="eastAsia"/>
          <w:color w:val="auto"/>
          <w:highlight w:val="yellow"/>
          <w:u w:val="single"/>
          <w:shd w:val="clear" w:color="auto" w:fill="auto"/>
        </w:rPr>
        <w:t>09:00</w:t>
      </w:r>
      <w:r>
        <w:rPr>
          <w:rFonts w:hint="eastAsia"/>
          <w:color w:val="auto"/>
          <w:highlight w:val="yellow"/>
          <w:shd w:val="clear" w:color="auto" w:fill="auto"/>
        </w:rPr>
        <w:t>～</w:t>
      </w:r>
      <w:r>
        <w:rPr>
          <w:rFonts w:hint="eastAsia"/>
          <w:color w:val="auto"/>
          <w:highlight w:val="yellow"/>
          <w:u w:val="single"/>
          <w:shd w:val="clear" w:color="auto" w:fill="auto"/>
        </w:rPr>
        <w:t>09:30</w:t>
      </w:r>
    </w:p>
    <w:p>
      <w:pPr>
        <w:tabs>
          <w:tab w:val="clear" w:pos="426"/>
        </w:tabs>
        <w:ind w:firstLine="424" w:firstLineChars="202"/>
        <w:rPr>
          <w:color w:val="auto"/>
          <w:highlight w:val="yellow"/>
          <w:shd w:val="clear" w:color="auto" w:fill="auto"/>
        </w:rPr>
      </w:pPr>
      <w:r>
        <w:rPr>
          <w:color w:val="auto"/>
          <w:highlight w:val="yellow"/>
          <w:shd w:val="clear" w:color="auto" w:fill="auto"/>
        </w:rPr>
        <w:t>2</w:t>
      </w:r>
      <w:r>
        <w:rPr>
          <w:rFonts w:hint="eastAsia"/>
          <w:color w:val="auto"/>
          <w:highlight w:val="yellow"/>
          <w:shd w:val="clear" w:color="auto" w:fill="auto"/>
        </w:rPr>
        <w:t>.投标截止及开标时间：</w:t>
      </w:r>
      <w:r>
        <w:rPr>
          <w:rFonts w:hint="eastAsia"/>
          <w:color w:val="auto"/>
          <w:highlight w:val="yellow"/>
          <w:u w:val="single"/>
          <w:shd w:val="clear" w:color="auto" w:fill="auto"/>
        </w:rPr>
        <w:t>2019</w:t>
      </w:r>
      <w:r>
        <w:rPr>
          <w:rFonts w:hint="eastAsia"/>
          <w:color w:val="auto"/>
          <w:highlight w:val="yellow"/>
          <w:shd w:val="clear" w:color="auto" w:fill="auto"/>
        </w:rPr>
        <w:t>年</w:t>
      </w:r>
      <w:r>
        <w:rPr>
          <w:rFonts w:hint="eastAsia"/>
          <w:color w:val="auto"/>
          <w:highlight w:val="yellow"/>
          <w:u w:val="single"/>
          <w:shd w:val="clear" w:color="auto" w:fill="auto"/>
          <w:lang w:val="en-US" w:eastAsia="zh-CN"/>
        </w:rPr>
        <w:t>11</w:t>
      </w:r>
      <w:r>
        <w:rPr>
          <w:rFonts w:hint="eastAsia"/>
          <w:color w:val="auto"/>
          <w:highlight w:val="yellow"/>
          <w:shd w:val="clear" w:color="auto" w:fill="auto"/>
        </w:rPr>
        <w:t>月</w:t>
      </w:r>
      <w:r>
        <w:rPr>
          <w:rFonts w:hint="eastAsia"/>
          <w:color w:val="auto"/>
          <w:highlight w:val="yellow"/>
          <w:u w:val="single"/>
          <w:shd w:val="clear" w:color="auto" w:fill="auto"/>
          <w:lang w:val="en-US" w:eastAsia="zh-CN"/>
        </w:rPr>
        <w:t>1</w:t>
      </w:r>
      <w:r>
        <w:rPr>
          <w:rFonts w:hint="eastAsia"/>
          <w:color w:val="auto"/>
          <w:highlight w:val="yellow"/>
          <w:shd w:val="clear" w:color="auto" w:fill="auto"/>
        </w:rPr>
        <w:t xml:space="preserve">日 </w:t>
      </w:r>
      <w:r>
        <w:rPr>
          <w:rFonts w:hint="eastAsia"/>
          <w:color w:val="auto"/>
          <w:highlight w:val="yellow"/>
          <w:u w:val="single"/>
          <w:shd w:val="clear" w:color="auto" w:fill="auto"/>
        </w:rPr>
        <w:t>09</w:t>
      </w:r>
      <w:r>
        <w:rPr>
          <w:rFonts w:hint="eastAsia"/>
          <w:color w:val="auto"/>
          <w:highlight w:val="yellow"/>
          <w:shd w:val="clear" w:color="auto" w:fill="auto"/>
        </w:rPr>
        <w:t>时</w:t>
      </w:r>
      <w:r>
        <w:rPr>
          <w:rFonts w:hint="eastAsia"/>
          <w:color w:val="auto"/>
          <w:highlight w:val="yellow"/>
          <w:u w:val="single"/>
          <w:shd w:val="clear" w:color="auto" w:fill="auto"/>
        </w:rPr>
        <w:t xml:space="preserve"> 30 </w:t>
      </w:r>
      <w:r>
        <w:rPr>
          <w:rFonts w:hint="eastAsia"/>
          <w:color w:val="auto"/>
          <w:highlight w:val="yellow"/>
          <w:shd w:val="clear" w:color="auto" w:fill="auto"/>
        </w:rPr>
        <w:t>分</w:t>
      </w:r>
    </w:p>
    <w:p>
      <w:pPr>
        <w:tabs>
          <w:tab w:val="clear" w:pos="426"/>
        </w:tabs>
        <w:ind w:firstLine="424" w:firstLineChars="202"/>
        <w:rPr>
          <w:color w:val="auto"/>
          <w:highlight w:val="none"/>
          <w:shd w:val="clear" w:color="auto" w:fill="auto"/>
        </w:rPr>
      </w:pPr>
      <w:r>
        <w:rPr>
          <w:color w:val="auto"/>
          <w:highlight w:val="none"/>
          <w:shd w:val="clear" w:color="auto" w:fill="auto"/>
        </w:rPr>
        <w:t>3</w:t>
      </w:r>
      <w:r>
        <w:rPr>
          <w:rFonts w:hint="eastAsia"/>
          <w:color w:val="auto"/>
          <w:highlight w:val="none"/>
          <w:shd w:val="clear" w:color="auto" w:fill="auto"/>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五、答疑事项</w:t>
      </w:r>
    </w:p>
    <w:p>
      <w:pPr>
        <w:tabs>
          <w:tab w:val="clear" w:pos="426"/>
        </w:tabs>
        <w:ind w:firstLine="424" w:firstLineChars="202"/>
        <w:rPr>
          <w:color w:val="auto"/>
          <w:szCs w:val="21"/>
          <w:highlight w:val="none"/>
          <w:shd w:val="clear" w:color="auto" w:fill="auto"/>
        </w:rPr>
      </w:pPr>
      <w:r>
        <w:rPr>
          <w:color w:val="auto"/>
          <w:szCs w:val="21"/>
          <w:highlight w:val="none"/>
          <w:shd w:val="clear" w:color="auto" w:fill="auto"/>
        </w:rPr>
        <w:t>1.本项目实行网下纸质答疑，凡对招标文件有任何疑问的（包括认为招标文件的技术指标或参数存在排他性或歧视性条款），请投标人</w:t>
      </w:r>
      <w:r>
        <w:rPr>
          <w:color w:val="auto"/>
          <w:szCs w:val="21"/>
          <w:highlight w:val="yellow"/>
          <w:shd w:val="clear" w:color="auto" w:fill="auto"/>
        </w:rPr>
        <w:t>于</w:t>
      </w:r>
      <w:r>
        <w:rPr>
          <w:rFonts w:hint="eastAsia"/>
          <w:color w:val="auto"/>
          <w:highlight w:val="yellow"/>
          <w:u w:val="single"/>
          <w:shd w:val="clear" w:color="auto" w:fill="auto"/>
        </w:rPr>
        <w:t>2019</w:t>
      </w:r>
      <w:r>
        <w:rPr>
          <w:color w:val="auto"/>
          <w:szCs w:val="21"/>
          <w:highlight w:val="yellow"/>
          <w:shd w:val="clear" w:color="auto" w:fill="auto"/>
        </w:rPr>
        <w:t>年</w:t>
      </w:r>
      <w:r>
        <w:rPr>
          <w:rFonts w:hint="eastAsia"/>
          <w:color w:val="auto"/>
          <w:szCs w:val="21"/>
          <w:highlight w:val="yellow"/>
          <w:u w:val="single"/>
          <w:shd w:val="clear" w:color="auto" w:fill="auto"/>
          <w:lang w:val="en-US" w:eastAsia="zh-CN"/>
        </w:rPr>
        <w:t>10</w:t>
      </w:r>
      <w:r>
        <w:rPr>
          <w:color w:val="auto"/>
          <w:szCs w:val="21"/>
          <w:highlight w:val="yellow"/>
          <w:shd w:val="clear" w:color="auto" w:fill="auto"/>
        </w:rPr>
        <w:t>月</w:t>
      </w:r>
      <w:r>
        <w:rPr>
          <w:rFonts w:hint="eastAsia"/>
          <w:color w:val="auto"/>
          <w:szCs w:val="21"/>
          <w:highlight w:val="yellow"/>
          <w:u w:val="single"/>
          <w:shd w:val="clear" w:color="auto" w:fill="auto"/>
          <w:lang w:val="en-US" w:eastAsia="zh-CN"/>
        </w:rPr>
        <w:t>30</w:t>
      </w:r>
      <w:r>
        <w:rPr>
          <w:color w:val="auto"/>
          <w:szCs w:val="21"/>
          <w:highlight w:val="yellow"/>
          <w:shd w:val="clear" w:color="auto" w:fill="auto"/>
        </w:rPr>
        <w:t xml:space="preserve">日 </w:t>
      </w:r>
      <w:r>
        <w:rPr>
          <w:color w:val="auto"/>
          <w:szCs w:val="21"/>
          <w:highlight w:val="none"/>
          <w:shd w:val="clear" w:color="auto" w:fill="auto"/>
        </w:rPr>
        <w:t>17:30前，根据《深圳经济特区政府采购条例》第六章、《深圳市经济特区政府采购条例实施细则》第六章及深圳市政府采购中心网页http://www.cgzx.sz.gov.cn/zxfw/</w:t>
      </w:r>
      <w:r>
        <w:rPr>
          <w:rFonts w:hint="eastAsia"/>
          <w:color w:val="auto"/>
          <w:szCs w:val="21"/>
          <w:highlight w:val="none"/>
          <w:shd w:val="clear" w:color="auto" w:fill="auto"/>
        </w:rPr>
        <w:t>mx</w:t>
      </w:r>
      <w:r>
        <w:rPr>
          <w:color w:val="auto"/>
          <w:szCs w:val="21"/>
          <w:highlight w:val="none"/>
          <w:shd w:val="clear" w:color="auto" w:fill="auto"/>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color w:val="auto"/>
          <w:highlight w:val="none"/>
          <w:shd w:val="clear" w:color="auto" w:fill="auto"/>
        </w:rPr>
      </w:pPr>
      <w:r>
        <w:rPr>
          <w:color w:val="auto"/>
          <w:szCs w:val="21"/>
          <w:highlight w:val="none"/>
          <w:shd w:val="clear" w:color="auto" w:fill="auto"/>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color w:val="auto"/>
          <w:highlight w:val="none"/>
          <w:shd w:val="clear" w:color="auto" w:fill="auto"/>
        </w:rPr>
      </w:pPr>
      <w:r>
        <w:rPr>
          <w:rFonts w:hint="eastAsia"/>
          <w:b/>
          <w:color w:val="auto"/>
          <w:highlight w:val="none"/>
          <w:shd w:val="clear" w:color="auto" w:fill="auto"/>
        </w:rPr>
        <w:t>六、相关信息</w:t>
      </w:r>
    </w:p>
    <w:tbl>
      <w:tblPr>
        <w:tblStyle w:val="44"/>
        <w:tblW w:w="79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rPr>
                <w:color w:val="auto"/>
                <w:highlight w:val="none"/>
                <w:shd w:val="clear" w:color="auto" w:fill="auto"/>
              </w:rPr>
            </w:pPr>
            <w:r>
              <w:rPr>
                <w:rStyle w:val="48"/>
                <w:rFonts w:hint="eastAsia"/>
                <w:color w:val="auto"/>
                <w:sz w:val="20"/>
                <w:szCs w:val="20"/>
                <w:highlight w:val="none"/>
                <w:shd w:val="clear" w:color="auto" w:fill="auto"/>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0755-25160321 ，13925205100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 xml:space="preserve">深圳市政府采购网  </w:t>
            </w:r>
            <w:r>
              <w:rPr>
                <w:color w:val="auto"/>
                <w:highlight w:val="none"/>
                <w:shd w:val="clear" w:color="auto" w:fill="auto"/>
              </w:rPr>
              <w:fldChar w:fldCharType="begin"/>
            </w:r>
            <w:r>
              <w:rPr>
                <w:color w:val="auto"/>
                <w:highlight w:val="none"/>
                <w:shd w:val="clear" w:color="auto" w:fill="auto"/>
              </w:rPr>
              <w:instrText xml:space="preserve"> HYPERLINK "http://www.szzfcg.cn" </w:instrText>
            </w:r>
            <w:r>
              <w:rPr>
                <w:color w:val="auto"/>
                <w:highlight w:val="none"/>
                <w:shd w:val="clear" w:color="auto" w:fill="auto"/>
              </w:rPr>
              <w:fldChar w:fldCharType="separate"/>
            </w:r>
            <w:r>
              <w:rPr>
                <w:rFonts w:hint="eastAsia"/>
                <w:color w:val="auto"/>
                <w:highlight w:val="none"/>
                <w:shd w:val="clear" w:color="auto" w:fill="auto"/>
              </w:rPr>
              <w:t>http://www.szzfcg.cn</w:t>
            </w:r>
            <w:r>
              <w:rPr>
                <w:rFonts w:hint="eastAsia"/>
                <w:color w:val="auto"/>
                <w:highlight w:val="none"/>
                <w:shd w:val="clear" w:color="auto" w:fill="auto"/>
              </w:rPr>
              <w:fldChar w:fldCharType="end"/>
            </w:r>
          </w:p>
          <w:p>
            <w:pPr>
              <w:jc w:val="left"/>
              <w:rPr>
                <w:color w:val="auto"/>
                <w:highlight w:val="none"/>
                <w:shd w:val="clear" w:color="auto" w:fill="auto"/>
              </w:rPr>
            </w:pPr>
            <w:r>
              <w:rPr>
                <w:rFonts w:hint="eastAsia"/>
                <w:color w:val="auto"/>
                <w:highlight w:val="none"/>
                <w:shd w:val="clear" w:color="auto" w:fill="auto"/>
              </w:rPr>
              <w:t>深圳市坪山区公共资源交易中心：http://ps.szzfcg.cn</w:t>
            </w:r>
          </w:p>
          <w:p>
            <w:pPr>
              <w:jc w:val="left"/>
              <w:rPr>
                <w:rFonts w:hint="eastAsia" w:eastAsia="宋体"/>
                <w:color w:val="auto"/>
                <w:highlight w:val="none"/>
                <w:shd w:val="clear" w:color="auto" w:fill="auto"/>
                <w:lang w:eastAsia="zh-CN"/>
              </w:rPr>
            </w:pPr>
            <w:r>
              <w:rPr>
                <w:rFonts w:hint="eastAsia"/>
                <w:color w:val="auto"/>
                <w:highlight w:val="none"/>
                <w:shd w:val="clear" w:color="auto" w:fill="auto"/>
              </w:rPr>
              <w:t xml:space="preserve">深圳市深水水务咨询有限公司  </w:t>
            </w:r>
            <w:r>
              <w:rPr>
                <w:color w:val="auto"/>
                <w:highlight w:val="none"/>
                <w:shd w:val="clear" w:color="auto" w:fill="auto"/>
              </w:rPr>
              <w:fldChar w:fldCharType="begin"/>
            </w:r>
            <w:r>
              <w:rPr>
                <w:color w:val="auto"/>
                <w:highlight w:val="none"/>
                <w:shd w:val="clear" w:color="auto" w:fill="auto"/>
              </w:rPr>
              <w:instrText xml:space="preserve"> HYPERLINK "http://www.szsszx.com" </w:instrText>
            </w:r>
            <w:r>
              <w:rPr>
                <w:color w:val="auto"/>
                <w:highlight w:val="none"/>
                <w:shd w:val="clear" w:color="auto" w:fill="auto"/>
              </w:rPr>
              <w:fldChar w:fldCharType="separate"/>
            </w:r>
            <w:r>
              <w:rPr>
                <w:rFonts w:hint="eastAsia"/>
                <w:color w:val="auto"/>
                <w:highlight w:val="none"/>
                <w:shd w:val="clear" w:color="auto" w:fill="auto"/>
              </w:rPr>
              <w:t>http://www.szsszx.com</w:t>
            </w:r>
            <w:r>
              <w:rPr>
                <w:rFonts w:hint="eastAsia"/>
                <w:color w:val="auto"/>
                <w:highlight w:val="none"/>
                <w:shd w:val="clear" w:color="auto" w:fill="auto"/>
              </w:rPr>
              <w:fldChar w:fldCharType="end"/>
            </w:r>
            <w:r>
              <w:rPr>
                <w:rFonts w:hint="eastAsia"/>
                <w:color w:val="auto"/>
                <w:highlight w:val="none"/>
                <w:shd w:val="clear" w:color="auto" w:fill="auto"/>
                <w:lang w:eastAsia="zh-CN"/>
              </w:rPr>
              <w:t>（招标文件下载网址）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rFonts w:hint="eastAsia" w:eastAsia="宋体"/>
                <w:color w:val="auto"/>
                <w:highlight w:val="none"/>
                <w:shd w:val="clear" w:color="auto" w:fill="auto"/>
                <w:lang w:eastAsia="zh-CN"/>
              </w:rPr>
            </w:pPr>
            <w:r>
              <w:rPr>
                <w:rFonts w:hint="eastAsia"/>
                <w:color w:val="auto"/>
                <w:highlight w:val="none"/>
                <w:shd w:val="clear" w:color="auto" w:fill="auto"/>
                <w:lang w:eastAsia="zh-CN"/>
              </w:rPr>
              <w:t>深圳平乐骨伤科医院（深圳市坪山区中医院）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rFonts w:hint="default" w:eastAsia="宋体"/>
                <w:color w:val="auto"/>
                <w:highlight w:val="none"/>
                <w:shd w:val="clear" w:color="auto" w:fill="auto"/>
                <w:lang w:val="en-US" w:eastAsia="zh-CN"/>
              </w:rPr>
            </w:pPr>
            <w:r>
              <w:rPr>
                <w:rFonts w:hint="eastAsia"/>
                <w:color w:val="auto"/>
                <w:highlight w:val="none"/>
                <w:shd w:val="clear" w:color="auto" w:fill="auto"/>
                <w:lang w:eastAsia="zh-CN"/>
              </w:rPr>
              <w:t>刘医生：</w:t>
            </w:r>
            <w:r>
              <w:rPr>
                <w:rFonts w:hint="eastAsia"/>
                <w:color w:val="auto"/>
                <w:highlight w:val="none"/>
                <w:shd w:val="clear" w:color="auto" w:fill="auto"/>
                <w:lang w:val="en-US" w:eastAsia="zh-CN"/>
              </w:rPr>
              <w:t>13530550918</w:t>
            </w:r>
            <w:bookmarkStart w:id="379" w:name="_GoBack"/>
            <w:bookmarkEnd w:id="379"/>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单位地址</w:t>
            </w:r>
          </w:p>
          <w:p>
            <w:pPr>
              <w:rPr>
                <w:color w:val="auto"/>
                <w:highlight w:val="none"/>
                <w:shd w:val="clear" w:color="auto" w:fill="auto"/>
              </w:rPr>
            </w:pP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lang w:eastAsia="zh-CN"/>
              </w:rPr>
              <w:t>深圳平乐骨伤科医院（深圳市坪山区中医院）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964" w:type="dxa"/>
            <w:gridSpan w:val="2"/>
            <w:tcBorders>
              <w:top w:val="nil"/>
              <w:left w:val="double" w:color="auto" w:sz="4" w:space="0"/>
              <w:bottom w:val="single" w:color="auto" w:sz="8" w:space="0"/>
              <w:right w:val="double" w:color="auto" w:sz="4" w:space="0"/>
            </w:tcBorders>
            <w:tcMar>
              <w:left w:w="108" w:type="dxa"/>
              <w:right w:w="108" w:type="dxa"/>
            </w:tcMar>
            <w:vAlign w:val="center"/>
          </w:tcPr>
          <w:p>
            <w:pPr>
              <w:pStyle w:val="40"/>
              <w:jc w:val="center"/>
              <w:rPr>
                <w:color w:val="auto"/>
                <w:highlight w:val="none"/>
                <w:shd w:val="clear" w:color="auto" w:fill="auto"/>
              </w:rPr>
            </w:pPr>
            <w:r>
              <w:rPr>
                <w:rStyle w:val="48"/>
                <w:rFonts w:hint="eastAsia"/>
                <w:color w:val="auto"/>
                <w:sz w:val="20"/>
                <w:szCs w:val="20"/>
                <w:highlight w:val="none"/>
                <w:shd w:val="clear" w:color="auto" w:fill="auto"/>
              </w:rPr>
              <w:t>网上操作相关咨询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详细地址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深圳市景田东路9号财政大厦附楼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518034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注册咨询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0755-83938966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网上操作咨询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0755-83948100、83948149、83948544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514" w:type="dxa"/>
            <w:vMerge w:val="restart"/>
            <w:tcBorders>
              <w:top w:val="nil"/>
              <w:left w:val="double" w:color="auto" w:sz="4" w:space="0"/>
              <w:bottom w:val="double" w:color="auto" w:sz="4"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电子密钥咨询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"http://www.cnca.net/cn/html/2013-10-30/44_362.html" </w:instrText>
            </w:r>
            <w:r>
              <w:rPr>
                <w:color w:val="auto"/>
                <w:highlight w:val="none"/>
                <w:shd w:val="clear" w:color="auto" w:fill="auto"/>
              </w:rPr>
              <w:fldChar w:fldCharType="separate"/>
            </w:r>
            <w:r>
              <w:rPr>
                <w:rFonts w:hint="eastAsia"/>
                <w:color w:val="auto"/>
                <w:highlight w:val="none"/>
                <w:shd w:val="clear" w:color="auto" w:fill="auto"/>
              </w:rPr>
              <w:t>广东省电子商务认证有限公司（NETCA)</w:t>
            </w:r>
            <w:r>
              <w:rPr>
                <w:rFonts w:hint="eastAsia"/>
                <w:color w:val="auto"/>
                <w:highlight w:val="none"/>
                <w:shd w:val="clear" w:color="auto" w:fill="auto"/>
              </w:rPr>
              <w:fldChar w:fldCharType="end"/>
            </w:r>
          </w:p>
          <w:p>
            <w:pPr>
              <w:jc w:val="left"/>
              <w:rPr>
                <w:color w:val="auto"/>
                <w:highlight w:val="none"/>
                <w:shd w:val="clear" w:color="auto" w:fill="auto"/>
              </w:rPr>
            </w:pPr>
            <w:r>
              <w:rPr>
                <w:rFonts w:hint="eastAsia"/>
                <w:color w:val="auto"/>
                <w:highlight w:val="none"/>
                <w:shd w:val="clear" w:color="auto" w:fill="auto"/>
              </w:rPr>
              <w:t>4008301330   0755-83948165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ind w:firstLine="424" w:firstLineChars="202"/>
              <w:rPr>
                <w:color w:val="auto"/>
                <w:highlight w:val="none"/>
                <w:shd w:val="clear" w:color="auto" w:fill="auto"/>
              </w:rPr>
            </w:pP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"http://www.gdca.com.cn/info/197150" </w:instrText>
            </w:r>
            <w:r>
              <w:rPr>
                <w:color w:val="auto"/>
                <w:highlight w:val="none"/>
                <w:shd w:val="clear" w:color="auto" w:fill="auto"/>
              </w:rPr>
              <w:fldChar w:fldCharType="separate"/>
            </w:r>
            <w:r>
              <w:rPr>
                <w:rFonts w:hint="eastAsia"/>
                <w:color w:val="auto"/>
                <w:highlight w:val="none"/>
                <w:shd w:val="clear" w:color="auto" w:fill="auto"/>
              </w:rPr>
              <w:t>广东数字证书认证中心有限公司(GDCA)</w:t>
            </w:r>
            <w:r>
              <w:rPr>
                <w:rFonts w:hint="eastAsia"/>
                <w:color w:val="auto"/>
                <w:highlight w:val="none"/>
                <w:shd w:val="clear" w:color="auto" w:fill="auto"/>
              </w:rPr>
              <w:fldChar w:fldCharType="end"/>
            </w:r>
          </w:p>
          <w:p>
            <w:pPr>
              <w:jc w:val="left"/>
              <w:rPr>
                <w:color w:val="auto"/>
                <w:highlight w:val="none"/>
                <w:shd w:val="clear" w:color="auto" w:fill="auto"/>
              </w:rPr>
            </w:pPr>
            <w:r>
              <w:rPr>
                <w:rFonts w:hint="eastAsia"/>
                <w:color w:val="auto"/>
                <w:highlight w:val="none"/>
                <w:shd w:val="clear" w:color="auto" w:fill="auto"/>
              </w:rPr>
              <w:t>0755-95105813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3" w:hRule="atLeast"/>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rPr>
                <w:color w:val="auto"/>
                <w:sz w:val="20"/>
                <w:szCs w:val="20"/>
                <w:highlight w:val="none"/>
                <w:shd w:val="clear" w:color="auto" w:fill="auto"/>
              </w:rPr>
            </w:pPr>
          </w:p>
        </w:tc>
        <w:tc>
          <w:tcPr>
            <w:tcW w:w="6450" w:type="dxa"/>
            <w:tcBorders>
              <w:top w:val="nil"/>
              <w:left w:val="nil"/>
              <w:bottom w:val="double" w:color="auto" w:sz="4"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深圳市电子商务安全证书管理有限公司(SZCA)</w:t>
            </w:r>
          </w:p>
          <w:p>
            <w:pPr>
              <w:jc w:val="left"/>
              <w:rPr>
                <w:color w:val="auto"/>
                <w:highlight w:val="none"/>
                <w:shd w:val="clear" w:color="auto" w:fill="auto"/>
              </w:rPr>
            </w:pPr>
            <w:r>
              <w:rPr>
                <w:rFonts w:hint="eastAsia"/>
                <w:color w:val="auto"/>
                <w:highlight w:val="none"/>
                <w:shd w:val="clear" w:color="auto" w:fill="auto"/>
              </w:rPr>
              <w:t>4001123838    0755-26588388</w:t>
            </w:r>
          </w:p>
        </w:tc>
      </w:tr>
    </w:tbl>
    <w:p>
      <w:pPr>
        <w:pStyle w:val="2"/>
        <w:rPr>
          <w:color w:val="auto"/>
          <w:highlight w:val="none"/>
          <w:shd w:val="clear" w:color="auto" w:fill="auto"/>
        </w:rPr>
      </w:pP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七、采购文件</w:t>
      </w:r>
    </w:p>
    <w:p>
      <w:pPr>
        <w:tabs>
          <w:tab w:val="clear" w:pos="426"/>
        </w:tabs>
        <w:ind w:firstLine="363" w:firstLineChars="202"/>
        <w:rPr>
          <w:rStyle w:val="55"/>
          <w:rFonts w:hint="default"/>
          <w:color w:val="auto"/>
          <w:highlight w:val="none"/>
          <w:shd w:val="clear" w:color="auto" w:fill="auto"/>
        </w:rPr>
      </w:pPr>
      <w:r>
        <w:rPr>
          <w:rStyle w:val="55"/>
          <w:rFonts w:hint="default"/>
          <w:color w:val="auto"/>
          <w:highlight w:val="none"/>
          <w:shd w:val="clear" w:color="auto" w:fill="auto"/>
        </w:rPr>
        <w:t>-点此下载-</w:t>
      </w:r>
    </w:p>
    <w:p>
      <w:pPr>
        <w:tabs>
          <w:tab w:val="clear" w:pos="426"/>
        </w:tabs>
        <w:ind w:firstLine="424" w:firstLineChars="202"/>
        <w:rPr>
          <w:color w:val="auto"/>
          <w:highlight w:val="none"/>
          <w:shd w:val="clear" w:color="auto" w:fill="auto"/>
        </w:rPr>
      </w:pPr>
    </w:p>
    <w:p>
      <w:pPr>
        <w:tabs>
          <w:tab w:val="clear" w:pos="426"/>
        </w:tabs>
        <w:ind w:firstLine="424" w:firstLineChars="202"/>
        <w:rPr>
          <w:strike/>
          <w:color w:val="auto"/>
          <w:highlight w:val="none"/>
          <w:shd w:val="clear" w:color="auto" w:fill="auto"/>
        </w:rPr>
      </w:pPr>
    </w:p>
    <w:p>
      <w:pPr>
        <w:pStyle w:val="33"/>
        <w:tabs>
          <w:tab w:val="clear" w:pos="426"/>
        </w:tabs>
        <w:rPr>
          <w:color w:val="auto"/>
          <w:highlight w:val="none"/>
          <w:shd w:val="clear" w:color="auto" w:fill="auto"/>
        </w:rPr>
        <w:sectPr>
          <w:headerReference r:id="rId5" w:type="first"/>
          <w:footerReference r:id="rId7" w:type="first"/>
          <w:headerReference r:id="rId4" w:type="default"/>
          <w:footerReference r:id="rId6" w:type="default"/>
          <w:pgSz w:w="11906" w:h="16838"/>
          <w:pgMar w:top="1134" w:right="1134" w:bottom="1134" w:left="1418" w:header="851" w:footer="992" w:gutter="0"/>
          <w:pgNumType w:fmt="decimal" w:start="1"/>
          <w:cols w:space="425" w:num="1"/>
          <w:titlePg/>
          <w:docGrid w:linePitch="462" w:charSpace="0"/>
        </w:sectPr>
      </w:pPr>
      <w:bookmarkStart w:id="36" w:name="_Toc432592814"/>
      <w:bookmarkStart w:id="37" w:name="_Toc3628659"/>
    </w:p>
    <w:p>
      <w:pPr>
        <w:pStyle w:val="33"/>
        <w:tabs>
          <w:tab w:val="clear" w:pos="426"/>
        </w:tabs>
        <w:rPr>
          <w:color w:val="auto"/>
          <w:highlight w:val="none"/>
          <w:shd w:val="clear" w:color="auto" w:fill="auto"/>
        </w:rPr>
      </w:pPr>
      <w:bookmarkStart w:id="38" w:name="_Toc21309"/>
      <w:r>
        <w:rPr>
          <w:rFonts w:hint="eastAsia"/>
          <w:color w:val="auto"/>
          <w:highlight w:val="none"/>
          <w:shd w:val="clear" w:color="auto" w:fill="auto"/>
        </w:rPr>
        <w:t xml:space="preserve">第二章 </w:t>
      </w:r>
      <w:bookmarkEnd w:id="36"/>
      <w:r>
        <w:rPr>
          <w:rFonts w:hint="eastAsia"/>
          <w:color w:val="auto"/>
          <w:highlight w:val="none"/>
          <w:shd w:val="clear" w:color="auto" w:fill="auto"/>
        </w:rPr>
        <w:t>投标须知前附表</w:t>
      </w:r>
      <w:bookmarkEnd w:id="37"/>
      <w:bookmarkEnd w:id="38"/>
    </w:p>
    <w:p>
      <w:pPr>
        <w:tabs>
          <w:tab w:val="clear" w:pos="426"/>
        </w:tabs>
        <w:spacing w:line="240" w:lineRule="auto"/>
        <w:ind w:right="-174" w:rightChars="-83"/>
        <w:rPr>
          <w:color w:val="auto"/>
          <w:highlight w:val="none"/>
          <w:shd w:val="clear" w:color="auto" w:fill="auto"/>
        </w:rPr>
      </w:pPr>
      <w:r>
        <w:rPr>
          <w:rFonts w:hint="eastAsia"/>
          <w:color w:val="auto"/>
          <w:highlight w:val="none"/>
          <w:shd w:val="clear" w:color="auto" w:fill="auto"/>
        </w:rPr>
        <w:t>说明：本表是对通用条款《投标人须知》条款的补充、修改和完善，如果有矛盾，应以本表为准。</w:t>
      </w:r>
    </w:p>
    <w:tbl>
      <w:tblPr>
        <w:tblStyle w:val="44"/>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序号</w:t>
            </w:r>
          </w:p>
        </w:tc>
        <w:tc>
          <w:tcPr>
            <w:tcW w:w="1627"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内容</w:t>
            </w:r>
          </w:p>
        </w:tc>
        <w:tc>
          <w:tcPr>
            <w:tcW w:w="7193"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联合体投标</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sym w:font="Wingdings 2" w:char="0052"/>
            </w:r>
            <w:r>
              <w:rPr>
                <w:rFonts w:hint="eastAsia"/>
                <w:color w:val="auto"/>
                <w:highlight w:val="none"/>
                <w:shd w:val="clear" w:color="auto" w:fill="auto"/>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2</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踏勘现场</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sym w:font="Wingdings 2" w:char="0052"/>
            </w:r>
            <w:r>
              <w:rPr>
                <w:rFonts w:hint="eastAsia"/>
                <w:color w:val="auto"/>
                <w:highlight w:val="none"/>
                <w:shd w:val="clear" w:color="auto" w:fill="auto"/>
              </w:rPr>
              <w:t>不组织。</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sym w:font="Wingdings 2" w:char="00A3"/>
            </w:r>
            <w:r>
              <w:rPr>
                <w:rFonts w:hint="eastAsia"/>
                <w:color w:val="auto"/>
                <w:highlight w:val="none"/>
                <w:shd w:val="clear" w:color="auto" w:fill="auto"/>
              </w:rPr>
              <w:t>组织。踏勘时间：</w:t>
            </w:r>
            <w:r>
              <w:rPr>
                <w:rFonts w:hint="eastAsia"/>
                <w:color w:val="auto"/>
                <w:highlight w:val="none"/>
                <w:u w:val="single"/>
                <w:shd w:val="clear" w:color="auto" w:fill="auto"/>
              </w:rPr>
              <w:t>/年/月/日/ 时/分</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 xml:space="preserve">        集合地点：</w:t>
            </w:r>
            <w:r>
              <w:rPr>
                <w:rFonts w:hint="eastAsia"/>
                <w:color w:val="auto"/>
                <w:highlight w:val="none"/>
                <w:u w:val="singl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3</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投标人提出疑问截止时间</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采购文件发布之日起第7个工作日</w:t>
            </w:r>
            <w:r>
              <w:rPr>
                <w:rFonts w:hint="eastAsia"/>
                <w:color w:val="auto"/>
                <w:highlight w:val="none"/>
                <w:u w:val="single"/>
                <w:shd w:val="clear" w:color="auto" w:fill="auto"/>
              </w:rPr>
              <w:t>17：30</w:t>
            </w:r>
            <w:r>
              <w:rPr>
                <w:rFonts w:hint="eastAsia"/>
                <w:color w:val="auto"/>
                <w:highlight w:val="none"/>
                <w:shd w:val="clear" w:color="auto" w:fill="auto"/>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4</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澄清或修补、答疑的期限</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截标3</w:t>
            </w:r>
            <w:r>
              <w:rPr>
                <w:color w:val="auto"/>
                <w:highlight w:val="none"/>
                <w:shd w:val="clear" w:color="auto" w:fill="auto"/>
              </w:rPr>
              <w:t>日</w:t>
            </w:r>
            <w:r>
              <w:rPr>
                <w:rFonts w:hint="eastAsia"/>
                <w:color w:val="auto"/>
                <w:highlight w:val="none"/>
                <w:shd w:val="clear" w:color="auto" w:fill="auto"/>
              </w:rPr>
              <w:t>前</w:t>
            </w:r>
            <w:r>
              <w:rPr>
                <w:rFonts w:hint="eastAsia"/>
                <w:color w:val="auto"/>
                <w:highlight w:val="none"/>
                <w:u w:val="single"/>
                <w:shd w:val="clear" w:color="auto" w:fill="auto"/>
              </w:rPr>
              <w:t>17：30</w:t>
            </w:r>
            <w:r>
              <w:rPr>
                <w:rFonts w:hint="eastAsia"/>
                <w:color w:val="auto"/>
                <w:highlight w:val="none"/>
                <w:shd w:val="clear" w:color="auto" w:fill="auto"/>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5</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招标代理</w:t>
            </w:r>
            <w:r>
              <w:rPr>
                <w:color w:val="auto"/>
                <w:highlight w:val="none"/>
                <w:shd w:val="clear" w:color="auto" w:fill="auto"/>
              </w:rPr>
              <w:t>服务费</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采购代理机构以中标金额为计算基数，按《深圳市财政委员会关于规范深圳市社会采购代理机构管理有关事项的补充通知》（深财购〔</w:t>
            </w:r>
            <w:r>
              <w:rPr>
                <w:color w:val="auto"/>
                <w:highlight w:val="none"/>
                <w:shd w:val="clear" w:color="auto" w:fill="auto"/>
              </w:rPr>
              <w:t>2018〕27号）规定的招标代理服务费收费办法，按差额定率累进法计算，并向中标人收取。</w:t>
            </w:r>
            <w:r>
              <w:rPr>
                <w:rFonts w:hint="eastAsia"/>
                <w:color w:val="auto"/>
                <w:highlight w:val="none"/>
                <w:shd w:val="clear" w:color="auto" w:fill="auto"/>
                <w:lang w:eastAsia="zh-CN"/>
              </w:rPr>
              <w:t>招标代理</w:t>
            </w:r>
            <w:r>
              <w:rPr>
                <w:rFonts w:hint="eastAsia"/>
                <w:color w:val="auto"/>
                <w:highlight w:val="none"/>
                <w:shd w:val="clear" w:color="auto" w:fill="auto"/>
              </w:rPr>
              <w:t>服务费采用转账的方式，账户信息如下：</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户名：深圳市深水水务咨询有限公司</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账号：</w:t>
            </w:r>
            <w:r>
              <w:rPr>
                <w:color w:val="auto"/>
                <w:highlight w:val="none"/>
                <w:shd w:val="clear" w:color="auto" w:fill="auto"/>
              </w:rPr>
              <w:t>4000021219200366130</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6</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投标</w:t>
            </w:r>
            <w:r>
              <w:rPr>
                <w:rFonts w:hint="eastAsia"/>
                <w:color w:val="auto"/>
                <w:highlight w:val="none"/>
                <w:shd w:val="clear" w:color="auto" w:fill="auto"/>
              </w:rPr>
              <w:t>担保</w:t>
            </w:r>
          </w:p>
        </w:tc>
        <w:tc>
          <w:tcPr>
            <w:tcW w:w="7193" w:type="dxa"/>
            <w:vAlign w:val="center"/>
          </w:tcPr>
          <w:p>
            <w:pPr>
              <w:tabs>
                <w:tab w:val="clear" w:pos="426"/>
              </w:tabs>
              <w:adjustRightInd/>
              <w:snapToGrid/>
              <w:spacing w:line="240" w:lineRule="exact"/>
              <w:rPr>
                <w:rFonts w:hint="eastAsia" w:eastAsia="宋体"/>
                <w:color w:val="auto"/>
                <w:highlight w:val="none"/>
                <w:shd w:val="clear" w:color="auto" w:fill="auto"/>
                <w:lang w:eastAsia="zh-CN"/>
              </w:rPr>
            </w:pPr>
            <w:r>
              <w:rPr>
                <w:rFonts w:hint="eastAsia"/>
                <w:color w:val="auto"/>
                <w:highlight w:val="none"/>
                <w:shd w:val="clear" w:color="auto" w:fill="auto"/>
                <w:lang w:eastAsia="zh-CN"/>
              </w:rPr>
              <w:t>本项目无需缴纳保证金。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7</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投标有效期</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90</w:t>
            </w:r>
            <w:r>
              <w:rPr>
                <w:color w:val="auto"/>
                <w:highlight w:val="none"/>
                <w:shd w:val="clear" w:color="auto" w:fill="auto"/>
              </w:rPr>
              <w:t>日历天（</w:t>
            </w:r>
            <w:r>
              <w:rPr>
                <w:rFonts w:hint="eastAsia"/>
                <w:color w:val="auto"/>
                <w:highlight w:val="none"/>
                <w:shd w:val="clear" w:color="auto" w:fill="auto"/>
              </w:rPr>
              <w:t>从投标截止之日算起</w:t>
            </w:r>
            <w:r>
              <w:rPr>
                <w:color w:val="auto"/>
                <w:highlight w:val="non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8</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替代方案</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sym w:font="Wingdings 2" w:char="0052"/>
            </w:r>
            <w:r>
              <w:rPr>
                <w:rFonts w:hint="eastAsia"/>
                <w:color w:val="auto"/>
                <w:highlight w:val="none"/>
                <w:shd w:val="clear" w:color="auto" w:fill="auto"/>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9</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评定分离</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 xml:space="preserve">□是             </w:t>
            </w:r>
            <w:r>
              <w:rPr>
                <w:rFonts w:hint="eastAsia"/>
                <w:color w:val="auto"/>
                <w:highlight w:val="none"/>
                <w:shd w:val="clear" w:color="auto" w:fill="auto"/>
              </w:rPr>
              <w:sym w:font="Wingdings 2" w:char="0052"/>
            </w:r>
            <w:r>
              <w:rPr>
                <w:rFonts w:hint="eastAsia"/>
                <w:color w:val="auto"/>
                <w:highlight w:val="none"/>
                <w:shd w:val="clear" w:color="auto" w:fill="auto"/>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10</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评标</w:t>
            </w:r>
            <w:r>
              <w:rPr>
                <w:rFonts w:hint="eastAsia"/>
                <w:color w:val="auto"/>
                <w:highlight w:val="none"/>
                <w:shd w:val="clear" w:color="auto" w:fill="auto"/>
              </w:rPr>
              <w:t>方</w:t>
            </w:r>
            <w:r>
              <w:rPr>
                <w:color w:val="auto"/>
                <w:highlight w:val="none"/>
                <w:shd w:val="clear" w:color="auto" w:fill="auto"/>
              </w:rPr>
              <w:t>法</w:t>
            </w:r>
          </w:p>
        </w:tc>
        <w:tc>
          <w:tcPr>
            <w:tcW w:w="7193" w:type="dxa"/>
            <w:vAlign w:val="center"/>
          </w:tcPr>
          <w:p>
            <w:pPr>
              <w:tabs>
                <w:tab w:val="clear" w:pos="426"/>
              </w:tabs>
              <w:adjustRightInd/>
              <w:snapToGrid/>
              <w:spacing w:line="240" w:lineRule="exact"/>
              <w:rPr>
                <w:color w:val="auto"/>
                <w:szCs w:val="21"/>
                <w:highlight w:val="none"/>
                <w:shd w:val="clear" w:color="auto" w:fill="auto"/>
              </w:rPr>
            </w:pPr>
            <w:r>
              <w:rPr>
                <w:rFonts w:hint="eastAsia"/>
                <w:color w:val="auto"/>
                <w:highlight w:val="none"/>
                <w:shd w:val="clear" w:color="auto" w:fill="auto"/>
              </w:rPr>
              <w:sym w:font="Wingdings 2" w:char="0052"/>
            </w:r>
            <w:r>
              <w:rPr>
                <w:rFonts w:hint="eastAsia"/>
                <w:color w:val="auto"/>
                <w:szCs w:val="21"/>
                <w:highlight w:val="none"/>
                <w:shd w:val="clear" w:color="auto" w:fill="auto"/>
              </w:rPr>
              <w:t xml:space="preserve">综合评分法     </w:t>
            </w:r>
            <w:r>
              <w:rPr>
                <w:rFonts w:hint="eastAsia"/>
                <w:color w:val="auto"/>
                <w:highlight w:val="none"/>
                <w:shd w:val="clear" w:color="auto" w:fill="auto"/>
              </w:rPr>
              <w:t>□</w:t>
            </w:r>
            <w:r>
              <w:rPr>
                <w:rFonts w:hint="eastAsia"/>
                <w:color w:val="auto"/>
                <w:szCs w:val="21"/>
                <w:highlight w:val="none"/>
                <w:shd w:val="clear" w:color="auto" w:fill="auto"/>
              </w:rPr>
              <w:t xml:space="preserve">定性评审法      </w:t>
            </w:r>
            <w:r>
              <w:rPr>
                <w:rFonts w:hint="eastAsia"/>
                <w:color w:val="auto"/>
                <w:highlight w:val="none"/>
                <w:shd w:val="clear" w:color="auto" w:fill="auto"/>
              </w:rPr>
              <w:t>□</w:t>
            </w:r>
            <w:r>
              <w:rPr>
                <w:rFonts w:hint="eastAsia"/>
                <w:color w:val="auto"/>
                <w:szCs w:val="21"/>
                <w:highlight w:val="none"/>
                <w:shd w:val="clear" w:color="auto" w:fill="auto"/>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11</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定</w:t>
            </w:r>
            <w:r>
              <w:rPr>
                <w:color w:val="auto"/>
                <w:highlight w:val="none"/>
                <w:shd w:val="clear" w:color="auto" w:fill="auto"/>
              </w:rPr>
              <w:t>标</w:t>
            </w:r>
            <w:r>
              <w:rPr>
                <w:rFonts w:hint="eastAsia"/>
                <w:color w:val="auto"/>
                <w:highlight w:val="none"/>
                <w:shd w:val="clear" w:color="auto" w:fill="auto"/>
              </w:rPr>
              <w:t>方</w:t>
            </w:r>
            <w:r>
              <w:rPr>
                <w:color w:val="auto"/>
                <w:highlight w:val="none"/>
                <w:shd w:val="clear" w:color="auto" w:fill="auto"/>
              </w:rPr>
              <w:t>法</w:t>
            </w:r>
          </w:p>
        </w:tc>
        <w:tc>
          <w:tcPr>
            <w:tcW w:w="7193" w:type="dxa"/>
            <w:vAlign w:val="center"/>
          </w:tcPr>
          <w:p>
            <w:pPr>
              <w:tabs>
                <w:tab w:val="clear" w:pos="426"/>
              </w:tabs>
              <w:adjustRightInd/>
              <w:snapToGrid/>
              <w:spacing w:line="240" w:lineRule="exact"/>
              <w:rPr>
                <w:color w:val="auto"/>
                <w:szCs w:val="21"/>
                <w:highlight w:val="none"/>
                <w:shd w:val="clear" w:color="auto" w:fill="auto"/>
              </w:rPr>
            </w:pPr>
            <w:r>
              <w:rPr>
                <w:rFonts w:hint="eastAsia"/>
                <w:color w:val="auto"/>
                <w:highlight w:val="none"/>
                <w:shd w:val="clear" w:color="auto" w:fill="auto"/>
              </w:rPr>
              <w:t>□</w:t>
            </w:r>
            <w:r>
              <w:rPr>
                <w:rFonts w:hint="eastAsia"/>
                <w:color w:val="auto"/>
                <w:szCs w:val="21"/>
                <w:highlight w:val="none"/>
                <w:shd w:val="clear" w:color="auto" w:fill="auto"/>
              </w:rPr>
              <w:t xml:space="preserve">自定法         </w:t>
            </w:r>
            <w:r>
              <w:rPr>
                <w:rFonts w:hint="eastAsia"/>
                <w:color w:val="auto"/>
                <w:highlight w:val="none"/>
                <w:shd w:val="clear" w:color="auto" w:fill="auto"/>
              </w:rPr>
              <w:t>□</w:t>
            </w:r>
            <w:r>
              <w:rPr>
                <w:rFonts w:hint="eastAsia"/>
                <w:color w:val="auto"/>
                <w:szCs w:val="21"/>
                <w:highlight w:val="none"/>
                <w:shd w:val="clear" w:color="auto" w:fill="auto"/>
              </w:rPr>
              <w:t xml:space="preserve">抽签法          </w:t>
            </w:r>
            <w:r>
              <w:rPr>
                <w:rFonts w:hint="eastAsia"/>
                <w:color w:val="auto"/>
                <w:highlight w:val="none"/>
                <w:shd w:val="clear" w:color="auto" w:fill="auto"/>
              </w:rPr>
              <w:t>□</w:t>
            </w:r>
            <w:r>
              <w:rPr>
                <w:rFonts w:hint="eastAsia"/>
                <w:color w:val="auto"/>
                <w:szCs w:val="21"/>
                <w:highlight w:val="none"/>
                <w:shd w:val="clear" w:color="auto" w:fill="auto"/>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12</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履约保证金</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sym w:font="Wingdings 2" w:char="00A3"/>
            </w:r>
            <w:r>
              <w:rPr>
                <w:rFonts w:hint="eastAsia"/>
                <w:color w:val="auto"/>
                <w:highlight w:val="none"/>
                <w:shd w:val="clear" w:color="auto" w:fill="auto"/>
              </w:rPr>
              <w:t xml:space="preserve">不提交         </w:t>
            </w:r>
            <w:r>
              <w:rPr>
                <w:rFonts w:hint="eastAsia"/>
                <w:color w:val="auto"/>
                <w:highlight w:val="none"/>
                <w:shd w:val="clear" w:color="auto" w:fill="auto"/>
              </w:rPr>
              <w:sym w:font="Wingdings 2" w:char="0052"/>
            </w:r>
            <w:r>
              <w:rPr>
                <w:rFonts w:hint="eastAsia"/>
                <w:color w:val="auto"/>
                <w:highlight w:val="none"/>
                <w:shd w:val="clear" w:color="auto" w:fill="auto"/>
              </w:rPr>
              <w:t>提交</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担保金额：</w:t>
            </w:r>
            <w:r>
              <w:rPr>
                <w:rFonts w:hint="eastAsia"/>
                <w:color w:val="auto"/>
                <w:highlight w:val="none"/>
                <w:u w:val="single"/>
                <w:shd w:val="clear" w:color="auto" w:fill="auto"/>
                <w:lang w:val="en-US" w:eastAsia="zh-CN"/>
              </w:rPr>
              <w:t>详见第三章采购需求。</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13</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投标文件份数</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（1）开标信封一份；</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（2）纸质投标文件</w:t>
            </w:r>
            <w:r>
              <w:rPr>
                <w:color w:val="auto"/>
                <w:highlight w:val="none"/>
                <w:u w:val="single"/>
                <w:shd w:val="clear" w:color="auto" w:fill="auto"/>
              </w:rPr>
              <w:t>一</w:t>
            </w:r>
            <w:r>
              <w:rPr>
                <w:color w:val="auto"/>
                <w:highlight w:val="none"/>
                <w:shd w:val="clear" w:color="auto" w:fill="auto"/>
              </w:rPr>
              <w:t>正本，</w:t>
            </w:r>
            <w:r>
              <w:rPr>
                <w:color w:val="auto"/>
                <w:highlight w:val="none"/>
                <w:u w:val="single"/>
                <w:shd w:val="clear" w:color="auto" w:fill="auto"/>
              </w:rPr>
              <w:t>四</w:t>
            </w:r>
            <w:r>
              <w:rPr>
                <w:color w:val="auto"/>
                <w:highlight w:val="none"/>
                <w:shd w:val="clear" w:color="auto" w:fill="auto"/>
              </w:rPr>
              <w:t>副本</w:t>
            </w:r>
            <w:r>
              <w:rPr>
                <w:rFonts w:hint="eastAsia"/>
                <w:color w:val="auto"/>
                <w:highlight w:val="none"/>
                <w:shd w:val="clear" w:color="auto" w:fill="auto"/>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14</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投标文件电子版</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电子光盘一张（投标文件正本盖章后的彩色扫描件，</w:t>
            </w:r>
            <w:r>
              <w:rPr>
                <w:color w:val="auto"/>
                <w:highlight w:val="none"/>
                <w:shd w:val="clear" w:color="auto" w:fill="auto"/>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15</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财政预算限额</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b/>
                <w:color w:val="auto"/>
                <w:highlight w:val="none"/>
                <w:shd w:val="clear" w:color="auto" w:fill="auto"/>
              </w:rPr>
              <w:t>金额：</w:t>
            </w:r>
            <w:r>
              <w:rPr>
                <w:rFonts w:hint="eastAsia"/>
                <w:b/>
                <w:color w:val="auto"/>
                <w:highlight w:val="none"/>
                <w:u w:val="single"/>
                <w:shd w:val="clear" w:color="auto" w:fill="auto"/>
              </w:rPr>
              <w:t xml:space="preserve">人民币 </w:t>
            </w:r>
            <w:r>
              <w:rPr>
                <w:rFonts w:hint="eastAsia"/>
                <w:b/>
                <w:color w:val="auto"/>
                <w:highlight w:val="none"/>
                <w:u w:val="single"/>
                <w:shd w:val="clear" w:color="auto" w:fill="auto"/>
                <w:lang w:eastAsia="zh-CN"/>
              </w:rPr>
              <w:t xml:space="preserve">壹佰贰拾陆万柒仟伍佰玖拾肆元贰角 </w:t>
            </w:r>
            <w:r>
              <w:rPr>
                <w:b/>
                <w:color w:val="auto"/>
                <w:highlight w:val="none"/>
                <w:u w:val="single"/>
                <w:shd w:val="clear" w:color="auto" w:fill="auto"/>
              </w:rPr>
              <w:t>（</w:t>
            </w:r>
            <w:r>
              <w:rPr>
                <w:rFonts w:hint="eastAsia" w:eastAsia="微软雅黑"/>
                <w:b/>
                <w:color w:val="auto"/>
                <w:highlight w:val="none"/>
                <w:u w:val="single"/>
                <w:shd w:val="clear" w:color="auto" w:fill="auto"/>
              </w:rPr>
              <w:t>¥</w:t>
            </w:r>
            <w:r>
              <w:rPr>
                <w:rFonts w:hint="eastAsia" w:eastAsia="微软雅黑"/>
                <w:b/>
                <w:color w:val="auto"/>
                <w:highlight w:val="none"/>
                <w:u w:val="single"/>
                <w:shd w:val="clear" w:color="auto" w:fill="auto"/>
                <w:lang w:eastAsia="zh-CN"/>
              </w:rPr>
              <w:t>1,267,594.2</w:t>
            </w:r>
            <w:r>
              <w:rPr>
                <w:rFonts w:hint="eastAsia"/>
                <w:b/>
                <w:color w:val="auto"/>
                <w:highlight w:val="none"/>
                <w:u w:val="single"/>
                <w:shd w:val="clear" w:color="auto" w:fill="auto"/>
              </w:rPr>
              <w:t>元</w:t>
            </w:r>
            <w:r>
              <w:rPr>
                <w:b/>
                <w:color w:val="auto"/>
                <w:highlight w:val="none"/>
                <w:u w:val="single"/>
                <w:shd w:val="clear" w:color="auto" w:fill="auto"/>
              </w:rPr>
              <w:t>）</w:t>
            </w:r>
            <w:r>
              <w:rPr>
                <w:rFonts w:hint="eastAsia"/>
                <w:b/>
                <w:color w:val="auto"/>
                <w:highlight w:val="none"/>
                <w:u w:val="single"/>
                <w:shd w:val="clear" w:color="auto" w:fill="auto"/>
              </w:rPr>
              <w:t>，</w:t>
            </w:r>
            <w:r>
              <w:rPr>
                <w:rFonts w:hint="eastAsia"/>
                <w:color w:val="auto"/>
                <w:highlight w:val="none"/>
                <w:shd w:val="clear" w:color="auto" w:fill="auto"/>
              </w:rPr>
              <w:t>分项预算限额详见货物清单一览表，超出财政预算限额或分项预算限额的投标文件将不被接受。</w:t>
            </w:r>
          </w:p>
        </w:tc>
      </w:tr>
    </w:tbl>
    <w:p>
      <w:pPr>
        <w:pStyle w:val="33"/>
        <w:tabs>
          <w:tab w:val="clear" w:pos="426"/>
        </w:tabs>
        <w:rPr>
          <w:color w:val="auto"/>
          <w:highlight w:val="none"/>
          <w:shd w:val="clear" w:color="auto" w:fill="auto"/>
        </w:rPr>
        <w:sectPr>
          <w:pgSz w:w="11906" w:h="16838"/>
          <w:pgMar w:top="1134" w:right="1134" w:bottom="1134" w:left="1418" w:header="851" w:footer="992" w:gutter="0"/>
          <w:pgNumType w:fmt="decimal"/>
          <w:cols w:space="425" w:num="1"/>
          <w:titlePg/>
          <w:docGrid w:linePitch="462" w:charSpace="0"/>
        </w:sectPr>
      </w:pPr>
    </w:p>
    <w:p>
      <w:pPr>
        <w:pStyle w:val="33"/>
        <w:tabs>
          <w:tab w:val="clear" w:pos="426"/>
        </w:tabs>
        <w:rPr>
          <w:color w:val="auto"/>
          <w:highlight w:val="none"/>
          <w:shd w:val="clear" w:color="auto" w:fill="auto"/>
        </w:rPr>
      </w:pPr>
      <w:bookmarkStart w:id="39" w:name="_Toc3628660"/>
      <w:bookmarkStart w:id="40" w:name="_Toc408"/>
      <w:bookmarkStart w:id="41" w:name="_Toc398220525"/>
      <w:bookmarkStart w:id="42" w:name="_Toc432592816"/>
      <w:r>
        <w:rPr>
          <w:rFonts w:hint="eastAsia"/>
          <w:color w:val="auto"/>
          <w:highlight w:val="none"/>
          <w:shd w:val="clear" w:color="auto" w:fill="auto"/>
        </w:rPr>
        <w:t xml:space="preserve">第三章 </w:t>
      </w:r>
      <w:r>
        <w:rPr>
          <w:color w:val="auto"/>
          <w:highlight w:val="none"/>
          <w:shd w:val="clear" w:color="auto" w:fill="auto"/>
        </w:rPr>
        <w:t>项目</w:t>
      </w:r>
      <w:r>
        <w:rPr>
          <w:rFonts w:hint="eastAsia"/>
          <w:color w:val="auto"/>
          <w:highlight w:val="none"/>
          <w:shd w:val="clear" w:color="auto" w:fill="auto"/>
        </w:rPr>
        <w:t>需求</w:t>
      </w:r>
      <w:bookmarkEnd w:id="39"/>
      <w:bookmarkEnd w:id="40"/>
    </w:p>
    <w:p>
      <w:pPr>
        <w:numPr>
          <w:ilvl w:val="0"/>
          <w:numId w:val="25"/>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项目概况</w:t>
      </w:r>
    </w:p>
    <w:p>
      <w:pPr>
        <w:widowControl/>
        <w:spacing w:line="360" w:lineRule="auto"/>
        <w:ind w:firstLine="482" w:firstLineChars="200"/>
        <w:outlineLvl w:val="9"/>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1.项目背景及整体情况</w:t>
      </w:r>
    </w:p>
    <w:p>
      <w:pPr>
        <w:widowControl/>
        <w:spacing w:line="360" w:lineRule="auto"/>
        <w:ind w:firstLine="420" w:firstLineChars="200"/>
        <w:rPr>
          <w:szCs w:val="20"/>
        </w:rPr>
      </w:pPr>
      <w:r>
        <w:rPr>
          <w:rFonts w:hint="eastAsia"/>
          <w:szCs w:val="20"/>
        </w:rPr>
        <w:t xml:space="preserve"> 本项目为框架结构：1栋1层，2层；2栋2层、3层的单体建筑，建筑面积14000平方米。包含1栋、2栋地上地面导向标识，1栋一层门诊、通道、挂号、药房、急诊室、专家门诊，骨科门诊，外科门诊，筋伤科，</w:t>
      </w:r>
      <w:r>
        <w:rPr>
          <w:rFonts w:hint="eastAsia"/>
          <w:color w:val="FF0000"/>
          <w:szCs w:val="20"/>
          <w:lang w:eastAsia="zh-CN"/>
        </w:rPr>
        <w:t>口</w:t>
      </w:r>
      <w:r>
        <w:rPr>
          <w:rFonts w:hint="eastAsia"/>
          <w:color w:val="FF0000"/>
          <w:szCs w:val="20"/>
        </w:rPr>
        <w:t>腔科</w:t>
      </w:r>
      <w:r>
        <w:rPr>
          <w:rFonts w:hint="eastAsia"/>
          <w:szCs w:val="20"/>
        </w:rPr>
        <w:t>，体检科病理科，影像科，重症医学科，针灸科，洗手间等；1栋二层脊柱科病房、关节科病房、康复科病房，外科病房，手术室，创伤科病房；2栋二层小儿骨科，外科、妇科收费、2栋三层针灸科、内科具、楼梯间等。</w:t>
      </w:r>
    </w:p>
    <w:p>
      <w:pPr>
        <w:widowControl/>
        <w:spacing w:line="360" w:lineRule="auto"/>
        <w:ind w:firstLine="482" w:firstLineChars="200"/>
        <w:outlineLvl w:val="9"/>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2.项目目的及建设目标</w:t>
      </w:r>
    </w:p>
    <w:p>
      <w:pPr>
        <w:widowControl/>
        <w:spacing w:line="360" w:lineRule="auto"/>
        <w:ind w:firstLine="420" w:firstLineChars="200"/>
        <w:rPr>
          <w:szCs w:val="20"/>
        </w:rPr>
      </w:pPr>
      <w:r>
        <w:rPr>
          <w:rFonts w:hint="eastAsia"/>
          <w:szCs w:val="20"/>
        </w:rPr>
        <w:t>坪山院区为老院区，原标识系统在合理性,系统性,安全性,便利性方面有所欠缺，现就医流程和基础环境已不能适应患者就医的需求，医院本着节约、适用的原则，为不断提高医疗工作服务质量和水平，改善病人的就医环境，对医院区域标识及引导系统进行优化升级改造。</w:t>
      </w:r>
    </w:p>
    <w:p>
      <w:pPr>
        <w:pStyle w:val="305"/>
        <w:widowControl/>
        <w:spacing w:line="360" w:lineRule="auto"/>
        <w:ind w:firstLine="482"/>
        <w:outlineLvl w:val="9"/>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val="en-US" w:eastAsia="zh-CN"/>
        </w:rPr>
        <w:t>3</w:t>
      </w:r>
      <w:r>
        <w:rPr>
          <w:rFonts w:hint="eastAsia" w:asciiTheme="minorEastAsia" w:hAnsiTheme="minorEastAsia" w:eastAsiaTheme="minorEastAsia" w:cstheme="minorEastAsia"/>
          <w:b/>
          <w:kern w:val="0"/>
          <w:sz w:val="24"/>
        </w:rPr>
        <w:t>.项目采购范围</w:t>
      </w:r>
    </w:p>
    <w:p>
      <w:pPr>
        <w:widowControl/>
        <w:spacing w:line="360" w:lineRule="auto"/>
        <w:ind w:firstLine="420" w:firstLineChars="200"/>
        <w:rPr>
          <w:szCs w:val="20"/>
        </w:rPr>
      </w:pPr>
      <w:r>
        <w:rPr>
          <w:rFonts w:hint="eastAsia"/>
          <w:szCs w:val="20"/>
        </w:rPr>
        <w:t>本次招标范围为急诊、门诊楼、住院楼等标识标牌采购安装，含原有标识标牌的拆除，墙面、地面、天花开槽布管穿线。</w:t>
      </w:r>
    </w:p>
    <w:p>
      <w:pPr>
        <w:widowControl/>
        <w:spacing w:line="360" w:lineRule="auto"/>
        <w:ind w:firstLine="420" w:firstLineChars="200"/>
        <w:rPr>
          <w:szCs w:val="20"/>
        </w:rPr>
      </w:pPr>
      <w:r>
        <w:rPr>
          <w:rFonts w:hint="eastAsia"/>
          <w:szCs w:val="20"/>
        </w:rPr>
        <w:t>具体包含：楼宇名称标识、规划平面图标识、户外宣传栏标识、药房编号标识、区域平面图、区域定位标识、医护人员一览表、吊挂式指示标识、诊室编号标识、门牌、病房编号标识、贴墙式指引标识、制度牌标识、门头区域定位标识、电梯门头区域定位标识、洗手间标识等采购安装。</w:t>
      </w:r>
    </w:p>
    <w:p>
      <w:pPr>
        <w:pStyle w:val="8"/>
        <w:spacing w:line="360" w:lineRule="auto"/>
        <w:ind w:firstLine="422" w:firstLineChars="200"/>
        <w:rPr>
          <w:rFonts w:hint="eastAsia" w:ascii="宋体" w:hAnsi="宋体" w:eastAsia="宋体" w:cs="宋体"/>
          <w:b/>
          <w:bCs/>
          <w:kern w:val="0"/>
          <w:sz w:val="21"/>
          <w:szCs w:val="20"/>
          <w:lang w:val="en-US" w:eastAsia="zh-CN" w:bidi="ar-SA"/>
        </w:rPr>
      </w:pPr>
      <w:r>
        <w:rPr>
          <w:rFonts w:hint="eastAsia" w:ascii="宋体" w:hAnsi="宋体" w:eastAsia="宋体" w:cs="宋体"/>
          <w:b/>
          <w:bCs/>
          <w:kern w:val="0"/>
          <w:sz w:val="21"/>
          <w:szCs w:val="20"/>
          <w:lang w:val="en-US" w:eastAsia="zh-CN" w:bidi="ar-SA"/>
        </w:rPr>
        <w:t>具体详见本项目</w:t>
      </w:r>
      <w:r>
        <w:rPr>
          <w:rFonts w:hint="eastAsia" w:ascii="宋体" w:hAnsi="宋体" w:cs="宋体"/>
          <w:b/>
          <w:bCs/>
          <w:kern w:val="0"/>
          <w:sz w:val="21"/>
          <w:szCs w:val="20"/>
          <w:lang w:val="en-US" w:eastAsia="zh-CN" w:bidi="ar-SA"/>
        </w:rPr>
        <w:t>货物</w:t>
      </w:r>
      <w:r>
        <w:rPr>
          <w:rFonts w:hint="eastAsia" w:ascii="宋体" w:hAnsi="宋体" w:eastAsia="宋体" w:cs="宋体"/>
          <w:b/>
          <w:bCs/>
          <w:kern w:val="0"/>
          <w:sz w:val="21"/>
          <w:szCs w:val="20"/>
          <w:lang w:val="en-US" w:eastAsia="zh-CN" w:bidi="ar-SA"/>
        </w:rPr>
        <w:t>清单。</w:t>
      </w:r>
    </w:p>
    <w:p>
      <w:pPr>
        <w:pStyle w:val="8"/>
        <w:spacing w:line="360" w:lineRule="auto"/>
        <w:ind w:firstLine="482" w:firstLineChars="200"/>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4.项目管理</w:t>
      </w:r>
    </w:p>
    <w:p>
      <w:pPr>
        <w:pStyle w:val="2"/>
        <w:spacing w:line="360" w:lineRule="auto"/>
        <w:ind w:firstLine="420" w:firstLineChars="200"/>
        <w:rPr>
          <w:b w:val="0"/>
          <w:bCs w:val="0"/>
          <w:sz w:val="21"/>
          <w:szCs w:val="20"/>
        </w:rPr>
      </w:pPr>
      <w:r>
        <w:rPr>
          <w:rFonts w:hint="eastAsia"/>
          <w:b w:val="0"/>
          <w:bCs w:val="0"/>
          <w:sz w:val="21"/>
          <w:szCs w:val="20"/>
        </w:rPr>
        <w:t>本项目因门诊楼及住院楼为正常营业,为方便病患需求故为不停诊安装,施工过程中不得影响医院正常工作及就医，就噪音、卫生、安全文明施工、就诊人员的感受等方面须要有科学安排，充分考虑院方与患者的实际情况，合理安排分区施工。</w:t>
      </w:r>
    </w:p>
    <w:p>
      <w:pPr>
        <w:pStyle w:val="2"/>
        <w:spacing w:line="360" w:lineRule="auto"/>
        <w:ind w:firstLine="420" w:firstLineChars="200"/>
        <w:rPr>
          <w:b w:val="0"/>
          <w:bCs w:val="0"/>
          <w:sz w:val="21"/>
          <w:szCs w:val="20"/>
        </w:rPr>
      </w:pPr>
      <w:r>
        <w:rPr>
          <w:rFonts w:hint="eastAsia"/>
          <w:b w:val="0"/>
          <w:bCs w:val="0"/>
          <w:sz w:val="21"/>
          <w:szCs w:val="20"/>
        </w:rPr>
        <w:t>本项目标识标牌安装位置比较分散，需投标人工作人员到医院现场勘察、测量尺寸。安装施工过程中，在正常上班时间之外可能有突发性标识任务，需要投标人工作人员随时到现场配合。投标人相关工作的开展应接受采购人相关部门的安排、审核、检查和督促。</w:t>
      </w:r>
    </w:p>
    <w:p>
      <w:pPr>
        <w:numPr>
          <w:ilvl w:val="0"/>
          <w:numId w:val="25"/>
        </w:numPr>
        <w:adjustRightInd/>
        <w:snapToGrid/>
        <w:spacing w:before="280" w:after="290" w:line="377" w:lineRule="auto"/>
        <w:jc w:val="left"/>
        <w:outlineLvl w:val="2"/>
        <w:rPr>
          <w:b/>
          <w:color w:val="auto"/>
          <w:sz w:val="24"/>
          <w:highlight w:val="none"/>
          <w:shd w:val="clear" w:color="auto" w:fill="auto"/>
        </w:rPr>
        <w:sectPr>
          <w:pgSz w:w="11906" w:h="16838"/>
          <w:pgMar w:top="1134" w:right="1134" w:bottom="1134" w:left="1418" w:header="851" w:footer="992" w:gutter="0"/>
          <w:pgNumType w:fmt="decimal"/>
          <w:cols w:space="425" w:num="1"/>
          <w:titlePg/>
          <w:docGrid w:linePitch="462" w:charSpace="0"/>
        </w:sectPr>
      </w:pPr>
    </w:p>
    <w:p>
      <w:pPr>
        <w:numPr>
          <w:ilvl w:val="0"/>
          <w:numId w:val="25"/>
        </w:numPr>
        <w:adjustRightInd/>
        <w:snapToGrid/>
        <w:spacing w:before="280" w:after="290" w:line="377" w:lineRule="auto"/>
        <w:jc w:val="left"/>
        <w:outlineLvl w:val="2"/>
        <w:rPr>
          <w:b/>
          <w:color w:val="auto"/>
          <w:sz w:val="24"/>
          <w:highlight w:val="none"/>
          <w:shd w:val="clear" w:color="auto" w:fill="auto"/>
        </w:rPr>
      </w:pPr>
      <w:r>
        <w:rPr>
          <w:b/>
          <w:color w:val="auto"/>
          <w:sz w:val="24"/>
          <w:highlight w:val="none"/>
          <w:shd w:val="clear" w:color="auto" w:fill="auto"/>
        </w:rPr>
        <w:t>货物清单</w:t>
      </w:r>
      <w:r>
        <w:rPr>
          <w:rFonts w:hint="eastAsia"/>
          <w:b/>
          <w:color w:val="auto"/>
          <w:sz w:val="24"/>
          <w:highlight w:val="none"/>
          <w:shd w:val="clear" w:color="auto" w:fill="auto"/>
        </w:rPr>
        <w:t>一览表</w:t>
      </w:r>
    </w:p>
    <w:p>
      <w:pPr>
        <w:widowControl w:val="0"/>
        <w:shd w:val="clear" w:color="auto" w:fill="auto"/>
        <w:tabs>
          <w:tab w:val="clear" w:pos="426"/>
        </w:tabs>
        <w:adjustRightInd/>
        <w:snapToGrid/>
        <w:spacing w:before="120" w:beforeLines="50" w:line="300" w:lineRule="auto"/>
        <w:ind w:firstLine="422" w:firstLineChars="200"/>
        <w:jc w:val="center"/>
        <w:rPr>
          <w:rFonts w:cs="Times New Roman"/>
          <w:b/>
          <w:bCs/>
          <w:color w:val="auto"/>
          <w:kern w:val="2"/>
          <w:szCs w:val="21"/>
          <w:highlight w:val="none"/>
          <w:shd w:val="clear" w:color="auto" w:fill="auto"/>
        </w:rPr>
      </w:pPr>
      <w:r>
        <w:rPr>
          <w:rFonts w:hint="eastAsia" w:cs="Times New Roman"/>
          <w:b/>
          <w:bCs/>
          <w:color w:val="auto"/>
          <w:kern w:val="2"/>
          <w:szCs w:val="21"/>
          <w:highlight w:val="none"/>
          <w:shd w:val="clear" w:color="auto" w:fill="auto"/>
        </w:rPr>
        <w:t>（一）货物总清单</w:t>
      </w:r>
    </w:p>
    <w:tbl>
      <w:tblPr>
        <w:tblStyle w:val="4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445"/>
        <w:gridCol w:w="3382"/>
        <w:gridCol w:w="651"/>
        <w:gridCol w:w="649"/>
        <w:gridCol w:w="202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4"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序号</w:t>
            </w:r>
          </w:p>
        </w:tc>
        <w:tc>
          <w:tcPr>
            <w:tcW w:w="1445"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采购计划编号</w:t>
            </w:r>
          </w:p>
        </w:tc>
        <w:tc>
          <w:tcPr>
            <w:tcW w:w="3382" w:type="dxa"/>
            <w:vAlign w:val="center"/>
          </w:tcPr>
          <w:p>
            <w:pPr>
              <w:widowControl w:val="0"/>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货物名称</w:t>
            </w:r>
          </w:p>
        </w:tc>
        <w:tc>
          <w:tcPr>
            <w:tcW w:w="651"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数量</w:t>
            </w:r>
          </w:p>
        </w:tc>
        <w:tc>
          <w:tcPr>
            <w:tcW w:w="649"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单位</w:t>
            </w:r>
          </w:p>
        </w:tc>
        <w:tc>
          <w:tcPr>
            <w:tcW w:w="2022"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财政预算限额(元)</w:t>
            </w:r>
          </w:p>
        </w:tc>
        <w:tc>
          <w:tcPr>
            <w:tcW w:w="76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04" w:type="dxa"/>
            <w:vAlign w:val="center"/>
          </w:tcPr>
          <w:p>
            <w:pPr>
              <w:spacing w:line="240" w:lineRule="auto"/>
              <w:jc w:val="center"/>
              <w:rPr>
                <w:bCs/>
                <w:color w:val="auto"/>
                <w:szCs w:val="21"/>
                <w:highlight w:val="none"/>
                <w:shd w:val="clear" w:color="auto" w:fill="auto"/>
              </w:rPr>
            </w:pPr>
            <w:r>
              <w:rPr>
                <w:rFonts w:hint="eastAsia"/>
                <w:bCs/>
                <w:color w:val="auto"/>
                <w:szCs w:val="21"/>
                <w:highlight w:val="none"/>
                <w:shd w:val="clear" w:color="auto" w:fill="auto"/>
              </w:rPr>
              <w:t>1</w:t>
            </w:r>
          </w:p>
        </w:tc>
        <w:tc>
          <w:tcPr>
            <w:tcW w:w="1445" w:type="dxa"/>
            <w:vAlign w:val="center"/>
          </w:tcPr>
          <w:p>
            <w:pPr>
              <w:spacing w:line="240" w:lineRule="auto"/>
              <w:jc w:val="center"/>
              <w:rPr>
                <w:rFonts w:hint="eastAsia" w:eastAsia="宋体"/>
                <w:color w:val="auto"/>
                <w:sz w:val="18"/>
                <w:szCs w:val="18"/>
                <w:highlight w:val="none"/>
                <w:shd w:val="clear" w:color="auto" w:fill="auto"/>
                <w:lang w:eastAsia="zh-CN"/>
              </w:rPr>
            </w:pPr>
            <w:r>
              <w:rPr>
                <w:rFonts w:hint="eastAsia" w:eastAsia="宋体"/>
                <w:color w:val="auto"/>
                <w:sz w:val="18"/>
                <w:szCs w:val="18"/>
                <w:highlight w:val="none"/>
                <w:shd w:val="clear" w:color="auto" w:fill="auto"/>
                <w:lang w:eastAsia="zh-CN"/>
              </w:rPr>
              <w:t>PLAN-2019-140009-000097</w:t>
            </w:r>
          </w:p>
        </w:tc>
        <w:tc>
          <w:tcPr>
            <w:tcW w:w="3382" w:type="dxa"/>
            <w:vAlign w:val="center"/>
          </w:tcPr>
          <w:p>
            <w:pPr>
              <w:spacing w:line="240" w:lineRule="auto"/>
              <w:jc w:val="center"/>
              <w:rPr>
                <w:rFonts w:hint="eastAsia" w:eastAsia="宋体"/>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标识标牌系统优化项目</w:t>
            </w:r>
          </w:p>
        </w:tc>
        <w:tc>
          <w:tcPr>
            <w:tcW w:w="651"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w:t>
            </w:r>
          </w:p>
        </w:tc>
        <w:tc>
          <w:tcPr>
            <w:tcW w:w="649"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套</w:t>
            </w:r>
          </w:p>
        </w:tc>
        <w:tc>
          <w:tcPr>
            <w:tcW w:w="2022" w:type="dxa"/>
            <w:vAlign w:val="center"/>
          </w:tcPr>
          <w:p>
            <w:pPr>
              <w:spacing w:line="240" w:lineRule="auto"/>
              <w:jc w:val="center"/>
              <w:rPr>
                <w:rFonts w:hint="eastAsia" w:eastAsia="宋体"/>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1,267,594.2</w:t>
            </w:r>
          </w:p>
        </w:tc>
        <w:tc>
          <w:tcPr>
            <w:tcW w:w="766" w:type="dxa"/>
            <w:vAlign w:val="center"/>
          </w:tcPr>
          <w:p>
            <w:pPr>
              <w:widowControl w:val="0"/>
              <w:shd w:val="clear" w:color="auto" w:fill="auto"/>
              <w:tabs>
                <w:tab w:val="clear" w:pos="426"/>
              </w:tabs>
              <w:adjustRightInd/>
              <w:snapToGrid/>
              <w:spacing w:line="240" w:lineRule="auto"/>
              <w:jc w:val="center"/>
              <w:rPr>
                <w:rFonts w:hint="eastAsia" w:eastAsia="宋体" w:cs="Times New Roman"/>
                <w:color w:val="auto"/>
                <w:szCs w:val="21"/>
                <w:highlight w:val="none"/>
                <w:shd w:val="clear" w:color="auto" w:fill="auto"/>
                <w:lang w:eastAsia="zh-CN"/>
              </w:rPr>
            </w:pPr>
            <w:r>
              <w:rPr>
                <w:rFonts w:hint="eastAsia"/>
                <w:color w:val="auto"/>
                <w:sz w:val="18"/>
                <w:szCs w:val="18"/>
                <w:highlight w:val="none"/>
                <w:shd w:val="clear" w:color="auto" w:fill="auto"/>
                <w:lang w:eastAsia="zh-CN"/>
              </w:rPr>
              <w:t>拒绝进口</w:t>
            </w:r>
          </w:p>
        </w:tc>
      </w:tr>
    </w:tbl>
    <w:p>
      <w:pPr>
        <w:widowControl w:val="0"/>
        <w:numPr>
          <w:ilvl w:val="0"/>
          <w:numId w:val="26"/>
        </w:numPr>
        <w:shd w:val="clear" w:color="auto" w:fill="auto"/>
        <w:tabs>
          <w:tab w:val="clear" w:pos="426"/>
        </w:tabs>
        <w:adjustRightInd/>
        <w:snapToGrid/>
        <w:spacing w:before="120" w:beforeLines="50" w:line="300" w:lineRule="auto"/>
        <w:ind w:firstLine="422" w:firstLineChars="200"/>
        <w:jc w:val="center"/>
        <w:rPr>
          <w:rFonts w:hint="eastAsia" w:cs="Times New Roman"/>
          <w:b/>
          <w:bCs/>
          <w:color w:val="auto"/>
          <w:kern w:val="2"/>
          <w:szCs w:val="21"/>
          <w:highlight w:val="none"/>
          <w:shd w:val="clear" w:color="auto" w:fill="auto"/>
        </w:rPr>
      </w:pPr>
      <w:r>
        <w:rPr>
          <w:rFonts w:cs="Times New Roman"/>
          <w:b/>
          <w:bCs/>
          <w:color w:val="auto"/>
          <w:kern w:val="2"/>
          <w:szCs w:val="21"/>
          <w:highlight w:val="none"/>
          <w:shd w:val="clear" w:color="auto" w:fill="auto"/>
        </w:rPr>
        <w:t>货物清单</w:t>
      </w:r>
      <w:r>
        <w:rPr>
          <w:rFonts w:hint="eastAsia" w:cs="Times New Roman"/>
          <w:b/>
          <w:bCs/>
          <w:color w:val="auto"/>
          <w:kern w:val="2"/>
          <w:szCs w:val="21"/>
          <w:highlight w:val="none"/>
          <w:shd w:val="clear" w:color="auto" w:fill="auto"/>
        </w:rPr>
        <w:t>明细</w:t>
      </w:r>
    </w:p>
    <w:tbl>
      <w:tblPr>
        <w:tblStyle w:val="44"/>
        <w:tblW w:w="9486"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4"/>
        <w:gridCol w:w="4017"/>
        <w:gridCol w:w="2521"/>
        <w:gridCol w:w="118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序号</w:t>
            </w:r>
          </w:p>
        </w:tc>
        <w:tc>
          <w:tcPr>
            <w:tcW w:w="4017"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名称</w:t>
            </w:r>
          </w:p>
        </w:tc>
        <w:tc>
          <w:tcPr>
            <w:tcW w:w="2521"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尺寸（mm)</w:t>
            </w:r>
          </w:p>
        </w:tc>
        <w:tc>
          <w:tcPr>
            <w:tcW w:w="1189"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数量</w:t>
            </w:r>
          </w:p>
        </w:tc>
        <w:tc>
          <w:tcPr>
            <w:tcW w:w="1015"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9486" w:type="dxa"/>
            <w:gridSpan w:val="5"/>
            <w:vAlign w:val="center"/>
          </w:tcPr>
          <w:p>
            <w:pPr>
              <w:widowControl/>
              <w:jc w:val="center"/>
              <w:textAlignment w:val="center"/>
              <w:rPr>
                <w:rFonts w:hint="eastAsia" w:ascii="宋体" w:hAnsi="宋体" w:cs="宋体"/>
                <w:b/>
                <w:color w:val="000000"/>
                <w:kern w:val="0"/>
                <w:sz w:val="22"/>
                <w:szCs w:val="22"/>
              </w:rPr>
            </w:pPr>
            <w:r>
              <w:rPr>
                <w:rFonts w:hint="eastAsia" w:cs="Times New Roman"/>
                <w:b/>
                <w:bCs/>
                <w:color w:val="auto"/>
                <w:szCs w:val="21"/>
                <w:highlight w:val="none"/>
                <w:shd w:val="clear" w:color="auto" w:fill="auto"/>
              </w:rPr>
              <w:t>一、室外标识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楼宇名称标识(1)</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1000mm*4250mm</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楼宇名称标识(2)</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1000mm*4250mm</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017" w:type="dxa"/>
            <w:vAlign w:val="center"/>
          </w:tcPr>
          <w:p>
            <w:pPr>
              <w:widowControl/>
              <w:jc w:val="center"/>
              <w:textAlignment w:val="center"/>
              <w:rPr>
                <w:rFonts w:ascii="宋体" w:hAnsi="宋体" w:cs="宋体"/>
                <w:color w:val="000000"/>
                <w:sz w:val="22"/>
                <w:szCs w:val="22"/>
              </w:rPr>
            </w:pPr>
            <w:r>
              <w:rPr>
                <w:rStyle w:val="301"/>
                <w:rFonts w:hint="default"/>
                <w:sz w:val="22"/>
                <w:szCs w:val="22"/>
              </w:rPr>
              <w:t>楼宇名称标识</w:t>
            </w:r>
            <w:r>
              <w:rPr>
                <w:rFonts w:hint="default" w:ascii="宋体" w:hAnsi="宋体" w:cs="宋体"/>
                <w:color w:val="000000"/>
                <w:kern w:val="0"/>
                <w:sz w:val="22"/>
                <w:szCs w:val="22"/>
              </w:rPr>
              <w:t>(3</w:t>
            </w:r>
            <w:r>
              <w:rPr>
                <w:rFonts w:hint="eastAsia" w:ascii="宋体" w:hAnsi="宋体" w:cs="宋体"/>
                <w:color w:val="000000"/>
                <w:kern w:val="0"/>
                <w:sz w:val="22"/>
                <w:szCs w:val="22"/>
              </w:rPr>
              <w:t>)</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1000mm*4250mm</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rPr>
        <w:tc>
          <w:tcPr>
            <w:tcW w:w="744" w:type="dxa"/>
            <w:vAlign w:val="center"/>
          </w:tcPr>
          <w:p>
            <w:pPr>
              <w:widowControl/>
              <w:jc w:val="center"/>
              <w:textAlignment w:val="center"/>
              <w:rPr>
                <w:rStyle w:val="301"/>
                <w:rFonts w:hint="default"/>
                <w:sz w:val="22"/>
                <w:szCs w:val="22"/>
              </w:rPr>
            </w:pPr>
            <w:r>
              <w:rPr>
                <w:rStyle w:val="301"/>
                <w:rFonts w:hint="eastAsia"/>
                <w:sz w:val="22"/>
                <w:szCs w:val="22"/>
              </w:rPr>
              <w:t>4</w:t>
            </w:r>
          </w:p>
        </w:tc>
        <w:tc>
          <w:tcPr>
            <w:tcW w:w="4017" w:type="dxa"/>
            <w:vAlign w:val="center"/>
          </w:tcPr>
          <w:p>
            <w:pPr>
              <w:widowControl/>
              <w:jc w:val="center"/>
              <w:textAlignment w:val="center"/>
              <w:rPr>
                <w:rStyle w:val="301"/>
                <w:rFonts w:hint="default"/>
                <w:sz w:val="22"/>
                <w:szCs w:val="22"/>
              </w:rPr>
            </w:pPr>
            <w:r>
              <w:rPr>
                <w:rStyle w:val="301"/>
                <w:rFonts w:hint="default"/>
                <w:sz w:val="22"/>
                <w:szCs w:val="22"/>
              </w:rPr>
              <w:t>楼宇名称标识(4)</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楼宇名称标识(5)</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楼宇名称标识(6)</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楼宇名称标识(7)</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多向指示标识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3500*1160*100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户外宣传栏标识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4500*2100*100</w:t>
            </w:r>
          </w:p>
        </w:tc>
        <w:tc>
          <w:tcPr>
            <w:tcW w:w="1189"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4017"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户外宣传栏标识不锈钢烤漆立柱</w:t>
            </w:r>
          </w:p>
        </w:tc>
        <w:tc>
          <w:tcPr>
            <w:tcW w:w="2521"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100x80x</w:t>
            </w:r>
            <w:r>
              <w:rPr>
                <w:rFonts w:hint="eastAsia" w:ascii="宋体" w:hAnsi="宋体" w:cs="宋体"/>
                <w:color w:val="000000"/>
                <w:kern w:val="0"/>
                <w:sz w:val="22"/>
                <w:szCs w:val="22"/>
                <w:lang w:val="en-US" w:eastAsia="zh-CN"/>
              </w:rPr>
              <w:t>21</w:t>
            </w:r>
            <w:r>
              <w:rPr>
                <w:rFonts w:hint="eastAsia" w:ascii="宋体" w:hAnsi="宋体" w:cs="宋体"/>
                <w:color w:val="000000"/>
                <w:kern w:val="0"/>
                <w:sz w:val="22"/>
                <w:szCs w:val="22"/>
              </w:rPr>
              <w:t>00</w:t>
            </w:r>
          </w:p>
        </w:tc>
        <w:tc>
          <w:tcPr>
            <w:tcW w:w="1189"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01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9486" w:type="dxa"/>
            <w:gridSpan w:val="5"/>
            <w:vAlign w:val="center"/>
          </w:tcPr>
          <w:p>
            <w:pPr>
              <w:widowControl/>
              <w:jc w:val="center"/>
              <w:textAlignment w:val="center"/>
              <w:rPr>
                <w:rFonts w:hint="eastAsia" w:ascii="宋体" w:hAnsi="宋体" w:cs="宋体"/>
                <w:color w:val="000000"/>
                <w:kern w:val="0"/>
                <w:sz w:val="22"/>
                <w:szCs w:val="22"/>
              </w:rPr>
            </w:pPr>
            <w:r>
              <w:rPr>
                <w:rFonts w:hint="eastAsia" w:cs="Times New Roman"/>
                <w:b/>
                <w:bCs/>
                <w:color w:val="auto"/>
                <w:szCs w:val="21"/>
                <w:highlight w:val="none"/>
                <w:shd w:val="clear" w:color="auto" w:fill="auto"/>
                <w:lang w:eastAsia="zh-CN"/>
              </w:rPr>
              <w:t>二、</w:t>
            </w:r>
            <w:r>
              <w:rPr>
                <w:rFonts w:hint="eastAsia" w:cs="Times New Roman"/>
                <w:b/>
                <w:bCs/>
                <w:color w:val="auto"/>
                <w:szCs w:val="21"/>
                <w:highlight w:val="none"/>
                <w:shd w:val="clear" w:color="auto" w:fill="auto"/>
              </w:rPr>
              <w:t>室内标识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药房编号标识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高150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区域平面图</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2350*2000*100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4017"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规划平面图标识</w:t>
            </w:r>
          </w:p>
        </w:tc>
        <w:tc>
          <w:tcPr>
            <w:tcW w:w="2521"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1500*1250*80</w:t>
            </w:r>
          </w:p>
        </w:tc>
        <w:tc>
          <w:tcPr>
            <w:tcW w:w="1189"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15"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4017"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规划平面图标识不锈钢椭圆形基座</w:t>
            </w:r>
          </w:p>
        </w:tc>
        <w:tc>
          <w:tcPr>
            <w:tcW w:w="2521" w:type="dxa"/>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1300x650x200</w:t>
            </w:r>
          </w:p>
        </w:tc>
        <w:tc>
          <w:tcPr>
            <w:tcW w:w="1189"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15"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15</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医护人员一览表</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2000*800*50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16</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吊挂式指示标识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2000*410*90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17</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区域定位标识（1）</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2280*650*80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18</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区域定位标识（2）</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450*390*50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19</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诊室编号标识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200*250*30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门牌、病房编号标识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200*250*30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21</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贴墙式指引标识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2000*650*50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15"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22</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制度牌标识</w:t>
            </w:r>
          </w:p>
        </w:tc>
        <w:tc>
          <w:tcPr>
            <w:tcW w:w="2521" w:type="dxa"/>
            <w:vAlign w:val="center"/>
          </w:tcPr>
          <w:p>
            <w:pPr>
              <w:widowControl/>
              <w:jc w:val="center"/>
              <w:textAlignment w:val="center"/>
              <w:rPr>
                <w:rFonts w:ascii="宋体" w:hAnsi="宋体" w:cs="宋体"/>
                <w:color w:val="000000"/>
                <w:sz w:val="22"/>
                <w:szCs w:val="22"/>
              </w:rPr>
            </w:pPr>
            <w:r>
              <w:rPr>
                <w:rStyle w:val="301"/>
                <w:rFonts w:hint="default"/>
              </w:rPr>
              <w:t>600*900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23</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门头区域定位标识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1500*450*50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24</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电梯门头区域定位标识</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1500*450*50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25</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洗手间标识1</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高150mm</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26</w:t>
            </w:r>
          </w:p>
        </w:tc>
        <w:tc>
          <w:tcPr>
            <w:tcW w:w="4017"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洗手间标识2</w:t>
            </w:r>
          </w:p>
        </w:tc>
        <w:tc>
          <w:tcPr>
            <w:tcW w:w="252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高150</w:t>
            </w:r>
          </w:p>
        </w:tc>
        <w:tc>
          <w:tcPr>
            <w:tcW w:w="1189"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0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4017"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其他拆除</w:t>
            </w:r>
          </w:p>
        </w:tc>
        <w:tc>
          <w:tcPr>
            <w:tcW w:w="2521" w:type="dxa"/>
            <w:vAlign w:val="center"/>
          </w:tcPr>
          <w:p>
            <w:pPr>
              <w:widowControl/>
              <w:jc w:val="center"/>
              <w:textAlignment w:val="center"/>
              <w:rPr>
                <w:rFonts w:hint="eastAsia" w:ascii="宋体" w:hAnsi="宋体" w:cs="宋体"/>
                <w:color w:val="000000"/>
                <w:kern w:val="0"/>
                <w:sz w:val="22"/>
                <w:szCs w:val="22"/>
              </w:rPr>
            </w:pPr>
          </w:p>
        </w:tc>
        <w:tc>
          <w:tcPr>
            <w:tcW w:w="1189" w:type="dxa"/>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015" w:type="dxa"/>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4017"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墙面</w:t>
            </w:r>
            <w:r>
              <w:rPr>
                <w:rFonts w:hint="eastAsia" w:ascii="宋体" w:hAnsi="宋体" w:cs="宋体"/>
                <w:color w:val="000000"/>
                <w:kern w:val="0"/>
                <w:sz w:val="22"/>
                <w:szCs w:val="22"/>
                <w:lang w:eastAsia="zh-CN"/>
              </w:rPr>
              <w:t>局部</w:t>
            </w:r>
            <w:r>
              <w:rPr>
                <w:rFonts w:hint="eastAsia" w:ascii="宋体" w:hAnsi="宋体" w:cs="宋体"/>
                <w:color w:val="000000"/>
                <w:kern w:val="0"/>
                <w:sz w:val="22"/>
                <w:szCs w:val="22"/>
              </w:rPr>
              <w:t>修补维修</w:t>
            </w:r>
          </w:p>
        </w:tc>
        <w:tc>
          <w:tcPr>
            <w:tcW w:w="2521" w:type="dxa"/>
            <w:vAlign w:val="center"/>
          </w:tcPr>
          <w:p>
            <w:pPr>
              <w:widowControl/>
              <w:jc w:val="center"/>
              <w:textAlignment w:val="center"/>
              <w:rPr>
                <w:rFonts w:hint="eastAsia" w:ascii="宋体" w:hAnsi="宋体" w:cs="宋体"/>
                <w:color w:val="000000"/>
                <w:kern w:val="0"/>
                <w:sz w:val="22"/>
                <w:szCs w:val="22"/>
              </w:rPr>
            </w:pPr>
          </w:p>
        </w:tc>
        <w:tc>
          <w:tcPr>
            <w:tcW w:w="1189"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820</w:t>
            </w:r>
          </w:p>
        </w:tc>
        <w:tc>
          <w:tcPr>
            <w:tcW w:w="1015" w:type="dxa"/>
            <w:vAlign w:val="center"/>
          </w:tcPr>
          <w:p>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rPr>
        <w:tc>
          <w:tcPr>
            <w:tcW w:w="9486" w:type="dxa"/>
            <w:gridSpan w:val="5"/>
            <w:vAlign w:val="center"/>
          </w:tcPr>
          <w:p>
            <w:pPr>
              <w:widowControl/>
              <w:jc w:val="center"/>
              <w:textAlignment w:val="center"/>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三、标识标牌配套电气部分(7栋楼)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配电箱</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配电箱</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配管</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2601</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配管</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2000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460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1400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凿(压)槽</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2601</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凿(压)槽</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w:t>
            </w:r>
          </w:p>
        </w:tc>
        <w:tc>
          <w:tcPr>
            <w:tcW w:w="4017"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接线盒</w:t>
            </w:r>
          </w:p>
        </w:tc>
        <w:tc>
          <w:tcPr>
            <w:tcW w:w="252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8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110</w:t>
            </w:r>
          </w:p>
        </w:tc>
        <w:tc>
          <w:tcPr>
            <w:tcW w:w="10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bl>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备注：</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1.注明“接受进口”的产品（产品名称）允许供应商选用进口产品参与投标，但不排斥国内产品。</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2.未注明“接受进口”的产品（产品名称）均不接受供应商选用进口产品参与投标。</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3.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cs="Times New Roman"/>
          <w:bCs/>
          <w:color w:val="auto"/>
          <w:kern w:val="2"/>
          <w:szCs w:val="21"/>
          <w:highlight w:val="none"/>
          <w:shd w:val="clear" w:color="auto" w:fill="auto"/>
        </w:rPr>
        <w:t>2007〕119 号文和财办库〔2008〕248 号文的相关规定为准。</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4.本项目的核心产品详见货物清单一览表。当多家投标人提供的核心产品品牌相同的，按一家投标人计算。根据《政府采购货物和服务招标投标管理办法》（中华人民共和国财政部令第</w:t>
      </w:r>
      <w:r>
        <w:rPr>
          <w:rFonts w:cs="Times New Roman"/>
          <w:bCs/>
          <w:color w:val="auto"/>
          <w:kern w:val="2"/>
          <w:szCs w:val="21"/>
          <w:highlight w:val="none"/>
          <w:shd w:val="clear" w:color="auto" w:fill="auto"/>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cs="Times New Roman"/>
          <w:bCs/>
          <w:color w:val="auto"/>
          <w:kern w:val="2"/>
          <w:szCs w:val="21"/>
          <w:highlight w:val="none"/>
          <w:shd w:val="clear" w:color="auto" w:fill="auto"/>
        </w:rPr>
        <w:t>格。</w:t>
      </w:r>
    </w:p>
    <w:p>
      <w:pPr>
        <w:numPr>
          <w:ilvl w:val="0"/>
          <w:numId w:val="25"/>
        </w:numPr>
        <w:adjustRightInd/>
        <w:snapToGrid/>
        <w:spacing w:before="280" w:after="290" w:line="377" w:lineRule="auto"/>
        <w:jc w:val="left"/>
        <w:outlineLvl w:val="2"/>
        <w:rPr>
          <w:b/>
          <w:color w:val="auto"/>
          <w:sz w:val="24"/>
          <w:highlight w:val="none"/>
          <w:shd w:val="clear" w:color="auto" w:fill="auto"/>
        </w:rPr>
        <w:sectPr>
          <w:pgSz w:w="11906" w:h="16838"/>
          <w:pgMar w:top="1134" w:right="1134" w:bottom="1134" w:left="1418" w:header="851" w:footer="992" w:gutter="0"/>
          <w:pgNumType w:fmt="decimal"/>
          <w:cols w:space="425" w:num="1"/>
          <w:titlePg/>
          <w:docGrid w:linePitch="462" w:charSpace="0"/>
        </w:sectPr>
      </w:pPr>
    </w:p>
    <w:p>
      <w:pPr>
        <w:numPr>
          <w:ilvl w:val="0"/>
          <w:numId w:val="25"/>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实质性响应条款</w:t>
      </w:r>
    </w:p>
    <w:p>
      <w:pPr>
        <w:rPr>
          <w:b/>
          <w:color w:val="auto"/>
          <w:szCs w:val="21"/>
          <w:highlight w:val="none"/>
          <w:shd w:val="clear" w:color="auto" w:fill="auto"/>
        </w:rPr>
      </w:pPr>
      <w:r>
        <w:rPr>
          <w:rFonts w:hint="eastAsia"/>
          <w:b/>
          <w:color w:val="auto"/>
          <w:szCs w:val="21"/>
          <w:highlight w:val="none"/>
          <w:shd w:val="clear" w:color="auto" w:fill="auto"/>
        </w:rPr>
        <w:t>说明：1.</w:t>
      </w:r>
      <w:r>
        <w:rPr>
          <w:b/>
          <w:color w:val="auto"/>
          <w:szCs w:val="21"/>
          <w:highlight w:val="none"/>
          <w:shd w:val="clear" w:color="auto" w:fill="auto"/>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color w:val="auto"/>
          <w:szCs w:val="21"/>
          <w:highlight w:val="none"/>
          <w:shd w:val="clear" w:color="auto" w:fill="auto"/>
        </w:rPr>
        <w:t>。</w:t>
      </w:r>
    </w:p>
    <w:p>
      <w:pPr>
        <w:rPr>
          <w:b/>
          <w:color w:val="auto"/>
          <w:szCs w:val="21"/>
          <w:highlight w:val="none"/>
          <w:shd w:val="clear" w:color="auto" w:fill="auto"/>
        </w:rPr>
      </w:pPr>
      <w:r>
        <w:rPr>
          <w:rFonts w:hint="eastAsia"/>
          <w:b/>
          <w:color w:val="auto"/>
          <w:szCs w:val="21"/>
          <w:highlight w:val="none"/>
          <w:shd w:val="clear" w:color="auto" w:fill="auto"/>
        </w:rPr>
        <w:t>2.开标一览表中填写的“交货期”必须与本表的“交货期”一致。如不一致，以开标一览表填写的“交货期”为准。如开标一览表</w:t>
      </w:r>
      <w:r>
        <w:rPr>
          <w:rFonts w:hint="eastAsia"/>
          <w:b/>
          <w:color w:val="auto"/>
          <w:highlight w:val="none"/>
          <w:shd w:val="clear" w:color="auto" w:fill="auto"/>
        </w:rPr>
        <w:t>载明的交货期超过招标文件规定的期限，根据《符合性审查表》要求作无效标处理。</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39"/>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序号</w:t>
            </w:r>
          </w:p>
        </w:tc>
        <w:tc>
          <w:tcPr>
            <w:tcW w:w="223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目录</w:t>
            </w:r>
          </w:p>
        </w:tc>
        <w:tc>
          <w:tcPr>
            <w:tcW w:w="6312"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1</w:t>
            </w:r>
          </w:p>
        </w:tc>
        <w:tc>
          <w:tcPr>
            <w:tcW w:w="2239" w:type="dxa"/>
            <w:vAlign w:val="center"/>
          </w:tcPr>
          <w:p>
            <w:pPr>
              <w:spacing w:line="240" w:lineRule="auto"/>
              <w:jc w:val="center"/>
              <w:rPr>
                <w:rFonts w:hint="eastAsia" w:eastAsia="宋体"/>
                <w:color w:val="auto"/>
                <w:szCs w:val="21"/>
                <w:highlight w:val="none"/>
                <w:shd w:val="clear" w:color="auto" w:fill="auto"/>
                <w:lang w:eastAsia="zh-CN"/>
              </w:rPr>
            </w:pPr>
            <w:r>
              <w:rPr>
                <w:rFonts w:hint="eastAsia"/>
                <w:color w:val="auto"/>
                <w:szCs w:val="21"/>
                <w:highlight w:val="none"/>
                <w:shd w:val="clear" w:color="auto" w:fill="auto"/>
              </w:rPr>
              <w:t>关于</w:t>
            </w:r>
            <w:r>
              <w:rPr>
                <w:rFonts w:hint="eastAsia"/>
                <w:color w:val="auto"/>
                <w:szCs w:val="21"/>
                <w:highlight w:val="none"/>
                <w:shd w:val="clear" w:color="auto" w:fill="auto"/>
                <w:lang w:eastAsia="zh-CN"/>
              </w:rPr>
              <w:t>保修期</w:t>
            </w:r>
          </w:p>
        </w:tc>
        <w:tc>
          <w:tcPr>
            <w:tcW w:w="6312"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w:t>
            </w:r>
            <w:r>
              <w:rPr>
                <w:rFonts w:hint="eastAsia"/>
                <w:bCs/>
                <w:color w:val="auto"/>
                <w:szCs w:val="21"/>
                <w:highlight w:val="none"/>
                <w:shd w:val="clear" w:color="auto" w:fill="auto"/>
                <w:lang w:eastAsia="zh-CN"/>
              </w:rPr>
              <w:t>保修期</w:t>
            </w:r>
            <w:r>
              <w:rPr>
                <w:rFonts w:hint="eastAsia"/>
                <w:bCs/>
                <w:color w:val="auto"/>
                <w:szCs w:val="21"/>
                <w:highlight w:val="none"/>
                <w:shd w:val="clear" w:color="auto" w:fill="auto"/>
              </w:rPr>
              <w:t>：</w:t>
            </w:r>
            <w:r>
              <w:rPr>
                <w:rFonts w:hint="eastAsia"/>
                <w:bCs/>
                <w:color w:val="auto"/>
                <w:szCs w:val="21"/>
                <w:highlight w:val="none"/>
                <w:shd w:val="clear" w:color="auto" w:fill="auto"/>
                <w:lang w:val="en-US" w:eastAsia="zh-CN"/>
              </w:rPr>
              <w:t>2</w:t>
            </w:r>
            <w:r>
              <w:rPr>
                <w:bCs/>
                <w:color w:val="auto"/>
                <w:szCs w:val="21"/>
                <w:highlight w:val="none"/>
                <w:shd w:val="clear" w:color="auto" w:fill="auto"/>
              </w:rPr>
              <w:t>年，保修期以验收合格，双方代表签署 “验收报告”后起计算。</w:t>
            </w:r>
          </w:p>
          <w:p>
            <w:pPr>
              <w:spacing w:line="240" w:lineRule="auto"/>
              <w:rPr>
                <w:rFonts w:hint="eastAsia"/>
                <w:bCs/>
                <w:color w:val="auto"/>
                <w:szCs w:val="21"/>
                <w:highlight w:val="none"/>
                <w:shd w:val="clear" w:color="auto" w:fill="auto"/>
              </w:rPr>
            </w:pPr>
            <w:r>
              <w:rPr>
                <w:bCs/>
                <w:color w:val="auto"/>
                <w:szCs w:val="21"/>
                <w:highlight w:val="none"/>
                <w:shd w:val="clear" w:color="auto" w:fill="auto"/>
              </w:rPr>
              <w:t>保修期内，</w:t>
            </w:r>
            <w:r>
              <w:rPr>
                <w:rFonts w:hint="eastAsia"/>
                <w:bCs/>
                <w:color w:val="auto"/>
                <w:szCs w:val="21"/>
                <w:highlight w:val="none"/>
                <w:shd w:val="clear" w:color="auto" w:fill="auto"/>
                <w:lang w:eastAsia="zh-CN"/>
              </w:rPr>
              <w:t>中标人应对</w:t>
            </w:r>
            <w:r>
              <w:rPr>
                <w:rFonts w:hint="eastAsia" w:ascii="宋体" w:hAnsi="宋体" w:cs="宋体"/>
                <w:b w:val="0"/>
                <w:bCs w:val="0"/>
                <w:sz w:val="21"/>
                <w:szCs w:val="21"/>
              </w:rPr>
              <w:t>室外及室内标识标牌的维护（包含但不限于对破损、倒塌的挂牌进行修复或替换）</w:t>
            </w:r>
            <w:r>
              <w:rPr>
                <w:rFonts w:hint="eastAsia"/>
                <w:bCs/>
                <w:color w:val="auto"/>
                <w:szCs w:val="21"/>
                <w:highlight w:val="none"/>
                <w:shd w:val="clear" w:color="auto" w:fill="auto"/>
              </w:rPr>
              <w:t>。</w:t>
            </w:r>
          </w:p>
          <w:p>
            <w:pPr>
              <w:spacing w:line="240" w:lineRule="auto"/>
              <w:rPr>
                <w:b/>
                <w:color w:val="auto"/>
                <w:szCs w:val="21"/>
                <w:highlight w:val="none"/>
                <w:shd w:val="clear" w:color="auto" w:fill="auto"/>
              </w:rPr>
            </w:pPr>
            <w:r>
              <w:rPr>
                <w:bCs/>
                <w:color w:val="auto"/>
                <w:szCs w:val="21"/>
                <w:highlight w:val="none"/>
                <w:shd w:val="clear" w:color="auto" w:fill="auto"/>
              </w:rPr>
              <w:t>在保修期内，一旦发生质量问题，投标人保证在接到通知24小时内赶到现场进行修理或更换，投标人应按其投标文件中的承诺，进行其他售后服务工作。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2</w:t>
            </w:r>
          </w:p>
        </w:tc>
        <w:tc>
          <w:tcPr>
            <w:tcW w:w="223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关于交货期</w:t>
            </w:r>
          </w:p>
        </w:tc>
        <w:tc>
          <w:tcPr>
            <w:tcW w:w="6312" w:type="dxa"/>
            <w:vAlign w:val="center"/>
          </w:tcPr>
          <w:p>
            <w:pPr>
              <w:spacing w:line="240" w:lineRule="auto"/>
              <w:rPr>
                <w:b/>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bCs/>
                <w:color w:val="auto"/>
                <w:szCs w:val="21"/>
                <w:highlight w:val="none"/>
                <w:shd w:val="clear" w:color="auto" w:fill="auto"/>
              </w:rPr>
              <w:t>交货</w:t>
            </w:r>
            <w:r>
              <w:rPr>
                <w:rFonts w:hint="eastAsia"/>
                <w:bCs/>
                <w:color w:val="auto"/>
                <w:szCs w:val="21"/>
                <w:highlight w:val="none"/>
                <w:shd w:val="clear" w:color="auto" w:fill="auto"/>
                <w:lang w:eastAsia="zh-CN"/>
              </w:rPr>
              <w:t>期：合同签订后60日历日内（生产加安装）</w:t>
            </w:r>
            <w:r>
              <w:rPr>
                <w:rFonts w:hint="eastAsia"/>
                <w:bCs/>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b/>
                <w:color w:val="auto"/>
                <w:highlight w:val="none"/>
                <w:shd w:val="clear" w:color="auto" w:fill="auto"/>
              </w:rPr>
              <w:t>3</w:t>
            </w:r>
          </w:p>
        </w:tc>
        <w:tc>
          <w:tcPr>
            <w:tcW w:w="2239" w:type="dxa"/>
            <w:vAlign w:val="center"/>
          </w:tcPr>
          <w:p>
            <w:pPr>
              <w:spacing w:line="240" w:lineRule="auto"/>
              <w:jc w:val="center"/>
              <w:rPr>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bCs/>
                <w:color w:val="auto"/>
                <w:highlight w:val="none"/>
                <w:shd w:val="clear" w:color="auto" w:fill="auto"/>
              </w:rPr>
              <w:t>付款方式</w:t>
            </w:r>
          </w:p>
        </w:tc>
        <w:tc>
          <w:tcPr>
            <w:tcW w:w="6312" w:type="dxa"/>
            <w:vAlign w:val="center"/>
          </w:tcPr>
          <w:p>
            <w:pPr>
              <w:spacing w:line="380" w:lineRule="exact"/>
              <w:jc w:val="left"/>
              <w:rPr>
                <w:rFonts w:hint="eastAsia"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（1）合同签订10个工作日内，甲方向乙方支付合同价的30%作为定金；</w:t>
            </w:r>
          </w:p>
          <w:p>
            <w:pPr>
              <w:spacing w:line="380" w:lineRule="exact"/>
              <w:jc w:val="left"/>
              <w:rPr>
                <w:rFonts w:hint="eastAsia"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（2）货物到场后，且乙方向甲方提供合同价70%的履约保证金后，甲方向乙方支付至合同价的100%。</w:t>
            </w:r>
          </w:p>
          <w:p>
            <w:pPr>
              <w:spacing w:line="380" w:lineRule="exact"/>
              <w:jc w:val="left"/>
              <w:rPr>
                <w:rFonts w:hint="eastAsia"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（3）完成进度80%时，甲方向乙方退还50%的履约保证金。</w:t>
            </w:r>
          </w:p>
          <w:p>
            <w:pPr>
              <w:spacing w:line="380" w:lineRule="exact"/>
              <w:jc w:val="left"/>
              <w:rPr>
                <w:rFonts w:hint="eastAsia"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（4）完成进度100%时，甲方向乙方退还15%的履约保证金。</w:t>
            </w:r>
          </w:p>
          <w:p>
            <w:pPr>
              <w:spacing w:line="380" w:lineRule="exact"/>
              <w:jc w:val="left"/>
              <w:rPr>
                <w:color w:val="auto"/>
                <w:szCs w:val="21"/>
                <w:highlight w:val="none"/>
                <w:shd w:val="clear" w:color="auto" w:fill="auto"/>
              </w:rPr>
            </w:pPr>
            <w:r>
              <w:rPr>
                <w:rFonts w:hint="eastAsia" w:cs="Times New Roman"/>
                <w:color w:val="auto"/>
                <w:kern w:val="2"/>
                <w:szCs w:val="21"/>
                <w:highlight w:val="none"/>
                <w:shd w:val="clear" w:color="auto" w:fill="auto"/>
              </w:rPr>
              <w:t>（5）货物或工程验收合格无异议的一年后，甲方向乙方退还5%的履约保证金</w:t>
            </w:r>
            <w:r>
              <w:rPr>
                <w:rFonts w:hint="eastAsia"/>
                <w:color w:val="auto"/>
                <w:szCs w:val="21"/>
                <w:highlight w:val="none"/>
                <w:shd w:val="clear" w:color="auto" w:fill="auto"/>
              </w:rPr>
              <w:t xml:space="preserve">。 </w:t>
            </w:r>
          </w:p>
          <w:p>
            <w:pPr>
              <w:spacing w:line="240" w:lineRule="auto"/>
              <w:rPr>
                <w:bCs/>
                <w:color w:val="auto"/>
                <w:szCs w:val="21"/>
                <w:highlight w:val="none"/>
                <w:shd w:val="clear" w:color="auto" w:fill="auto"/>
              </w:rPr>
            </w:pPr>
            <w:r>
              <w:rPr>
                <w:rFonts w:hint="eastAsia"/>
                <w:color w:val="auto"/>
                <w:szCs w:val="21"/>
                <w:highlight w:val="none"/>
                <w:shd w:val="clear" w:color="auto" w:fill="auto"/>
              </w:rPr>
              <w:t>备注：具体付款方式需按深圳市坪山区财政局有关规定执行。</w:t>
            </w:r>
          </w:p>
        </w:tc>
      </w:tr>
    </w:tbl>
    <w:p>
      <w:pPr>
        <w:numPr>
          <w:ilvl w:val="0"/>
          <w:numId w:val="25"/>
        </w:numPr>
        <w:adjustRightInd/>
        <w:snapToGrid/>
        <w:spacing w:before="280" w:after="290" w:line="377" w:lineRule="auto"/>
        <w:jc w:val="left"/>
        <w:outlineLvl w:val="2"/>
        <w:rPr>
          <w:b/>
          <w:color w:val="auto"/>
          <w:sz w:val="24"/>
          <w:highlight w:val="none"/>
          <w:shd w:val="clear" w:color="auto" w:fill="auto"/>
        </w:rPr>
        <w:sectPr>
          <w:pgSz w:w="11906" w:h="16838"/>
          <w:pgMar w:top="1134" w:right="1134" w:bottom="1134" w:left="1418" w:header="851" w:footer="992" w:gutter="0"/>
          <w:pgNumType w:fmt="decimal"/>
          <w:cols w:space="425" w:num="1"/>
          <w:titlePg/>
          <w:docGrid w:linePitch="462" w:charSpace="0"/>
        </w:sectPr>
      </w:pPr>
    </w:p>
    <w:p>
      <w:pPr>
        <w:numPr>
          <w:ilvl w:val="0"/>
          <w:numId w:val="25"/>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具体技术要求</w:t>
      </w:r>
    </w:p>
    <w:tbl>
      <w:tblPr>
        <w:tblStyle w:val="44"/>
        <w:tblW w:w="13454" w:type="dxa"/>
        <w:tblInd w:w="-78" w:type="dxa"/>
        <w:tblLayout w:type="fixed"/>
        <w:tblCellMar>
          <w:top w:w="15" w:type="dxa"/>
          <w:left w:w="15" w:type="dxa"/>
          <w:bottom w:w="15" w:type="dxa"/>
          <w:right w:w="15" w:type="dxa"/>
        </w:tblCellMar>
      </w:tblPr>
      <w:tblGrid>
        <w:gridCol w:w="435"/>
        <w:gridCol w:w="765"/>
        <w:gridCol w:w="345"/>
        <w:gridCol w:w="1635"/>
        <w:gridCol w:w="1815"/>
        <w:gridCol w:w="645"/>
        <w:gridCol w:w="630"/>
        <w:gridCol w:w="5717"/>
        <w:gridCol w:w="1467"/>
      </w:tblGrid>
      <w:tr>
        <w:tblPrEx>
          <w:tblCellMar>
            <w:top w:w="15" w:type="dxa"/>
            <w:left w:w="15" w:type="dxa"/>
            <w:bottom w:w="15" w:type="dxa"/>
            <w:right w:w="15" w:type="dxa"/>
          </w:tblCellMar>
        </w:tblPrEx>
        <w:trPr>
          <w:trHeight w:val="900" w:hRule="atLeast"/>
        </w:trPr>
        <w:tc>
          <w:tcPr>
            <w:tcW w:w="13454" w:type="dxa"/>
            <w:gridSpan w:val="9"/>
            <w:tcBorders>
              <w:top w:val="nil"/>
              <w:left w:val="nil"/>
              <w:bottom w:val="single" w:color="000000" w:sz="18" w:space="0"/>
              <w:right w:val="nil"/>
            </w:tcBorders>
            <w:vAlign w:val="center"/>
          </w:tcPr>
          <w:p>
            <w:pPr>
              <w:jc w:val="both"/>
              <w:rPr>
                <w:rFonts w:hint="eastAsia" w:ascii="宋体" w:hAnsi="宋体" w:eastAsia="宋体" w:cs="宋体"/>
                <w:b/>
                <w:color w:val="000000"/>
                <w:sz w:val="30"/>
                <w:szCs w:val="30"/>
                <w:lang w:eastAsia="zh-CN"/>
              </w:rPr>
            </w:pPr>
            <w:r>
              <w:rPr>
                <w:rFonts w:hint="eastAsia" w:ascii="宋体" w:hAnsi="宋体" w:cs="宋体"/>
                <w:b/>
                <w:color w:val="000000"/>
                <w:kern w:val="0"/>
                <w:sz w:val="30"/>
                <w:szCs w:val="30"/>
              </w:rPr>
              <w:t>深圳平乐骨科医院（深圳市坪山区中医院）坪山院区标识标牌系统优化项目清单</w:t>
            </w:r>
            <w:r>
              <w:rPr>
                <w:rFonts w:hint="eastAsia" w:cs="宋体"/>
                <w:b/>
                <w:color w:val="000000"/>
                <w:kern w:val="0"/>
                <w:sz w:val="30"/>
                <w:szCs w:val="30"/>
                <w:lang w:eastAsia="zh-CN"/>
              </w:rPr>
              <w:t>及材质工艺要求清单</w:t>
            </w:r>
          </w:p>
        </w:tc>
      </w:tr>
      <w:tr>
        <w:tblPrEx>
          <w:tblCellMar>
            <w:top w:w="15" w:type="dxa"/>
            <w:left w:w="15" w:type="dxa"/>
            <w:bottom w:w="15" w:type="dxa"/>
            <w:right w:w="15" w:type="dxa"/>
          </w:tblCellMar>
        </w:tblPrEx>
        <w:trPr>
          <w:trHeight w:val="570" w:hRule="atLeast"/>
        </w:trPr>
        <w:tc>
          <w:tcPr>
            <w:tcW w:w="435"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110" w:type="dxa"/>
            <w:gridSpan w:val="2"/>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1635"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图例</w:t>
            </w:r>
          </w:p>
        </w:tc>
        <w:tc>
          <w:tcPr>
            <w:tcW w:w="1815"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尺寸（mm)</w:t>
            </w:r>
          </w:p>
        </w:tc>
        <w:tc>
          <w:tcPr>
            <w:tcW w:w="645"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630"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5717"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材质工艺说明</w:t>
            </w:r>
          </w:p>
        </w:tc>
        <w:tc>
          <w:tcPr>
            <w:tcW w:w="1467" w:type="dxa"/>
            <w:tcBorders>
              <w:top w:val="single" w:color="000000" w:sz="18" w:space="0"/>
              <w:left w:val="single" w:color="000000" w:sz="18" w:space="0"/>
              <w:bottom w:val="single" w:color="000000" w:sz="18" w:space="0"/>
              <w:right w:val="single" w:color="000000" w:sz="18"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备注</w:t>
            </w:r>
          </w:p>
        </w:tc>
      </w:tr>
      <w:tr>
        <w:tblPrEx>
          <w:tblCellMar>
            <w:top w:w="15" w:type="dxa"/>
            <w:left w:w="15" w:type="dxa"/>
            <w:bottom w:w="15" w:type="dxa"/>
            <w:right w:w="15" w:type="dxa"/>
          </w:tblCellMar>
        </w:tblPrEx>
        <w:trPr>
          <w:trHeight w:val="570" w:hRule="atLeast"/>
        </w:trPr>
        <w:tc>
          <w:tcPr>
            <w:tcW w:w="11987" w:type="dxa"/>
            <w:gridSpan w:val="8"/>
            <w:tcBorders>
              <w:top w:val="single" w:color="000000" w:sz="18"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b/>
                <w:color w:val="000000"/>
                <w:sz w:val="30"/>
                <w:szCs w:val="30"/>
              </w:rPr>
            </w:pPr>
            <w:r>
              <w:rPr>
                <w:rFonts w:hint="eastAsia" w:ascii="宋体" w:hAnsi="宋体" w:cs="宋体"/>
                <w:b/>
                <w:color w:val="000000"/>
                <w:kern w:val="0"/>
                <w:sz w:val="30"/>
                <w:szCs w:val="30"/>
                <w:lang w:eastAsia="zh-CN"/>
              </w:rPr>
              <w:t>一、</w:t>
            </w:r>
            <w:r>
              <w:rPr>
                <w:rFonts w:hint="eastAsia" w:ascii="宋体" w:hAnsi="宋体" w:cs="宋体"/>
                <w:b/>
                <w:color w:val="000000"/>
                <w:kern w:val="0"/>
                <w:sz w:val="30"/>
                <w:szCs w:val="30"/>
              </w:rPr>
              <w:t>室外标识</w:t>
            </w:r>
          </w:p>
        </w:tc>
        <w:tc>
          <w:tcPr>
            <w:tcW w:w="1467" w:type="dxa"/>
            <w:tcBorders>
              <w:top w:val="single" w:color="000000" w:sz="18" w:space="0"/>
              <w:left w:val="single" w:color="000000" w:sz="4" w:space="0"/>
              <w:bottom w:val="single" w:color="000000" w:sz="4" w:space="0"/>
              <w:right w:val="single" w:color="000000" w:sz="18"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111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楼宇名称标识(1)</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"C:\\Users\\ADMINI~1\\AppData\\Local\\Temp\\ksohtml\\clip_image8.png"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1000125" cy="409575"/>
                  <wp:effectExtent l="0" t="0" r="9525" b="9525"/>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9" cstate="print"/>
                          <a:stretch>
                            <a:fillRect/>
                          </a:stretch>
                        </pic:blipFill>
                        <pic:spPr>
                          <a:xfrm>
                            <a:off x="0" y="0"/>
                            <a:ext cx="1000125" cy="40957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1000mm*4250mm</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11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楼宇名称标识(2)</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"C:\\Users\\ADMINI~1\\AppData\\Local\\Temp\\ksohtml\\clip_image9.png"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885825" cy="323850"/>
                  <wp:effectExtent l="0" t="0" r="9525" b="0"/>
                  <wp:docPr id="2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IMG_257"/>
                          <pic:cNvPicPr>
                            <a:picLocks noChangeAspect="1"/>
                          </pic:cNvPicPr>
                        </pic:nvPicPr>
                        <pic:blipFill>
                          <a:blip r:embed="rId10" cstate="print"/>
                          <a:stretch>
                            <a:fillRect/>
                          </a:stretch>
                        </pic:blipFill>
                        <pic:spPr>
                          <a:xfrm>
                            <a:off x="0" y="0"/>
                            <a:ext cx="885825" cy="3238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1000mm*4250mm</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11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Style w:val="301"/>
                <w:rFonts w:hint="default"/>
                <w:sz w:val="22"/>
                <w:szCs w:val="22"/>
              </w:rPr>
              <w:t>楼宇名称标识</w:t>
            </w:r>
            <w:r>
              <w:rPr>
                <w:rFonts w:hint="default" w:ascii="宋体" w:hAnsi="宋体" w:cs="宋体"/>
                <w:color w:val="000000"/>
                <w:kern w:val="0"/>
                <w:sz w:val="22"/>
                <w:szCs w:val="22"/>
              </w:rPr>
              <w:t>(3</w:t>
            </w:r>
            <w:r>
              <w:rPr>
                <w:rFonts w:hint="eastAsia" w:ascii="宋体" w:hAnsi="宋体" w:cs="宋体"/>
                <w:color w:val="000000"/>
                <w:kern w:val="0"/>
                <w:sz w:val="22"/>
                <w:szCs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"C:\\Users\\ADMINI~1\\AppData\\Local\\Temp\\ksohtml\\clip_image10.png"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933450" cy="342900"/>
                  <wp:effectExtent l="0" t="0" r="0" b="0"/>
                  <wp:docPr id="3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IMG_258"/>
                          <pic:cNvPicPr>
                            <a:picLocks noChangeAspect="1"/>
                          </pic:cNvPicPr>
                        </pic:nvPicPr>
                        <pic:blipFill>
                          <a:blip r:embed="rId11" cstate="print"/>
                          <a:stretch>
                            <a:fillRect/>
                          </a:stretch>
                        </pic:blipFill>
                        <pic:spPr>
                          <a:xfrm>
                            <a:off x="0" y="0"/>
                            <a:ext cx="933450" cy="3429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1000mm*4250mm</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11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Style w:val="301"/>
                <w:rFonts w:hint="default"/>
              </w:rPr>
              <w:t>楼宇名称标识(4</w:t>
            </w:r>
            <w:r>
              <w:rPr>
                <w:rStyle w:val="30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"C:\\Users\\ADMINI~1\\AppData\\Local\\Temp\\ksohtml\\clip_image11.png"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914400" cy="400050"/>
                  <wp:effectExtent l="0" t="0" r="0" b="0"/>
                  <wp:docPr id="3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IMG_259"/>
                          <pic:cNvPicPr>
                            <a:picLocks noChangeAspect="1"/>
                          </pic:cNvPicPr>
                        </pic:nvPicPr>
                        <pic:blipFill>
                          <a:blip r:embed="rId12" cstate="print"/>
                          <a:stretch>
                            <a:fillRect/>
                          </a:stretch>
                        </pic:blipFill>
                        <pic:spPr>
                          <a:xfrm>
                            <a:off x="0" y="0"/>
                            <a:ext cx="914400" cy="4000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11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楼宇名称标识(5)</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"C:\\Users\\ADMINI~1\\AppData\\Local\\Temp\\ksohtml\\clip_image13.png"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1009650" cy="304800"/>
                  <wp:effectExtent l="0" t="0" r="0" b="0"/>
                  <wp:docPr id="3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IMG_260"/>
                          <pic:cNvPicPr>
                            <a:picLocks noChangeAspect="1"/>
                          </pic:cNvPicPr>
                        </pic:nvPicPr>
                        <pic:blipFill>
                          <a:blip r:embed="rId13" cstate="print"/>
                          <a:stretch>
                            <a:fillRect/>
                          </a:stretch>
                        </pic:blipFill>
                        <pic:spPr>
                          <a:xfrm>
                            <a:off x="0" y="0"/>
                            <a:ext cx="1009650" cy="3048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11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楼宇名称标识(6)</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"C:\\Users\\ADMINI~1\\AppData\\Local\\Temp\\ksohtml\\clip_image12.png"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885825" cy="361950"/>
                  <wp:effectExtent l="0" t="0" r="9525" b="0"/>
                  <wp:docPr id="3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IMG_261"/>
                          <pic:cNvPicPr>
                            <a:picLocks noChangeAspect="1"/>
                          </pic:cNvPicPr>
                        </pic:nvPicPr>
                        <pic:blipFill>
                          <a:blip r:embed="rId14" cstate="print"/>
                          <a:stretch>
                            <a:fillRect/>
                          </a:stretch>
                        </pic:blipFill>
                        <pic:spPr>
                          <a:xfrm>
                            <a:off x="0" y="0"/>
                            <a:ext cx="885825" cy="3619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11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楼宇名称标识(7)</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"C:\\Users\\ADMINI~1\\AppData\\Local\\Temp\\ksohtml\\clip_image14.png"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981075" cy="342900"/>
                  <wp:effectExtent l="0" t="0" r="9525" b="0"/>
                  <wp:docPr id="3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descr="IMG_262"/>
                          <pic:cNvPicPr>
                            <a:picLocks noChangeAspect="1"/>
                          </pic:cNvPicPr>
                        </pic:nvPicPr>
                        <pic:blipFill>
                          <a:blip r:embed="rId15" cstate="print"/>
                          <a:stretch>
                            <a:fillRect/>
                          </a:stretch>
                        </pic:blipFill>
                        <pic:spPr>
                          <a:xfrm>
                            <a:off x="0" y="0"/>
                            <a:ext cx="981075" cy="3429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1000*4250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(1)尺寸:1000x4250x60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(2)30x30x3mm不锈钢方通支撑,膨胀螺栓与楼板固定等其他全部辅材配件及配套工艺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(3)1.2mm厚不锈钢激光切割焊接成型,包进8mm,内置LED灯光源,面罩5mm厚白色透明亚克力</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(4)不锈钢折弯焊接成型立体字烤漆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r>
              <w:rPr>
                <w:rFonts w:hint="eastAsia" w:ascii="宋体" w:hAnsi="宋体" w:cs="宋体"/>
                <w:color w:val="000000"/>
                <w:kern w:val="0"/>
                <w:sz w:val="22"/>
                <w:szCs w:val="22"/>
                <w:lang w:val="en-US" w:eastAsia="zh-CN"/>
              </w:rPr>
              <w:t>,室外安装,包含脚手架及高空作业</w:t>
            </w:r>
          </w:p>
        </w:tc>
      </w:tr>
      <w:tr>
        <w:tblPrEx>
          <w:tblCellMar>
            <w:top w:w="15" w:type="dxa"/>
            <w:left w:w="15" w:type="dxa"/>
            <w:bottom w:w="15" w:type="dxa"/>
            <w:right w:w="15" w:type="dxa"/>
          </w:tblCellMar>
        </w:tblPrEx>
        <w:trPr>
          <w:trHeight w:val="399"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多向指示标识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361950" cy="914400"/>
                  <wp:effectExtent l="0" t="0" r="0" b="0"/>
                  <wp:docPr id="3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IMG_263"/>
                          <pic:cNvPicPr>
                            <a:picLocks noChangeAspect="1"/>
                          </pic:cNvPicPr>
                        </pic:nvPicPr>
                        <pic:blipFill>
                          <a:blip r:embed="rId16" cstate="print"/>
                          <a:stretch>
                            <a:fillRect/>
                          </a:stretch>
                        </pic:blipFill>
                        <pic:spPr>
                          <a:xfrm>
                            <a:off x="0" y="0"/>
                            <a:ext cx="361950" cy="9144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3500*1160*100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(1)尺寸:3500x1160x100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(2)基础土方放坡开挖2000x1200x900mm</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(3)土方外运及基底原土夯实，挖土方综合考虑、土方外运25km</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(4)浇筑1200x800x1OOmmC15素砼垫层</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(5)1200x800x</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00mmC25混凝土基础、双向受力钢筋中14@200mm,双向架立筋中14@200mm</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(6)预埋镀锌钢板300x300x10mm,100x80x10mm镀锌钢板加强肋,一道防腐漆,两道防锈漆;M14不锈钢螺栓固定,强度5.6A级</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(7)30x30x3mm镀锌方通焊接主、副龙骨框架成型,表面防锈防腐处理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(8)SUS304#1.5mm厚不锈钢激光切割折弯成型,表面烤细闪银色漆、热转印木纹色</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(9)不锈钢面板文字激光镂空、内贴5mm奶白色亚克力灯箱板</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(11)电源:400W防水户外LED专用电源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p>
        </w:tc>
      </w:tr>
      <w:tr>
        <w:tblPrEx>
          <w:tblCellMar>
            <w:top w:w="15" w:type="dxa"/>
            <w:left w:w="15" w:type="dxa"/>
            <w:bottom w:w="15" w:type="dxa"/>
            <w:right w:w="15" w:type="dxa"/>
          </w:tblCellMar>
        </w:tblPrEx>
        <w:trPr>
          <w:trHeight w:val="90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户外宣传栏标识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"C:\\Users\\ADMINI~1\\AppData\\Local\\Temp\\ksohtml\\clip_image16.png"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1009650" cy="447675"/>
                  <wp:effectExtent l="0" t="0" r="0" b="9525"/>
                  <wp:docPr id="3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descr="IMG_265"/>
                          <pic:cNvPicPr>
                            <a:picLocks noChangeAspect="1"/>
                          </pic:cNvPicPr>
                        </pic:nvPicPr>
                        <pic:blipFill>
                          <a:blip r:embed="rId17" cstate="print"/>
                          <a:stretch>
                            <a:fillRect/>
                          </a:stretch>
                        </pic:blipFill>
                        <pic:spPr>
                          <a:xfrm>
                            <a:off x="0" y="0"/>
                            <a:ext cx="1009650" cy="44767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4500*2100*100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01"/>
                <w:rFonts w:hint="default"/>
              </w:rPr>
            </w:pPr>
            <w:r>
              <w:rPr>
                <w:rStyle w:val="301"/>
                <w:rFonts w:hint="default"/>
              </w:rPr>
              <w:t>(1)尺寸:4500x2100x100</w:t>
            </w:r>
          </w:p>
          <w:p>
            <w:pPr>
              <w:widowControl/>
              <w:jc w:val="left"/>
              <w:textAlignment w:val="center"/>
              <w:rPr>
                <w:rStyle w:val="301"/>
                <w:rFonts w:hint="default" w:eastAsia="宋体"/>
                <w:lang w:val="en-US" w:eastAsia="zh-CN"/>
              </w:rPr>
            </w:pPr>
            <w:r>
              <w:rPr>
                <w:rStyle w:val="301"/>
                <w:rFonts w:hint="default"/>
              </w:rPr>
              <w:t>(2)基础土方放坡开挖</w:t>
            </w:r>
            <w:r>
              <w:rPr>
                <w:rStyle w:val="301"/>
                <w:rFonts w:hint="eastAsia"/>
                <w:lang w:val="en-US" w:eastAsia="zh-CN"/>
              </w:rPr>
              <w:t>5</w:t>
            </w:r>
            <w:r>
              <w:rPr>
                <w:rStyle w:val="301"/>
                <w:rFonts w:hint="default"/>
              </w:rPr>
              <w:t>00x</w:t>
            </w:r>
            <w:r>
              <w:rPr>
                <w:rStyle w:val="301"/>
                <w:rFonts w:hint="eastAsia"/>
                <w:lang w:val="en-US" w:eastAsia="zh-CN"/>
              </w:rPr>
              <w:t>5</w:t>
            </w:r>
            <w:r>
              <w:rPr>
                <w:rStyle w:val="301"/>
                <w:rFonts w:hint="default"/>
              </w:rPr>
              <w:t>00x</w:t>
            </w:r>
            <w:r>
              <w:rPr>
                <w:rStyle w:val="301"/>
                <w:rFonts w:hint="eastAsia"/>
                <w:lang w:val="en-US" w:eastAsia="zh-CN"/>
              </w:rPr>
              <w:t>5</w:t>
            </w:r>
            <w:r>
              <w:rPr>
                <w:rStyle w:val="301"/>
                <w:rFonts w:hint="default"/>
              </w:rPr>
              <w:t>00mm</w:t>
            </w:r>
            <w:r>
              <w:rPr>
                <w:rStyle w:val="301"/>
                <w:rFonts w:hint="eastAsia"/>
                <w:lang w:val="en-US" w:eastAsia="zh-CN"/>
              </w:rPr>
              <w:t>=3（个）</w:t>
            </w:r>
          </w:p>
          <w:p>
            <w:pPr>
              <w:widowControl/>
              <w:jc w:val="left"/>
              <w:textAlignment w:val="center"/>
              <w:rPr>
                <w:rStyle w:val="301"/>
                <w:rFonts w:hint="default"/>
              </w:rPr>
            </w:pPr>
            <w:r>
              <w:rPr>
                <w:rStyle w:val="301"/>
                <w:rFonts w:hint="default"/>
              </w:rPr>
              <w:t>(3)土方外运及基底原土夯实，挖土方综合考虑、土方外运25km</w:t>
            </w:r>
          </w:p>
          <w:p>
            <w:pPr>
              <w:widowControl/>
              <w:jc w:val="left"/>
              <w:textAlignment w:val="center"/>
              <w:rPr>
                <w:rStyle w:val="301"/>
                <w:rFonts w:hint="default"/>
              </w:rPr>
            </w:pPr>
            <w:r>
              <w:rPr>
                <w:rStyle w:val="301"/>
                <w:rFonts w:hint="default"/>
              </w:rPr>
              <w:t>(4)浇筑</w:t>
            </w:r>
            <w:r>
              <w:rPr>
                <w:rStyle w:val="301"/>
                <w:rFonts w:hint="eastAsia"/>
                <w:lang w:val="en-US" w:eastAsia="zh-CN"/>
              </w:rPr>
              <w:t>5</w:t>
            </w:r>
            <w:r>
              <w:rPr>
                <w:rStyle w:val="301"/>
                <w:rFonts w:hint="default"/>
              </w:rPr>
              <w:t>00x</w:t>
            </w:r>
            <w:r>
              <w:rPr>
                <w:rStyle w:val="301"/>
                <w:rFonts w:hint="eastAsia"/>
                <w:lang w:val="en-US" w:eastAsia="zh-CN"/>
              </w:rPr>
              <w:t>5</w:t>
            </w:r>
            <w:r>
              <w:rPr>
                <w:rStyle w:val="301"/>
                <w:rFonts w:hint="default"/>
              </w:rPr>
              <w:t>00x1OOmmC15素砼垫层</w:t>
            </w:r>
          </w:p>
          <w:p>
            <w:pPr>
              <w:widowControl/>
              <w:jc w:val="left"/>
              <w:textAlignment w:val="center"/>
              <w:rPr>
                <w:rStyle w:val="301"/>
                <w:rFonts w:hint="default"/>
              </w:rPr>
            </w:pPr>
            <w:r>
              <w:rPr>
                <w:rStyle w:val="301"/>
                <w:rFonts w:hint="default"/>
              </w:rPr>
              <w:t>(5)</w:t>
            </w:r>
            <w:r>
              <w:rPr>
                <w:rStyle w:val="301"/>
                <w:rFonts w:hint="eastAsia"/>
                <w:lang w:val="en-US" w:eastAsia="zh-CN"/>
              </w:rPr>
              <w:t>5</w:t>
            </w:r>
            <w:r>
              <w:rPr>
                <w:rStyle w:val="301"/>
                <w:rFonts w:hint="default"/>
              </w:rPr>
              <w:t>00x</w:t>
            </w:r>
            <w:r>
              <w:rPr>
                <w:rStyle w:val="301"/>
                <w:rFonts w:hint="eastAsia"/>
                <w:lang w:val="en-US" w:eastAsia="zh-CN"/>
              </w:rPr>
              <w:t>5</w:t>
            </w:r>
            <w:r>
              <w:rPr>
                <w:rStyle w:val="301"/>
                <w:rFonts w:hint="default"/>
              </w:rPr>
              <w:t>00x</w:t>
            </w:r>
            <w:r>
              <w:rPr>
                <w:rStyle w:val="301"/>
                <w:rFonts w:hint="eastAsia"/>
                <w:lang w:val="en-US" w:eastAsia="zh-CN"/>
              </w:rPr>
              <w:t>5</w:t>
            </w:r>
            <w:r>
              <w:rPr>
                <w:rStyle w:val="301"/>
                <w:rFonts w:hint="default"/>
              </w:rPr>
              <w:t>00mmC25混凝土基础、双向受力钢筋中14@200mm,双向架立筋14@200mm</w:t>
            </w:r>
          </w:p>
          <w:p>
            <w:pPr>
              <w:widowControl/>
              <w:jc w:val="left"/>
              <w:textAlignment w:val="center"/>
              <w:rPr>
                <w:rStyle w:val="301"/>
                <w:rFonts w:hint="default"/>
              </w:rPr>
            </w:pPr>
            <w:r>
              <w:rPr>
                <w:rStyle w:val="301"/>
                <w:rFonts w:hint="default"/>
              </w:rPr>
              <w:t>(6)预埋镀锌钢板300x300x10mm,100x80x10mm镀锌钢板加强肋,一道防腐漆,两道防锈漆;M14不锈钢螺栓固定,强度5.6A级</w:t>
            </w:r>
          </w:p>
          <w:p>
            <w:pPr>
              <w:widowControl/>
              <w:jc w:val="left"/>
              <w:textAlignment w:val="center"/>
              <w:rPr>
                <w:rStyle w:val="301"/>
                <w:rFonts w:hint="default"/>
              </w:rPr>
            </w:pPr>
            <w:r>
              <w:rPr>
                <w:rStyle w:val="301"/>
                <w:rFonts w:hint="default"/>
              </w:rPr>
              <w:t>(7)40x40x3mm镀锌方通焊接主、副龙骨框架成型,表面防锈防腐处理</w:t>
            </w:r>
          </w:p>
          <w:p>
            <w:pPr>
              <w:widowControl/>
              <w:jc w:val="left"/>
              <w:textAlignment w:val="center"/>
              <w:rPr>
                <w:rStyle w:val="301"/>
                <w:rFonts w:hint="default"/>
              </w:rPr>
            </w:pPr>
            <w:r>
              <w:rPr>
                <w:rStyle w:val="301"/>
                <w:rFonts w:hint="default"/>
              </w:rPr>
              <w:t>(8)SUS304#1.5mm厚不锈钢激光切割折弯成型,表面烤细闪银色漆、热转印木纹色、花纹丝网印刷</w:t>
            </w:r>
          </w:p>
          <w:p>
            <w:pPr>
              <w:widowControl/>
              <w:jc w:val="left"/>
              <w:textAlignment w:val="center"/>
              <w:rPr>
                <w:rStyle w:val="301"/>
                <w:rFonts w:hint="default"/>
              </w:rPr>
            </w:pPr>
            <w:r>
              <w:rPr>
                <w:rStyle w:val="301"/>
                <w:rFonts w:hint="default"/>
              </w:rPr>
              <w:t>(9)不锈钢面板文字激光镂空、内镶5mm透明钢化玻璃、可推拉</w:t>
            </w:r>
          </w:p>
          <w:p>
            <w:pPr>
              <w:widowControl/>
              <w:jc w:val="left"/>
              <w:textAlignment w:val="center"/>
              <w:rPr>
                <w:rStyle w:val="301"/>
                <w:rFonts w:hint="default"/>
              </w:rPr>
            </w:pPr>
            <w:r>
              <w:rPr>
                <w:rStyle w:val="301"/>
                <w:rFonts w:hint="default"/>
              </w:rPr>
              <w:t>(10)光源:IP65防护级别LED灯膜组,5500K暖白光,正面发光</w:t>
            </w:r>
          </w:p>
          <w:p>
            <w:pPr>
              <w:widowControl/>
              <w:jc w:val="left"/>
              <w:textAlignment w:val="center"/>
              <w:rPr>
                <w:rFonts w:ascii="宋体" w:hAnsi="宋体" w:cs="宋体"/>
                <w:color w:val="000000"/>
                <w:sz w:val="22"/>
                <w:szCs w:val="22"/>
              </w:rPr>
            </w:pPr>
            <w:r>
              <w:rPr>
                <w:rStyle w:val="301"/>
                <w:rFonts w:hint="default"/>
              </w:rPr>
              <w:t>(11)电源:400W防水户外LED专用电源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全新制作安装</w:t>
            </w:r>
          </w:p>
        </w:tc>
      </w:tr>
      <w:tr>
        <w:tblPrEx>
          <w:tblCellMar>
            <w:top w:w="15" w:type="dxa"/>
            <w:left w:w="15" w:type="dxa"/>
            <w:bottom w:w="15" w:type="dxa"/>
            <w:right w:w="15" w:type="dxa"/>
          </w:tblCellMar>
        </w:tblPrEx>
        <w:trPr>
          <w:trHeight w:val="196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户外宣传栏标识不锈钢烤漆立柱</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"C:\\Users\\ADMINI~1\\AppData\\Local\\Temp\\ksohtml\\clip_image16.png"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1009650" cy="447675"/>
                  <wp:effectExtent l="0" t="0" r="0" b="9525"/>
                  <wp:docPr id="3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IMG_265"/>
                          <pic:cNvPicPr>
                            <a:picLocks noChangeAspect="1"/>
                          </pic:cNvPicPr>
                        </pic:nvPicPr>
                        <pic:blipFill>
                          <a:blip r:embed="rId17" cstate="print"/>
                          <a:stretch>
                            <a:fillRect/>
                          </a:stretch>
                        </pic:blipFill>
                        <pic:spPr>
                          <a:xfrm>
                            <a:off x="0" y="0"/>
                            <a:ext cx="1009650" cy="44767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100x80x</w:t>
            </w:r>
            <w:r>
              <w:rPr>
                <w:rFonts w:hint="eastAsia" w:ascii="宋体" w:hAnsi="宋体" w:cs="宋体"/>
                <w:color w:val="000000"/>
                <w:kern w:val="0"/>
                <w:sz w:val="22"/>
                <w:szCs w:val="22"/>
                <w:lang w:val="en-US" w:eastAsia="zh-CN"/>
              </w:rPr>
              <w:t>21</w:t>
            </w:r>
            <w:r>
              <w:rPr>
                <w:rFonts w:hint="eastAsia" w:ascii="宋体" w:hAnsi="宋体" w:cs="宋体"/>
                <w:color w:val="000000"/>
                <w:kern w:val="0"/>
                <w:sz w:val="22"/>
                <w:szCs w:val="22"/>
              </w:rPr>
              <w:t>00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根</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01"/>
                <w:rFonts w:hint="default"/>
              </w:rPr>
            </w:pPr>
            <w:r>
              <w:rPr>
                <w:rStyle w:val="301"/>
                <w:rFonts w:hint="default"/>
              </w:rPr>
              <w:t>(1)尺寸:100x80x</w:t>
            </w:r>
            <w:r>
              <w:rPr>
                <w:rStyle w:val="301"/>
                <w:rFonts w:hint="eastAsia"/>
                <w:lang w:val="en-US" w:eastAsia="zh-CN"/>
              </w:rPr>
              <w:t>21</w:t>
            </w:r>
            <w:r>
              <w:rPr>
                <w:rStyle w:val="301"/>
                <w:rFonts w:hint="default"/>
              </w:rPr>
              <w:t>00</w:t>
            </w:r>
          </w:p>
          <w:p>
            <w:pPr>
              <w:widowControl/>
              <w:jc w:val="left"/>
              <w:textAlignment w:val="center"/>
              <w:rPr>
                <w:rStyle w:val="301"/>
                <w:rFonts w:hint="default"/>
              </w:rPr>
            </w:pPr>
            <w:r>
              <w:rPr>
                <w:rStyle w:val="301"/>
                <w:rFonts w:hint="default"/>
              </w:rPr>
              <w:t>(2)基座基架:SUS304#1.5mm厚不锈钢激光切割折弯成型,表面烤细闪银色漆</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trHeight w:val="720" w:hRule="atLeast"/>
        </w:trPr>
        <w:tc>
          <w:tcPr>
            <w:tcW w:w="11987" w:type="dxa"/>
            <w:gridSpan w:val="8"/>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ascii="宋体" w:hAnsi="宋体" w:cs="宋体"/>
                <w:b/>
                <w:color w:val="000000"/>
                <w:sz w:val="30"/>
                <w:szCs w:val="30"/>
              </w:rPr>
            </w:pPr>
            <w:r>
              <w:rPr>
                <w:rFonts w:hint="eastAsia" w:ascii="宋体" w:hAnsi="宋体" w:cs="宋体"/>
                <w:b/>
                <w:color w:val="000000"/>
                <w:kern w:val="0"/>
                <w:sz w:val="30"/>
                <w:szCs w:val="30"/>
                <w:lang w:eastAsia="zh-CN"/>
              </w:rPr>
              <w:t>二、</w:t>
            </w:r>
            <w:r>
              <w:rPr>
                <w:rFonts w:hint="eastAsia" w:ascii="宋体" w:hAnsi="宋体" w:cs="宋体"/>
                <w:b/>
                <w:color w:val="000000"/>
                <w:kern w:val="0"/>
                <w:sz w:val="30"/>
                <w:szCs w:val="30"/>
              </w:rPr>
              <w:t>室内标识</w:t>
            </w:r>
          </w:p>
        </w:tc>
        <w:tc>
          <w:tcPr>
            <w:tcW w:w="1467" w:type="dxa"/>
            <w:tcBorders>
              <w:top w:val="single" w:color="000000" w:sz="4" w:space="0"/>
              <w:left w:val="single" w:color="000000" w:sz="4" w:space="0"/>
              <w:bottom w:val="single" w:color="000000" w:sz="4" w:space="0"/>
              <w:right w:val="single" w:color="000000" w:sz="18"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135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药房编号标识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"C:\\Users\\ADMINI~1\\AppData\\Local\\Temp\\ksohtml\\clip_image17.png"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581025" cy="733425"/>
                  <wp:effectExtent l="0" t="0" r="9525" b="9525"/>
                  <wp:docPr id="3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descr="IMG_266"/>
                          <pic:cNvPicPr>
                            <a:picLocks noChangeAspect="1"/>
                          </pic:cNvPicPr>
                        </pic:nvPicPr>
                        <pic:blipFill>
                          <a:blip r:embed="rId18" cstate="print"/>
                          <a:stretch>
                            <a:fillRect/>
                          </a:stretch>
                        </pic:blipFill>
                        <pic:spPr>
                          <a:xfrm>
                            <a:off x="0" y="0"/>
                            <a:ext cx="581025" cy="73342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高150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(1)尺寸:高</w:t>
            </w:r>
            <w:r>
              <w:rPr>
                <w:rFonts w:hint="eastAsia" w:ascii="宋体" w:hAnsi="宋体" w:cs="宋体"/>
                <w:color w:val="000000"/>
                <w:kern w:val="0"/>
                <w:sz w:val="22"/>
                <w:szCs w:val="22"/>
                <w:lang w:val="en-US" w:eastAsia="zh-CN"/>
              </w:rPr>
              <w:t>15</w:t>
            </w:r>
            <w:r>
              <w:rPr>
                <w:rFonts w:hint="eastAsia" w:ascii="宋体" w:hAnsi="宋体" w:cs="宋体"/>
                <w:color w:val="000000"/>
                <w:kern w:val="0"/>
                <w:sz w:val="22"/>
                <w:szCs w:val="22"/>
              </w:rPr>
              <w:t>0</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(2)1.5mm厚不锈钢面板丝网印刷</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62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区域平面图</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"C:\\Users\\ADMINI~1\\AppData\\Local\\Temp\\ksohtml\\clip_image3.png"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409575" cy="876300"/>
                  <wp:effectExtent l="0" t="0" r="9525" b="0"/>
                  <wp:docPr id="3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descr="IMG_267"/>
                          <pic:cNvPicPr>
                            <a:picLocks noChangeAspect="1"/>
                          </pic:cNvPicPr>
                        </pic:nvPicPr>
                        <pic:blipFill>
                          <a:blip r:embed="rId19" cstate="print"/>
                          <a:stretch>
                            <a:fillRect/>
                          </a:stretch>
                        </pic:blipFill>
                        <pic:spPr>
                          <a:xfrm>
                            <a:off x="0" y="0"/>
                            <a:ext cx="409575" cy="8763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2350*2000*100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(1)尺寸:2350x2000x100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(7)40x40x3mm镀锌方通焊接主、副龙骨框架成型,表面防锈防腐处理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(8)SUS304#1.5mm厚不锈钢激光切割折弯成型,表面烤细闪银色漆、热转印木纹色</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(9)不锈钢面板文字激光镂空、内镶5mm透明钢化玻璃、背贴高清灯片、奶白色亚克力灯箱板、背面开检修口</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(11)电源:400W防水户外LED专用电源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62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规划平面图标识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"C:\\Users\\ADMINI~1\\AppData\\Local\\Temp\\ksohtml\\clip_image15.png"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876300" cy="742950"/>
                  <wp:effectExtent l="0" t="0" r="0" b="0"/>
                  <wp:docPr id="4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descr="IMG_264"/>
                          <pic:cNvPicPr>
                            <a:picLocks noChangeAspect="1"/>
                          </pic:cNvPicPr>
                        </pic:nvPicPr>
                        <pic:blipFill>
                          <a:blip r:embed="rId20" cstate="print"/>
                          <a:stretch>
                            <a:fillRect/>
                          </a:stretch>
                        </pic:blipFill>
                        <pic:spPr>
                          <a:xfrm>
                            <a:off x="0" y="0"/>
                            <a:ext cx="876300" cy="7429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1500*1250*80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(1)40x40x3mm镀锌方通焊接主、副龙骨框架成型,表面防锈防腐处理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(2)SUS304#1.5mm厚不锈钢激光切割折弯成型,表面烤细闪银色漆、热转印木纹色</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(3)不锈钢面板文字激光镂空、内镶5mm透明钢化玻璃、背贴高清灯片、奶白色亚克力灯箱板</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(4)光源:IP65防护级别LED灯膜组,5500K暖白光,正面发光</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全新制作安装</w:t>
            </w:r>
          </w:p>
        </w:tc>
      </w:tr>
      <w:tr>
        <w:tblPrEx>
          <w:tblCellMar>
            <w:top w:w="15" w:type="dxa"/>
            <w:left w:w="15" w:type="dxa"/>
            <w:bottom w:w="15" w:type="dxa"/>
            <w:right w:w="15" w:type="dxa"/>
          </w:tblCellMar>
        </w:tblPrEx>
        <w:trPr>
          <w:trHeight w:val="162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规划平面图标识不锈钢椭圆形基座</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"C:\\Users\\ADMINI~1\\AppData\\Local\\Temp\\ksohtml\\clip_image15.png"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876300" cy="742950"/>
                  <wp:effectExtent l="0" t="0" r="0" b="0"/>
                  <wp:docPr id="4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descr="IMG_264"/>
                          <pic:cNvPicPr>
                            <a:picLocks noChangeAspect="1"/>
                          </pic:cNvPicPr>
                        </pic:nvPicPr>
                        <pic:blipFill>
                          <a:blip r:embed="rId20" cstate="print"/>
                          <a:stretch>
                            <a:fillRect/>
                          </a:stretch>
                        </pic:blipFill>
                        <pic:spPr>
                          <a:xfrm>
                            <a:off x="0" y="0"/>
                            <a:ext cx="876300" cy="7429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1300x650x200</w:t>
            </w:r>
          </w:p>
          <w:p>
            <w:pPr>
              <w:widowControl/>
              <w:jc w:val="center"/>
              <w:textAlignment w:val="center"/>
              <w:rPr>
                <w:rFonts w:hint="eastAsia" w:ascii="宋体" w:hAnsi="宋体" w:cs="宋体"/>
                <w:color w:val="000000"/>
                <w:kern w:val="0"/>
                <w:sz w:val="22"/>
                <w:szCs w:val="22"/>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(1)尺寸:1300x650x200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(2)SUS304#1.5mm厚不锈钢激光切割折弯成型,表面烤细闪银色漆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(3)展示平面基架:50x50x3mm镀锌方通焊接主、副龙骨框架成型,表面防锈处理</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trHeight w:val="127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医护人员一览表</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"C:\\Users\\ADMINI~1\\AppData\\Local\\Temp\\ksohtml\\clip_image18.png"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904875" cy="381000"/>
                  <wp:effectExtent l="0" t="0" r="9525" b="0"/>
                  <wp:docPr id="4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descr="IMG_268"/>
                          <pic:cNvPicPr>
                            <a:picLocks noChangeAspect="1"/>
                          </pic:cNvPicPr>
                        </pic:nvPicPr>
                        <pic:blipFill>
                          <a:blip r:embed="rId21" cstate="print"/>
                          <a:stretch>
                            <a:fillRect/>
                          </a:stretch>
                        </pic:blipFill>
                        <pic:spPr>
                          <a:xfrm>
                            <a:off x="0" y="0"/>
                            <a:ext cx="904875" cy="3810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2000*800*50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(1)尺寸:2000x800x50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(2)40x40x3mm镀锌方通焊接主、副龙骨框架成型,表面防锈处理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(3)贴墙安装,膨胀螺栓与墙面固定等其他全部辅材配件及配套工艺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(5)不锈钢面板高精度喷绘车贴</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53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吊挂式指示标识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"C:\\Users\\ADMINI~1\\AppData\\Local\\Temp\\ksohtml\\clip_image19.png"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847725" cy="190500"/>
                  <wp:effectExtent l="0" t="0" r="9525" b="0"/>
                  <wp:docPr id="4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IMG_269"/>
                          <pic:cNvPicPr>
                            <a:picLocks noChangeAspect="1"/>
                          </pic:cNvPicPr>
                        </pic:nvPicPr>
                        <pic:blipFill>
                          <a:blip r:embed="rId22" cstate="print"/>
                          <a:stretch>
                            <a:fillRect/>
                          </a:stretch>
                        </pic:blipFill>
                        <pic:spPr>
                          <a:xfrm>
                            <a:off x="0" y="0"/>
                            <a:ext cx="847725" cy="1905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2000*410*90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(1)尺寸:2000x410x90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(2)40x40x3mm镀锌方通焊接主、副龙骨框架成型,表面防锈处理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(3)螺杆吊装,螺栓胶塞固定等其他全部辅材配件及配套工艺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(5)不锈钢面板激光镂空、内贴5mm奶白色亚克力灯箱板</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区域定位标识（1）</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"C:\\Users\\ADMINI~1\\AppData\\Local\\Temp\\ksohtml\\clip_image20.png"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304800" cy="857250"/>
                  <wp:effectExtent l="0" t="0" r="0" b="0"/>
                  <wp:docPr id="4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descr="IMG_270"/>
                          <pic:cNvPicPr>
                            <a:picLocks noChangeAspect="1"/>
                          </pic:cNvPicPr>
                        </pic:nvPicPr>
                        <pic:blipFill>
                          <a:blip r:embed="rId23" cstate="print"/>
                          <a:stretch>
                            <a:fillRect/>
                          </a:stretch>
                        </pic:blipFill>
                        <pic:spPr>
                          <a:xfrm>
                            <a:off x="0" y="0"/>
                            <a:ext cx="304800" cy="8572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2280*650*80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(1)尺寸:2280x650x</w:t>
            </w:r>
            <w:r>
              <w:rPr>
                <w:rFonts w:hint="eastAsia" w:ascii="宋体" w:hAnsi="宋体" w:cs="宋体"/>
                <w:color w:val="000000"/>
                <w:kern w:val="0"/>
                <w:sz w:val="22"/>
                <w:szCs w:val="22"/>
                <w:lang w:val="en-US" w:eastAsia="zh-CN"/>
              </w:rPr>
              <w:t>80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(2)40x40x3mm镀锌方通焊接主、副龙骨框架成型,表面防锈防腐处理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(3)SUS304#1.5mm厚不锈钢激光切割折弯成型,表面烤细闪银色漆、热转印木纹色</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(4)不锈钢面板文字激光镂空、内贴5mm奶白色亚克力灯箱板</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区域定位标识（2）</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"C:\\Users\\ADMINI~1\\AppData\\Local\\Temp\\ksohtml\\clip_image21.png"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647700" cy="704850"/>
                  <wp:effectExtent l="0" t="0" r="0" b="0"/>
                  <wp:docPr id="4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descr="IMG_271"/>
                          <pic:cNvPicPr>
                            <a:picLocks noChangeAspect="1"/>
                          </pic:cNvPicPr>
                        </pic:nvPicPr>
                        <pic:blipFill>
                          <a:blip r:embed="rId24" cstate="print"/>
                          <a:stretch>
                            <a:fillRect/>
                          </a:stretch>
                        </pic:blipFill>
                        <pic:spPr>
                          <a:xfrm>
                            <a:off x="0" y="0"/>
                            <a:ext cx="647700" cy="7048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450*390*50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(1)尺寸:450x390x50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(2)30x30x3mm镀锌方通焊接主、副龙骨框架成型,表面防锈防腐处理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(3)贴墙安装,膨胀螺栓与墙面固定等其他全部辅材配件及配套工艺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(5)不锈钢面板激光镂空、内贴5mm奶白色亚克力灯箱板</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(6)光源:IP65防护级别LED灯膜组,5500K暖白光,正面发光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(7)电源:400W防水户外LED专用电源</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411"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诊室编号标识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"C:\\Users\\ADMINI~1\\AppData\\Local\\Temp\\ksohtml\\clip_image22.png"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619125" cy="733425"/>
                  <wp:effectExtent l="0" t="0" r="9525" b="9525"/>
                  <wp:docPr id="4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descr="IMG_272"/>
                          <pic:cNvPicPr>
                            <a:picLocks noChangeAspect="1"/>
                          </pic:cNvPicPr>
                        </pic:nvPicPr>
                        <pic:blipFill>
                          <a:blip r:embed="rId25" cstate="print"/>
                          <a:stretch>
                            <a:fillRect/>
                          </a:stretch>
                        </pic:blipFill>
                        <pic:spPr>
                          <a:xfrm>
                            <a:off x="0" y="0"/>
                            <a:ext cx="619125" cy="73342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200*250*30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(1)尺寸:200x250x30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(2)20x20x2mm镀锌方通焊接主、副龙骨框架成型,表面防锈防腐处理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(3)贴墙安装,膨胀螺栓与墙面固定等其他全部辅材配件及配套工艺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(5)不锈钢面板丝网印刷</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门牌、病房编号标识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"C:\\Users\\ADMINI~1\\AppData\\Local\\Temp\\ksohtml\\clip_image23.png"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571500" cy="704850"/>
                  <wp:effectExtent l="0" t="0" r="0" b="0"/>
                  <wp:docPr id="4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descr="IMG_273"/>
                          <pic:cNvPicPr>
                            <a:picLocks noChangeAspect="1"/>
                          </pic:cNvPicPr>
                        </pic:nvPicPr>
                        <pic:blipFill>
                          <a:blip r:embed="rId26" cstate="print"/>
                          <a:stretch>
                            <a:fillRect/>
                          </a:stretch>
                        </pic:blipFill>
                        <pic:spPr>
                          <a:xfrm>
                            <a:off x="0" y="0"/>
                            <a:ext cx="571500" cy="7048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200*250*30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(1)尺寸:200x250x30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(2)20x20x2mm镀锌方通焊接主、副龙骨框架成型,表面防锈防腐处理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(3)贴墙安装,膨胀螺栓与墙面固定等其他全部辅材配件及配套工艺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(5)不锈钢面板丝网印刷</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贴墙式指引标识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"C:\\Users\\ADMINI~1\\AppData\\Local\\Temp\\ksohtml\\clip_image4.png"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323850" cy="828675"/>
                  <wp:effectExtent l="0" t="0" r="0" b="9525"/>
                  <wp:docPr id="4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descr="IMG_274"/>
                          <pic:cNvPicPr>
                            <a:picLocks noChangeAspect="1"/>
                          </pic:cNvPicPr>
                        </pic:nvPicPr>
                        <pic:blipFill>
                          <a:blip r:embed="rId27" cstate="print"/>
                          <a:stretch>
                            <a:fillRect/>
                          </a:stretch>
                        </pic:blipFill>
                        <pic:spPr>
                          <a:xfrm>
                            <a:off x="0" y="0"/>
                            <a:ext cx="323850" cy="82867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2000*650*50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(1)尺寸:2000x650x50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(2)40x40x3mm镀锌方通焊接主、副龙骨框架成型,表面防锈防腐处理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(3)贴墙安装,膨胀螺栓与墙面固定等其他全部辅材配件及配套工艺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(5)不锈钢面板丝网印刷</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制度牌标识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"C:\\Users\\ADMINI~1\\AppData\\Local\\Temp\\ksohtml\\clip_image24.png"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495300" cy="685800"/>
                  <wp:effectExtent l="0" t="0" r="0" b="0"/>
                  <wp:docPr id="4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descr="IMG_275"/>
                          <pic:cNvPicPr>
                            <a:picLocks noChangeAspect="1"/>
                          </pic:cNvPicPr>
                        </pic:nvPicPr>
                        <pic:blipFill>
                          <a:blip r:embed="rId28" cstate="print"/>
                          <a:stretch>
                            <a:fillRect/>
                          </a:stretch>
                        </pic:blipFill>
                        <pic:spPr>
                          <a:xfrm>
                            <a:off x="0" y="0"/>
                            <a:ext cx="495300" cy="6858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Style w:val="301"/>
                <w:rFonts w:hint="default"/>
              </w:rPr>
              <w:t>600*900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(1)尺寸:600x900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(2)贴墙安装,膨胀螺栓与墙面固定等其他全部辅材配件及配套工艺</w:t>
            </w:r>
          </w:p>
          <w:p>
            <w:pPr>
              <w:widowControl/>
              <w:ind w:left="2640" w:hanging="2640" w:hangingChars="1200"/>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(3)3+3mm透明亚克力激光切割成型</w:t>
            </w:r>
            <w:r>
              <w:rPr>
                <w:rFonts w:hint="eastAsia" w:ascii="宋体" w:hAnsi="宋体" w:cs="宋体"/>
                <w:color w:val="000000"/>
                <w:kern w:val="0"/>
                <w:sz w:val="22"/>
                <w:szCs w:val="22"/>
                <w:lang w:val="en-US" w:eastAsia="zh-CN"/>
              </w:rPr>
              <w:t xml:space="preserve">            </w:t>
            </w:r>
          </w:p>
          <w:p>
            <w:pPr>
              <w:widowControl/>
              <w:ind w:left="2640" w:hanging="2640" w:hangingChars="1200"/>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(4)表面热转印木纹色</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)亚克力中间夹画为高清喷绘</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6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门头区域定位标识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"C:\\Users\\ADMINI~1\\AppData\\Local\\Temp\\ksohtml\\clip_image25.png"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866775" cy="276225"/>
                  <wp:effectExtent l="0" t="0" r="9525" b="9525"/>
                  <wp:docPr id="5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descr="IMG_276"/>
                          <pic:cNvPicPr>
                            <a:picLocks noChangeAspect="1"/>
                          </pic:cNvPicPr>
                        </pic:nvPicPr>
                        <pic:blipFill>
                          <a:blip r:embed="rId29" cstate="print"/>
                          <a:stretch>
                            <a:fillRect/>
                          </a:stretch>
                        </pic:blipFill>
                        <pic:spPr>
                          <a:xfrm>
                            <a:off x="0" y="0"/>
                            <a:ext cx="866775" cy="27622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1500*450*50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(1)尺寸:1500x450x50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(2)40x40x3mm镀锌方通焊接主、副龙骨框架成型,表面防锈防腐处理</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(3)贴墙安装,膨胀螺栓与墙面固定等其他全部辅材配件及配套工艺</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(4)SUS304#1.5mm厚不锈钢激光切割折弯成型,表面烤细闪银色漆、热转印木纹色</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(5)不锈钢面板激光镂空、内贴5mm奶白色亚克力灯箱板</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60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电梯门头区域定位标识</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"C:\\Users\\ADMINI~1\\AppData\\Local\\Temp\\ksohtml\\clip_image26.png"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904875" cy="323850"/>
                  <wp:effectExtent l="0" t="0" r="9525" b="0"/>
                  <wp:docPr id="51"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descr="IMG_277"/>
                          <pic:cNvPicPr>
                            <a:picLocks noChangeAspect="1"/>
                          </pic:cNvPicPr>
                        </pic:nvPicPr>
                        <pic:blipFill>
                          <a:blip r:embed="rId30" cstate="print"/>
                          <a:stretch>
                            <a:fillRect/>
                          </a:stretch>
                        </pic:blipFill>
                        <pic:spPr>
                          <a:xfrm>
                            <a:off x="0" y="0"/>
                            <a:ext cx="904875" cy="32385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1500*450*50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01"/>
                <w:rFonts w:hint="default"/>
              </w:rPr>
            </w:pPr>
            <w:r>
              <w:rPr>
                <w:rStyle w:val="301"/>
                <w:rFonts w:hint="default"/>
              </w:rPr>
              <w:t>(1)尺寸:1500x450x50</w:t>
            </w:r>
          </w:p>
          <w:p>
            <w:pPr>
              <w:widowControl/>
              <w:jc w:val="left"/>
              <w:textAlignment w:val="center"/>
              <w:rPr>
                <w:rStyle w:val="301"/>
                <w:rFonts w:hint="default"/>
              </w:rPr>
            </w:pPr>
            <w:r>
              <w:rPr>
                <w:rStyle w:val="301"/>
                <w:rFonts w:hint="default"/>
              </w:rPr>
              <w:t>(2)40x40x3mm镀锌方通焊接主、副龙骨框架成型,表面防锈防腐处理</w:t>
            </w:r>
          </w:p>
          <w:p>
            <w:pPr>
              <w:widowControl/>
              <w:jc w:val="left"/>
              <w:textAlignment w:val="center"/>
              <w:rPr>
                <w:rStyle w:val="301"/>
                <w:rFonts w:hint="default"/>
              </w:rPr>
            </w:pPr>
            <w:r>
              <w:rPr>
                <w:rStyle w:val="301"/>
                <w:rFonts w:hint="default"/>
              </w:rPr>
              <w:t>(3)贴墙安装,膨胀螺栓与墙面固定等其他全部辅材配件及配套工艺</w:t>
            </w:r>
          </w:p>
          <w:p>
            <w:pPr>
              <w:widowControl/>
              <w:jc w:val="left"/>
              <w:textAlignment w:val="center"/>
              <w:rPr>
                <w:rStyle w:val="301"/>
                <w:rFonts w:hint="default"/>
              </w:rPr>
            </w:pPr>
            <w:r>
              <w:rPr>
                <w:rStyle w:val="301"/>
                <w:rFonts w:hint="default"/>
              </w:rPr>
              <w:t>(4)SUS304#1.5mm厚不锈钢激光切割折弯成型,表面烤细闪银色漆、热转印木纹色</w:t>
            </w:r>
          </w:p>
          <w:p>
            <w:pPr>
              <w:widowControl/>
              <w:jc w:val="left"/>
              <w:textAlignment w:val="center"/>
              <w:rPr>
                <w:rFonts w:ascii="宋体" w:hAnsi="宋体" w:cs="宋体"/>
                <w:color w:val="000000"/>
                <w:sz w:val="22"/>
                <w:szCs w:val="22"/>
              </w:rPr>
            </w:pPr>
            <w:r>
              <w:rPr>
                <w:rStyle w:val="301"/>
                <w:rFonts w:hint="default"/>
              </w:rPr>
              <w:t>(9)不锈钢面板激光镂空、内贴5mm奶白色亚克力灯箱板</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洗手间标识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"C:\\Users\\ADMINI~1\\AppData\\Local\\Temp\\ksohtml\\clip_image5.png"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666750" cy="809625"/>
                  <wp:effectExtent l="0" t="0" r="0" b="9525"/>
                  <wp:docPr id="52"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descr="IMG_278"/>
                          <pic:cNvPicPr>
                            <a:picLocks noChangeAspect="1"/>
                          </pic:cNvPicPr>
                        </pic:nvPicPr>
                        <pic:blipFill>
                          <a:blip r:embed="rId31" cstate="print"/>
                          <a:stretch>
                            <a:fillRect/>
                          </a:stretch>
                        </pic:blipFill>
                        <pic:spPr>
                          <a:xfrm>
                            <a:off x="0" y="0"/>
                            <a:ext cx="666750" cy="80962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高150mm</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(1)尺寸:高150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(2)贴墙安装,膨胀螺栓与墙面固定等其他全部辅材配件及配套工艺</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(3)5mm厚黑色亚克力激光雕刻成型,表面烤漆、热转印木纹色</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洗手间标识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"C:\\Users\\ADMINI~1\\AppData\\Local\\Temp\\ksohtml\\clip_image6.png"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285750" cy="533400"/>
                  <wp:effectExtent l="0" t="0" r="0" b="0"/>
                  <wp:docPr id="5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descr="IMG_279"/>
                          <pic:cNvPicPr>
                            <a:picLocks noChangeAspect="1"/>
                          </pic:cNvPicPr>
                        </pic:nvPicPr>
                        <pic:blipFill>
                          <a:blip r:embed="rId32" cstate="print"/>
                          <a:stretch>
                            <a:fillRect/>
                          </a:stretch>
                        </pic:blipFill>
                        <pic:spPr>
                          <a:xfrm>
                            <a:off x="0" y="0"/>
                            <a:ext cx="285750" cy="533400"/>
                          </a:xfrm>
                          <a:prstGeom prst="rect">
                            <a:avLst/>
                          </a:prstGeom>
                          <a:noFill/>
                          <a:ln>
                            <a:noFill/>
                          </a:ln>
                        </pic:spPr>
                      </pic:pic>
                    </a:graphicData>
                  </a:graphic>
                </wp:inline>
              </w:drawing>
            </w:r>
            <w:r>
              <w:rPr>
                <w:rFonts w:hint="eastAsia" w:ascii="宋体" w:hAnsi="宋体" w:cs="宋体"/>
                <w:color w:val="000000"/>
                <w:kern w:val="0"/>
                <w:sz w:val="22"/>
                <w:szCs w:val="22"/>
              </w:rPr>
              <w:fldChar w:fldCharType="end"/>
            </w:r>
            <w:r>
              <w:rPr>
                <w:rFonts w:hint="eastAsia" w:ascii="宋体" w:hAnsi="宋体" w:cs="宋体"/>
                <w:color w:val="000000"/>
                <w:kern w:val="0"/>
                <w:sz w:val="22"/>
                <w:szCs w:val="22"/>
              </w:rPr>
              <w:fldChar w:fldCharType="begin"/>
            </w:r>
            <w:r>
              <w:rPr>
                <w:rFonts w:hint="eastAsia" w:ascii="宋体" w:hAnsi="宋体" w:cs="宋体"/>
                <w:color w:val="000000"/>
                <w:kern w:val="0"/>
                <w:sz w:val="22"/>
                <w:szCs w:val="22"/>
              </w:rPr>
              <w:instrText xml:space="preserve">INCLUDEPICTURE \d "C:\\Users\\ADMINI~1\\AppData\\Local\\Temp\\ksohtml\\clip_image7.png" \* MERGEFORMATINET </w:instrText>
            </w:r>
            <w:r>
              <w:rPr>
                <w:rFonts w:hint="eastAsia" w:ascii="宋体" w:hAnsi="宋体" w:cs="宋体"/>
                <w:color w:val="000000"/>
                <w:kern w:val="0"/>
                <w:sz w:val="22"/>
                <w:szCs w:val="22"/>
              </w:rPr>
              <w:fldChar w:fldCharType="separate"/>
            </w:r>
            <w:r>
              <w:rPr>
                <w:rFonts w:hint="eastAsia" w:ascii="宋体" w:hAnsi="宋体" w:cs="宋体"/>
                <w:color w:val="000000"/>
                <w:kern w:val="0"/>
                <w:sz w:val="22"/>
                <w:szCs w:val="22"/>
              </w:rPr>
              <w:drawing>
                <wp:inline distT="0" distB="0" distL="114300" distR="114300">
                  <wp:extent cx="257175" cy="523875"/>
                  <wp:effectExtent l="0" t="0" r="9525" b="9525"/>
                  <wp:docPr id="5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5" descr="IMG_280"/>
                          <pic:cNvPicPr>
                            <a:picLocks noChangeAspect="1"/>
                          </pic:cNvPicPr>
                        </pic:nvPicPr>
                        <pic:blipFill>
                          <a:blip r:embed="rId33" cstate="print"/>
                          <a:stretch>
                            <a:fillRect/>
                          </a:stretch>
                        </pic:blipFill>
                        <pic:spPr>
                          <a:xfrm>
                            <a:off x="0" y="0"/>
                            <a:ext cx="257175" cy="523875"/>
                          </a:xfrm>
                          <a:prstGeom prst="rect">
                            <a:avLst/>
                          </a:prstGeom>
                          <a:noFill/>
                          <a:ln>
                            <a:noFill/>
                          </a:ln>
                        </pic:spPr>
                      </pic:pic>
                    </a:graphicData>
                  </a:graphic>
                </wp:inline>
              </w:drawing>
            </w:r>
            <w:r>
              <w:rPr>
                <w:rFonts w:hint="eastAsia" w:ascii="宋体" w:hAnsi="宋体" w:cs="宋体"/>
                <w:color w:val="000000"/>
                <w:kern w:val="0"/>
                <w:sz w:val="22"/>
                <w:szCs w:val="22"/>
              </w:rPr>
              <w:fldChar w:fldCharType="end"/>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高150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(1)尺寸:高150</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(2)贴墙安装,膨胀螺栓与墙面固定等其他全部辅材配件及配套工艺</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(3)5mm厚黑色亚克力激光雕刻成型,表面烤漆、热转印木纹色</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拆除旧招牌,全新制作安装</w:t>
            </w:r>
          </w:p>
        </w:tc>
      </w:tr>
      <w:tr>
        <w:tblPrEx>
          <w:tblCellMar>
            <w:top w:w="15" w:type="dxa"/>
            <w:left w:w="15" w:type="dxa"/>
            <w:bottom w:w="15" w:type="dxa"/>
            <w:right w:w="15" w:type="dxa"/>
          </w:tblCellMar>
        </w:tblPrEx>
        <w:trPr>
          <w:trHeight w:val="65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其他拆除</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(1)拆除原来</w:t>
            </w:r>
            <w:r>
              <w:rPr>
                <w:rFonts w:hint="eastAsia" w:ascii="宋体" w:hAnsi="宋体" w:cs="宋体"/>
                <w:color w:val="000000"/>
                <w:kern w:val="0"/>
                <w:sz w:val="22"/>
                <w:szCs w:val="22"/>
                <w:lang w:eastAsia="zh-CN"/>
              </w:rPr>
              <w:t>标识</w:t>
            </w:r>
            <w:r>
              <w:rPr>
                <w:rFonts w:hint="eastAsia" w:ascii="宋体" w:hAnsi="宋体" w:cs="宋体"/>
                <w:color w:val="000000"/>
                <w:kern w:val="0"/>
                <w:sz w:val="22"/>
                <w:szCs w:val="22"/>
              </w:rPr>
              <w:t>标牌</w:t>
            </w:r>
            <w:r>
              <w:rPr>
                <w:rFonts w:hint="eastAsia" w:ascii="宋体" w:hAnsi="宋体" w:cs="宋体"/>
                <w:color w:val="000000"/>
                <w:kern w:val="0"/>
                <w:sz w:val="22"/>
                <w:szCs w:val="22"/>
                <w:lang w:eastAsia="zh-CN"/>
              </w:rPr>
              <w:t>及其它零星项目</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left"/>
              <w:textAlignment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trHeight w:val="1395" w:hRule="atLeast"/>
        </w:trPr>
        <w:tc>
          <w:tcPr>
            <w:tcW w:w="435" w:type="dxa"/>
            <w:tcBorders>
              <w:top w:val="single" w:color="000000" w:sz="4"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1110" w:type="dxa"/>
            <w:gridSpan w:val="2"/>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墙面</w:t>
            </w:r>
            <w:r>
              <w:rPr>
                <w:rFonts w:hint="eastAsia" w:ascii="宋体" w:hAnsi="宋体" w:cs="宋体"/>
                <w:color w:val="000000"/>
                <w:kern w:val="0"/>
                <w:sz w:val="22"/>
                <w:szCs w:val="22"/>
                <w:lang w:eastAsia="zh-CN"/>
              </w:rPr>
              <w:t>局部</w:t>
            </w:r>
            <w:r>
              <w:rPr>
                <w:rFonts w:hint="eastAsia" w:ascii="宋体" w:hAnsi="宋体" w:cs="宋体"/>
                <w:color w:val="000000"/>
                <w:kern w:val="0"/>
                <w:sz w:val="22"/>
                <w:szCs w:val="22"/>
              </w:rPr>
              <w:t>修补维修</w:t>
            </w:r>
          </w:p>
        </w:tc>
        <w:tc>
          <w:tcPr>
            <w:tcW w:w="1635" w:type="dxa"/>
            <w:tcBorders>
              <w:top w:val="single" w:color="000000" w:sz="4" w:space="0"/>
              <w:left w:val="single" w:color="000000" w:sz="4" w:space="0"/>
              <w:bottom w:val="single" w:color="000000" w:sz="18" w:space="0"/>
              <w:right w:val="single" w:color="000000" w:sz="4" w:space="0"/>
            </w:tcBorders>
            <w:vAlign w:val="center"/>
          </w:tcPr>
          <w:p>
            <w:pPr>
              <w:widowControl/>
              <w:jc w:val="left"/>
              <w:textAlignment w:val="center"/>
              <w:rPr>
                <w:rFonts w:hint="eastAsia" w:ascii="宋体" w:hAnsi="宋体" w:cs="宋体"/>
                <w:color w:val="000000"/>
                <w:kern w:val="0"/>
                <w:sz w:val="22"/>
                <w:szCs w:val="22"/>
              </w:rPr>
            </w:pPr>
          </w:p>
        </w:tc>
        <w:tc>
          <w:tcPr>
            <w:tcW w:w="181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p>
        </w:tc>
        <w:tc>
          <w:tcPr>
            <w:tcW w:w="64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820</w:t>
            </w:r>
          </w:p>
        </w:tc>
        <w:tc>
          <w:tcPr>
            <w:tcW w:w="63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w:t>
            </w:r>
          </w:p>
        </w:tc>
        <w:tc>
          <w:tcPr>
            <w:tcW w:w="5717" w:type="dxa"/>
            <w:tcBorders>
              <w:top w:val="single" w:color="000000" w:sz="4" w:space="0"/>
              <w:left w:val="single" w:color="000000" w:sz="4" w:space="0"/>
              <w:bottom w:val="single" w:color="000000" w:sz="18" w:space="0"/>
              <w:right w:val="single" w:color="000000" w:sz="4" w:space="0"/>
            </w:tcBorders>
            <w:vAlign w:val="center"/>
          </w:tcPr>
          <w:p>
            <w:pPr>
              <w:widowControl/>
              <w:jc w:val="left"/>
              <w:textAlignment w:val="center"/>
              <w:rPr>
                <w:rFonts w:hint="eastAsia"/>
              </w:rPr>
            </w:pPr>
            <w:r>
              <w:rPr>
                <w:rFonts w:hint="eastAsia" w:ascii="宋体" w:hAnsi="宋体" w:cs="宋体"/>
                <w:color w:val="000000"/>
                <w:kern w:val="0"/>
                <w:sz w:val="22"/>
                <w:szCs w:val="22"/>
              </w:rPr>
              <w:t>(1)</w:t>
            </w:r>
            <w:r>
              <w:rPr>
                <w:rFonts w:hint="eastAsia"/>
              </w:rPr>
              <w:t>基层类型、部位:内墙面</w:t>
            </w:r>
          </w:p>
          <w:p>
            <w:pPr>
              <w:widowControl/>
              <w:jc w:val="left"/>
              <w:textAlignment w:val="center"/>
              <w:rPr>
                <w:rFonts w:hint="eastAsia"/>
              </w:rPr>
            </w:pPr>
            <w:r>
              <w:rPr>
                <w:rFonts w:hint="eastAsia"/>
                <w:lang w:eastAsia="zh-CN"/>
              </w:rPr>
              <w:t>(2)</w:t>
            </w:r>
            <w:r>
              <w:rPr>
                <w:rFonts w:hint="eastAsia"/>
              </w:rPr>
              <w:t>底层厚度、砂浆配合比:</w:t>
            </w:r>
            <w:r>
              <w:rPr>
                <w:rFonts w:hint="eastAsia"/>
                <w:lang w:eastAsia="zh-CN"/>
              </w:rPr>
              <w:t>刷界面剂，</w:t>
            </w:r>
            <w:r>
              <w:rPr>
                <w:rFonts w:hint="eastAsia"/>
                <w:lang w:val="en-US" w:eastAsia="zh-CN"/>
              </w:rPr>
              <w:t>1:3水泥砂浆</w:t>
            </w:r>
            <w:r>
              <w:rPr>
                <w:rFonts w:hint="eastAsia"/>
              </w:rPr>
              <w:t>抹灰</w:t>
            </w:r>
          </w:p>
          <w:p>
            <w:pPr>
              <w:widowControl/>
              <w:jc w:val="left"/>
              <w:textAlignment w:val="center"/>
              <w:rPr>
                <w:rFonts w:hint="eastAsia"/>
              </w:rPr>
            </w:pPr>
            <w:r>
              <w:rPr>
                <w:rFonts w:hint="eastAsia"/>
                <w:lang w:eastAsia="zh-CN"/>
              </w:rPr>
              <w:t>(3)</w:t>
            </w:r>
            <w:r>
              <w:rPr>
                <w:rFonts w:hint="eastAsia"/>
              </w:rPr>
              <w:t>面层厚度:</w:t>
            </w:r>
            <w:r>
              <w:rPr>
                <w:rFonts w:hint="eastAsia" w:ascii="Times New Roman" w:hAnsi="Times New Roman" w:eastAsia="宋体" w:cs="Times New Roman"/>
                <w:b w:val="0"/>
                <w:bCs w:val="0"/>
                <w:kern w:val="2"/>
                <w:sz w:val="21"/>
                <w:szCs w:val="24"/>
                <w:lang w:val="en-US" w:eastAsia="zh-CN" w:bidi="ar-SA"/>
              </w:rPr>
              <w:t>装饰面材料种类:同墙面装饰面</w:t>
            </w:r>
            <w:r>
              <w:rPr>
                <w:rFonts w:hint="eastAsia" w:cs="Times New Roman"/>
                <w:b w:val="0"/>
                <w:bCs w:val="0"/>
                <w:kern w:val="2"/>
                <w:sz w:val="21"/>
                <w:szCs w:val="24"/>
                <w:lang w:val="en-US" w:eastAsia="zh-CN" w:bidi="ar-SA"/>
              </w:rPr>
              <w:t>，</w:t>
            </w:r>
            <w:r>
              <w:rPr>
                <w:rFonts w:hint="eastAsia"/>
                <w:lang w:eastAsia="zh-CN"/>
              </w:rPr>
              <w:t>乳胶漆饰面，一底两面</w:t>
            </w:r>
          </w:p>
        </w:tc>
        <w:tc>
          <w:tcPr>
            <w:tcW w:w="1467" w:type="dxa"/>
            <w:tcBorders>
              <w:top w:val="single" w:color="000000" w:sz="4" w:space="0"/>
              <w:left w:val="single" w:color="000000" w:sz="4" w:space="0"/>
              <w:bottom w:val="single" w:color="000000" w:sz="18" w:space="0"/>
              <w:right w:val="single" w:color="000000" w:sz="18"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原旧标识标牌拆除后</w:t>
            </w:r>
            <w:r>
              <w:rPr>
                <w:rFonts w:hint="eastAsia" w:ascii="宋体" w:hAnsi="宋体" w:cs="宋体"/>
                <w:color w:val="000000"/>
                <w:kern w:val="0"/>
                <w:sz w:val="22"/>
                <w:szCs w:val="22"/>
              </w:rPr>
              <w:t>墙面</w:t>
            </w:r>
            <w:r>
              <w:rPr>
                <w:rFonts w:hint="eastAsia" w:ascii="宋体" w:hAnsi="宋体" w:cs="宋体"/>
                <w:color w:val="000000"/>
                <w:kern w:val="0"/>
                <w:sz w:val="22"/>
                <w:szCs w:val="22"/>
                <w:lang w:eastAsia="zh-CN"/>
              </w:rPr>
              <w:t>局部</w:t>
            </w:r>
            <w:r>
              <w:rPr>
                <w:rFonts w:hint="eastAsia" w:ascii="宋体" w:hAnsi="宋体" w:cs="宋体"/>
                <w:color w:val="000000"/>
                <w:kern w:val="0"/>
                <w:sz w:val="22"/>
                <w:szCs w:val="22"/>
              </w:rPr>
              <w:t>修补维修</w:t>
            </w:r>
          </w:p>
        </w:tc>
      </w:tr>
      <w:tr>
        <w:tblPrEx>
          <w:tblCellMar>
            <w:top w:w="15" w:type="dxa"/>
            <w:left w:w="15" w:type="dxa"/>
            <w:bottom w:w="15" w:type="dxa"/>
            <w:right w:w="15" w:type="dxa"/>
          </w:tblCellMar>
        </w:tblPrEx>
        <w:trPr>
          <w:trHeight w:val="865" w:hRule="atLeast"/>
        </w:trPr>
        <w:tc>
          <w:tcPr>
            <w:tcW w:w="11987" w:type="dxa"/>
            <w:gridSpan w:val="8"/>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30"/>
                <w:szCs w:val="30"/>
                <w:lang w:val="en-US" w:eastAsia="zh-CN"/>
              </w:rPr>
            </w:pPr>
            <w:r>
              <w:rPr>
                <w:rFonts w:hint="eastAsia" w:ascii="宋体" w:hAnsi="宋体" w:cs="宋体"/>
                <w:b/>
                <w:color w:val="000000"/>
                <w:kern w:val="0"/>
                <w:sz w:val="30"/>
                <w:szCs w:val="30"/>
                <w:lang w:val="en-US" w:eastAsia="zh-CN"/>
              </w:rPr>
              <w:t>三、标识标牌配套电气部分(7栋楼)</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b/>
                <w:color w:val="000000"/>
                <w:kern w:val="0"/>
                <w:sz w:val="30"/>
                <w:szCs w:val="30"/>
                <w:lang w:eastAsia="zh-CN"/>
              </w:rPr>
            </w:pPr>
          </w:p>
        </w:tc>
      </w:tr>
      <w:tr>
        <w:tblPrEx>
          <w:tblCellMar>
            <w:top w:w="15" w:type="dxa"/>
            <w:left w:w="15" w:type="dxa"/>
            <w:bottom w:w="15" w:type="dxa"/>
            <w:right w:w="15" w:type="dxa"/>
          </w:tblCellMar>
        </w:tblPrEx>
        <w:trPr>
          <w:trHeight w:val="80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配电箱</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 xml:space="preserve">名称:总配电箱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(2)安装方式:明装</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695"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配电箱</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(1)名称:分户配电箱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(2)安装方式:明装</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848"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配管</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2601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(1)名称:镀锌电线管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 xml:space="preserve">(2)材质:钢管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 xml:space="preserve">(3)规格:DN25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(4)配置形式:暗配</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134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配管</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(1)名称:镀锌电线管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 xml:space="preserve">(2)材质:钢管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 xml:space="preserve">(3)规格:DN50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(4)配置形式:暗配</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73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(1)名称:ZR-BV-3*2.5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(2)配线形式:穿管敷设</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70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460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(1)名称:ZR-YJV-5*6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(2)配线形式:穿管敷设</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700"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1400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(1)名称:RVV-3*2.5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(2)配线形式:穿管敷设</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784"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凿(压)槽</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2601</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(1)名称:凿槽恢复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(2)规格:DN25</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798" w:hRule="atLeast"/>
        </w:trPr>
        <w:tc>
          <w:tcPr>
            <w:tcW w:w="435" w:type="dxa"/>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w:t>
            </w:r>
          </w:p>
        </w:tc>
        <w:tc>
          <w:tcPr>
            <w:tcW w:w="7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凿(压)槽</w:t>
            </w:r>
          </w:p>
        </w:tc>
        <w:tc>
          <w:tcPr>
            <w:tcW w:w="198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571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(1)名称:凿槽恢复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(2)规格:DN50</w:t>
            </w:r>
          </w:p>
        </w:tc>
        <w:tc>
          <w:tcPr>
            <w:tcW w:w="1467"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r>
        <w:tblPrEx>
          <w:tblCellMar>
            <w:top w:w="15" w:type="dxa"/>
            <w:left w:w="15" w:type="dxa"/>
            <w:bottom w:w="15" w:type="dxa"/>
            <w:right w:w="15" w:type="dxa"/>
          </w:tblCellMar>
        </w:tblPrEx>
        <w:trPr>
          <w:trHeight w:val="1200" w:hRule="atLeast"/>
        </w:trPr>
        <w:tc>
          <w:tcPr>
            <w:tcW w:w="435" w:type="dxa"/>
            <w:tcBorders>
              <w:top w:val="single" w:color="000000" w:sz="4" w:space="0"/>
              <w:left w:val="single" w:color="000000" w:sz="18" w:space="0"/>
              <w:bottom w:val="single" w:color="000000" w:sz="18"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w:t>
            </w:r>
          </w:p>
        </w:tc>
        <w:tc>
          <w:tcPr>
            <w:tcW w:w="765" w:type="dxa"/>
            <w:tcBorders>
              <w:top w:val="single" w:color="000000" w:sz="4" w:space="0"/>
              <w:left w:val="single" w:color="000000" w:sz="4" w:space="0"/>
              <w:bottom w:val="single" w:color="000000" w:sz="18"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接线盒</w:t>
            </w:r>
          </w:p>
        </w:tc>
        <w:tc>
          <w:tcPr>
            <w:tcW w:w="1980" w:type="dxa"/>
            <w:gridSpan w:val="2"/>
            <w:tcBorders>
              <w:top w:val="single" w:color="000000" w:sz="4" w:space="0"/>
              <w:left w:val="single" w:color="000000" w:sz="4" w:space="0"/>
              <w:bottom w:val="single" w:color="000000" w:sz="18"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815" w:type="dxa"/>
            <w:tcBorders>
              <w:top w:val="single" w:color="000000" w:sz="4" w:space="0"/>
              <w:left w:val="single" w:color="000000" w:sz="4" w:space="0"/>
              <w:bottom w:val="single" w:color="000000" w:sz="18"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645" w:type="dxa"/>
            <w:tcBorders>
              <w:top w:val="single" w:color="000000" w:sz="4" w:space="0"/>
              <w:left w:val="single" w:color="000000" w:sz="4" w:space="0"/>
              <w:bottom w:val="single" w:color="000000" w:sz="18"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110</w:t>
            </w:r>
          </w:p>
        </w:tc>
        <w:tc>
          <w:tcPr>
            <w:tcW w:w="630" w:type="dxa"/>
            <w:tcBorders>
              <w:top w:val="single" w:color="000000" w:sz="4" w:space="0"/>
              <w:left w:val="single" w:color="000000" w:sz="4" w:space="0"/>
              <w:bottom w:val="single" w:color="000000" w:sz="18"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c>
          <w:tcPr>
            <w:tcW w:w="5717" w:type="dxa"/>
            <w:tcBorders>
              <w:top w:val="single" w:color="000000" w:sz="4" w:space="0"/>
              <w:left w:val="single" w:color="000000" w:sz="4" w:space="0"/>
              <w:bottom w:val="single" w:color="000000" w:sz="18" w:space="0"/>
              <w:right w:val="single" w:color="000000" w:sz="4" w:space="0"/>
            </w:tcBorders>
            <w:vAlign w:val="center"/>
          </w:tcPr>
          <w:p>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(1)名称:塑料接线盒 86系列(深40mm)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 xml:space="preserve">(2)材质:PVC </w:t>
            </w:r>
            <w:r>
              <w:rPr>
                <w:rFonts w:hint="eastAsia" w:ascii="宋体" w:hAnsi="宋体" w:cs="宋体"/>
                <w:color w:val="000000"/>
                <w:kern w:val="0"/>
                <w:sz w:val="22"/>
                <w:szCs w:val="22"/>
                <w:lang w:val="en-US" w:eastAsia="zh-CN"/>
              </w:rPr>
              <w:br w:type="textWrapping"/>
            </w:r>
            <w:r>
              <w:rPr>
                <w:rFonts w:hint="eastAsia" w:ascii="宋体" w:hAnsi="宋体" w:cs="宋体"/>
                <w:color w:val="000000"/>
                <w:kern w:val="0"/>
                <w:sz w:val="22"/>
                <w:szCs w:val="22"/>
                <w:lang w:val="en-US" w:eastAsia="zh-CN"/>
              </w:rPr>
              <w:t>(3)安装形式:暗装</w:t>
            </w:r>
          </w:p>
        </w:tc>
        <w:tc>
          <w:tcPr>
            <w:tcW w:w="1467" w:type="dxa"/>
            <w:tcBorders>
              <w:top w:val="single" w:color="000000" w:sz="4" w:space="0"/>
              <w:left w:val="single" w:color="000000" w:sz="4" w:space="0"/>
              <w:bottom w:val="single" w:color="000000" w:sz="18" w:space="0"/>
              <w:right w:val="single" w:color="000000" w:sz="18" w:space="0"/>
            </w:tcBorders>
            <w:vAlign w:val="center"/>
          </w:tcPr>
          <w:p>
            <w:pPr>
              <w:widowControl/>
              <w:jc w:val="center"/>
              <w:textAlignment w:val="center"/>
              <w:rPr>
                <w:rFonts w:hint="eastAsia" w:ascii="宋体" w:hAnsi="宋体" w:cs="宋体"/>
                <w:color w:val="000000"/>
                <w:kern w:val="0"/>
                <w:sz w:val="22"/>
                <w:szCs w:val="22"/>
                <w:lang w:val="en-US" w:eastAsia="zh-CN"/>
              </w:rPr>
            </w:pPr>
          </w:p>
        </w:tc>
      </w:tr>
    </w:tbl>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3</w:t>
      </w:r>
      <w:r>
        <w:rPr>
          <w:rFonts w:hint="eastAsia"/>
          <w:b/>
          <w:bCs/>
        </w:rPr>
        <w:t>.</w:t>
      </w:r>
      <w:r>
        <w:rPr>
          <w:rFonts w:hint="eastAsia"/>
          <w:b/>
          <w:bCs/>
          <w:lang w:val="en-US" w:eastAsia="zh-CN"/>
        </w:rPr>
        <w:t>1详细</w:t>
      </w:r>
      <w:r>
        <w:rPr>
          <w:rFonts w:hint="eastAsia"/>
          <w:b/>
          <w:bCs/>
        </w:rPr>
        <w:t>技术要求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1.严格按照招标人提供的设计图纸及要求进行产品加工、安装及根据现场要求的设计深化，要求符合医院的功能性质和原有的视觉识别系统，标识标牌识别度高；</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2.工艺上采用机器成型，材质根据要求为不锈钢、铝板、烤金属漆等；内龙骨架焊接，铝板折弯成型、铝面板烤漆、面板丝印、组装、测试、出厂。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3.图纸深化方案经招标人批准后方可进行制作和安装。设计及产品制作安装后的尺寸比例、外观效果应与平面效果图相符。</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4.成批产品批量制作安装前，投标人应先制作安装单个产品供招标人确认。</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5.安装工应持有国家规定的相应的特种操作上岗证。</w:t>
      </w:r>
    </w:p>
    <w:p>
      <w:pPr>
        <w:pStyle w:val="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3</w:t>
      </w:r>
      <w:r>
        <w:rPr>
          <w:rFonts w:hint="eastAsia"/>
          <w:b/>
          <w:bCs/>
        </w:rPr>
        <w:t>.2工艺标准及产品质量技术要求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1.所有标牌的图形符合GB10001-94公共信息标志图形符号的规定，以及相关的国家，行业标准要求。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2.产品所使用的各种钢材均应使用国标钢材，焊接均为满焊，并应打磨光滑。折边及连接缝光滑平顺。</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3.产品使用的其他材料应为优质产品，并符合环保要求，所含有的可能危害环境和人体健康的元素不得超过限量标准。</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4.发光标牌保证亮度均匀一致，所有发光标牌均要考虑安装及检修的方便。</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5.所有标牌的安装挂件、预埋件，螺栓均采用镀锌防腐处理。户外产品应特别做好防腐、防水、防紫外线老化的措施。</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6.产品烤漆表面应保证光滑致密，可靠耐磨，无明显气泡、划痕、鼓包等瑕疵。丝网印刷和反光膜字符、图画应清晰平正、无明显瑕疵。</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7.标识各部应连接可靠、整体横平竖直，埋地的产品稳固牢靠，抗风耐雨，不得歪斜松动。</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8.标牌切口不留有毛刺、金属削及其他污染物。标牌成品的表面，不论是表面或其他涂层，均无划痕和碰损。</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9.存在管、柱等空腔构件的标识应将空腔密封，不得暴露（泄水孔除外）。</w:t>
      </w:r>
    </w:p>
    <w:p>
      <w:pPr>
        <w:pStyle w:val="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3</w:t>
      </w:r>
      <w:r>
        <w:rPr>
          <w:rFonts w:hint="eastAsia"/>
          <w:b/>
          <w:bCs/>
        </w:rPr>
        <w:t>.3应用材料及相关标准参数说明</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1、型钢 本项目各规格型钢主要用于标识牌的主骨架，主体及横纵构件均采用HPB235A优质碳素结构钢，化学成分含量含C0.14～0.22%、Mn0.30～0.65、Si≦0.30s﹤0.050P≤0.045。</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标识本体钢结构承重部分采用的钢材及其连接材料应符合《钢 结构设计规范》GB50017的规定。标识本体钢结构非承重部分所采用的不锈钢(为SUS304#)、合金铝材等其他金属材料应分别符合相应的现行国家标准的规定。</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2、铝合金板 铝合金板主要应用于标识牌的正面及背部装饰面，铝板构件采用6063牌号铝合金型材，面板厚度4mm，化学成份:Si:0.20～0.60、Fe≦0.35、Mg：0.45～0.90、Mn≦0.10、Cr≦0.10、Zn≦0.10、Ti≦0.10。</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铝板材质应符合《一般工业用铝及铝合金板、带材》GB／T3880.1.2.3.的规定，表面应平整，无起皮、划痕、变形、缺角、污垢等，几何形状以设计模数为基础。</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3、不锈钢板 具有良好的耐腐蚀性，它能使结构部件永久地保持设计的完整性、还集机械强度和高延伸性于一身，易于部件的加工制造，可满足结构设计人员的需要。</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亚克力板 本标识项目使用铝合金板的内衬板采用白色5mm厚的全新原料生产，使用寿命≥5 年的高档亚克力板材。具备耐候及耐酸碱性，不会因常年累月的日晒雨淋，而产生泛黄及水解的现象。</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其它标识面板材料的燃烧性能应符合《建筑材料及制品燃烧性能分级》 GB8624 B2 级标准的规定。有害物限量应符合《室内装饰装修材料聚氯乙烯卷材地板中有害物质限量》GB18586 的有关规定。</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5、钢化玻璃 安全性：玻璃破碎后成类似蜂窝状的碎小钝角颗粒，对人体不会造成重大伤害。高强度：玻璃强度是一般普通玻璃的4-5倍。挠度：比普通玻璃大3-4倍。热稳定性：具有良好的热稳定性，能承受的温度是普通玻璃的3倍，可承受300℃的温差变化。</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6、电光源 选择光源采用国内外质保达5年以上相应品牌LED模组光源及其供电电源，其发光效率高、功耗低、寿命长、显色好、环保等优点。LED模组光源及电源应达到国家CQC 认证要求。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光源为国产知名品牌，质保期能达5年以上，寿命50000小时。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7、标识面板贴膜（透光和不透光）质保5年以上的产品，并提供材料品牌商对项目的专项5年质保证书。</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8、丝印油墨的技术指标和性能:达到国家相关标准。</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9、标识油漆 标识油漆宜选用汽车低温漆，具备优异的耐候性、良好的耐磨损性、优异的附着力和不粘附性，同时具有环保、光泽度均匀特性。选用品牌必须提供国家涂料产品质量监督检验中心合格检验报告。</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投标文件中必须明确所选择的烤金属漆、丝印油墨、户外光源和亚克力等所选用的品牌，且开标时携带材料样品（含不锈钢板、铝板、烤金属漆、丝印油墨、户外光源和亚克力）供专家评审，样品上注明样品名称和投标人名称。</w:t>
      </w:r>
    </w:p>
    <w:p>
      <w:pPr>
        <w:pStyle w:val="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3</w:t>
      </w:r>
      <w:r>
        <w:rPr>
          <w:rFonts w:hint="eastAsia"/>
          <w:b/>
          <w:bCs/>
        </w:rPr>
        <w:t>.4制作工艺要求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w:t>
      </w:r>
      <w:r>
        <w:rPr>
          <w:rFonts w:hint="eastAsia"/>
          <w:lang w:eastAsia="zh-CN"/>
        </w:rPr>
        <w:t>、</w:t>
      </w:r>
      <w:r>
        <w:rPr>
          <w:rFonts w:hint="eastAsia"/>
        </w:rPr>
        <w:t>骨架及面板加工</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板材表面平整，表面无明显皱纹、凹痕或变形，表面每平方米范围内的平整度公差不大于1.0mm。</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板材的边缘和转角须倒角，打磨光滑，边缘不得有毛刺。</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板材不允许有裂纹、明显的划痕、损伤和颜色不均匀；在任何一处面积为（50X50）cm2的表面上，不允许存在一个或一个以上任何一处总面积大于10mm2的气泡；不允许有逆射性能为均匀。</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外观平整度：按普精级、截面（外接圆）扭拧度主龙骨0.052mm/毫米宽、次龙骨0.078mm/毫米宽、平整度≤0.2mm/m、表面模具压纹痕≤0.03mm/毫米、角度精确、切口平滑。</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主体板材一般外形尺寸偏差为±5mm，若外形尺寸大于1.2m时，其偏差为外形尺寸的±0.5%，邻边的夹角偏差为0.5°。</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w:t>
      </w:r>
      <w:r>
        <w:rPr>
          <w:rFonts w:hint="eastAsia"/>
          <w:lang w:eastAsia="zh-CN"/>
        </w:rPr>
        <w:t>、</w:t>
      </w:r>
      <w:r>
        <w:rPr>
          <w:rFonts w:hint="eastAsia"/>
        </w:rPr>
        <w:t>面板</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面板加工要求边沿清晰，无锯齿，无变形，表面平整无气泡，边沿紧密，无空隙，孤线平滑圆润，无起毛、不咬边、不破坏表面涂层。尺寸、规格、间距、颜色等须严格按照设计规范与图纸要求。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标识结构主要承受自重以及直接作用于其上的风荷载、地震作用，设置的标识其荷载应按《建筑结构荷载规范》GB 50009 规定执行。</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w:t>
      </w:r>
      <w:r>
        <w:rPr>
          <w:rFonts w:hint="eastAsia"/>
          <w:lang w:eastAsia="zh-CN"/>
        </w:rPr>
        <w:t>、</w:t>
      </w:r>
      <w:r>
        <w:rPr>
          <w:rFonts w:hint="eastAsia"/>
        </w:rPr>
        <w:t>钻孔</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孔洞周边无变形；尺寸符合精度要求；采用贴模和板叠套钻制孔应用随行夹具定位及固定。采用手电钻制孔时，钻杆与工件应保持垂直。采用钻膜制孔应符合下列规定：钻套应采用碳素钢或铝金钢如T8、GCr13、GCr15等制作，热处理后钻套硬度应高于钻头硬度HRC2-3；钻模板上下两平面应平行，其偏差不得大于0.2mm，钻孔套中心与钻模板平面应保持垂直，其偏差不得大于0.15mm，整体钻模制作允许偏差应符合下列规定：相邻两孔中心距±0.2mm。</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w:t>
      </w:r>
      <w:r>
        <w:rPr>
          <w:rFonts w:hint="eastAsia"/>
          <w:lang w:eastAsia="zh-CN"/>
        </w:rPr>
        <w:t>、</w:t>
      </w:r>
      <w:r>
        <w:rPr>
          <w:rFonts w:hint="eastAsia"/>
        </w:rPr>
        <w:t>焊接</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必须使用独立的钢材作为主要受力结构，焊接工作完全使用全满焊技术，焊工为专职技术人员。涂刷防锈漆前必须将焊接时遗留的残渣清理干净，以免涂刷防锈漆后影响表面套装所需的内结构尺寸。涂刷防锈漆后质品员必须确定钢材的变形程度，将其控制在可授受组装范围内，否则视为不合格产品。具体焊接制作工艺如下：</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焊接前应除去待焊接表面的灰土，油脂，水雾和氧化物。除去动力切割和手工磨光所造成的铁屑和渣滓。</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焊接时注意不得有飞溅物落在材料的表面，以免影响产品的最终外观质量。</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施焊前焊工应复查构件接头质量和焊区的处理情况，如不符合要求，应在修整合格后方能施焊。</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角焊缝转角处宜连续绕角施焊。</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铝材在使用前应按设计要求核对其规格、材质、型号，要求无裂纹、缩孔、夹渣或凹陷等缺陷。</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焊接后应重新调平、调直，确保结构件与饰面板料连接平稳。</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铝材构件应用砂轮机进行切割或修磨，端部需打磨30°～35°坡口，坡口应用锉刀或砂纸将毛刺清理。焊接前应用铝刷或丙酮、酒精将表面清理干净。为避免产生腐蚀，铝材不允许与钢支架有接触。</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铝材焊接全部采用手工氩孤焊。</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铝材焊接完毕应进行酸洗，酸洗完毕，用不锈钢丝刷沾水将水废渣洗干净，然后再涂上沌化液，待1小时后，再用水冲洗干净。</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最后完工的成品应把所有可见的对焊接打磨光滑，与周围表面一样平滑。</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焊接施工工艺控制要点：</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减少焊缝缺陷的形成焊缝中可能存在裂纹、气孔、烧穿和未焊透缺陷。裂纹是焊接中最危险的缺陷，可分为热裂纹。采用合理的施焊次序，可以减少焊接应力，避免出现裂纹，也可进行预热，缓慢冷却或焊后热处理，可以减少裂纹形成。焊接的除锈处理是减少气孔的关键，整理个施焊过程要求施焊人员采取规范的操作规程，减少焊缝缺陷的形成。</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减少焊接残余应力和焊接残余变形 焊接残余应力会降低标识牌主体的刚度，使压杆的挠曲度减少，从而降低其稳定性。在厚度和有三向交叉焊缝情况下，将产生三向焊接残余应力，阻碍塑性变形，减少焊接残余应力和焊接残余变形的方法：采用合理的施焊次序，施焊前给构件一个和焊接变形相反的预变形，使构件在焊接后产生的焊接变形与之正好相反。对于小尺寸焊件可在施焊后回火，可以消除焊接残余应力，也可用机械方法或氧已局部加热反弯以消除焊接变形。</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采用双边V形对头焊接，使用背对条以散发热量。使用夹具，平接焊接或另外所必须的方法以减少变形。采用锤轻击的方法以消除轻微变形，但要注意不能破坏表面。</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焊接完毕，焊工应清理焊缝区的熔渣和飞溅物，并检查焊缝外表质量。</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w:t>
      </w:r>
      <w:r>
        <w:rPr>
          <w:rFonts w:hint="eastAsia"/>
          <w:lang w:eastAsia="zh-CN"/>
        </w:rPr>
        <w:t>、</w:t>
      </w:r>
      <w:r>
        <w:rPr>
          <w:rFonts w:hint="eastAsia"/>
        </w:rPr>
        <w:t>标识面板信息图文</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标识版面信息的图文贴膜、喷印、蚀刻等，色泽应耐用，使用寿命不宜小于 3 年。对于室外标识版面信息的图文不宜使用油墨丝网印刷。 丝网印刷油墨宜采用耐候性类型能浸蚀至底料的防紫外线丙烯酸 类，且应能抵御正常的维修及清洁工作的磨损。  贴膜边沿清晰，无锯齿，无变形，表面平整无气泡，边沿精密，无空隙。</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w:t>
      </w:r>
      <w:r>
        <w:rPr>
          <w:rFonts w:hint="eastAsia"/>
          <w:lang w:eastAsia="zh-CN"/>
        </w:rPr>
        <w:t>、</w:t>
      </w:r>
      <w:r>
        <w:rPr>
          <w:rFonts w:hint="eastAsia"/>
        </w:rPr>
        <w:t>装配</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在安装过程中应保护所有完工后可见的表面。</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相同的截面采用45度斜切面接口，周边金属没有变形。</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组装完成后，所有活动部分必须能自由移动而没有阻碍。</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清除所有在完工后暴露的或对使用者会造成伤害的毛刺及尖锐突起。</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紧固情况下不能有可见的缝，螺丝头在构件紧固时不可见。</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在装配过程中，不得损坏标识牌的铝材表面。</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w:t>
      </w:r>
      <w:r>
        <w:rPr>
          <w:rFonts w:hint="eastAsia"/>
          <w:lang w:eastAsia="zh-CN"/>
        </w:rPr>
        <w:t>、</w:t>
      </w:r>
      <w:r>
        <w:rPr>
          <w:rFonts w:hint="eastAsia"/>
        </w:rPr>
        <w:t xml:space="preserve">电气安装  </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LED照明灯具的具体参数要求：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（1）标识照明本体内的照明灯具的光源虑散热和阻燃性、亮度、显色性、发光效、防潮、防 水和防虫害或霉菌侵蚀的功能等应符合《建筑照明设计标准》GB50034等有关规范的规定。</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（2）室内电光源型标识防护等级不得低于IP44，室外电光源型标识 防护等级不得低于IP54。其防火性能应符合《建筑设计防火规范》GB 50016及《建筑内部装修设计防火规范》GB 50222的规定。</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（3）LED 灯的色温宜低于 6500K，显色性 Ra 宜大于 80，当处于 最高工作环境温度时：Ta≥35°c，Tp 不大于 70°c；25000 小时光通 量维持率应大于 70％。</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（4）电光源型标识的照明设备应可靠接地，电光源型标识的各外露 金属部分应有接地，并应预留接地端子供接地线接驳之用。</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（5）落地式的电光源型标识应设置重复接地装置和漏电保护装置，所有金属的结构框架、柱体、面板、进线管等均应可靠接地，接地电阻值不应大于4Ω，否则应增设接地装置。当采用TN-S 接地系统时，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宜采用剩余电流保护器作接地故障保护；当采用TT 接地系统时，应采用剩余电流保护器作接地故障保护。动作电流不宜小于正常运行时最大泄漏电流的2.0～2.5 倍，并不应大于30mA。</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（6）各种材料的组合应不会相互产生化学及电解反应，对应现场空气PH值偏向，无氧化腐蚀现象。</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（7）室外标识照明装置的防雷应符合现行国家标准《建筑物防雷设 计规范》GB 50057 的规定。应选择合适的浪涌保护器并采用可靠的 防雷接地措施。</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(8)照明设备所有带电部分应采用绝缘、遮拦或外护物保护，距地面2.8m以下的照明设备应使用工具才能打开外壳进行光源等部件 维护。室外安装照明配电箱与控制箱等防护等级不应低于IP54。</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(9)依附于建筑物墙面的室外标识，应将其金属结构框架和面板与该建筑物的避雷装置（避雷带或引下线）作等电位联结。</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(10)电线电缆  对于标识灯具的布线不得贴敷于灯具及构架外表，且不应敷设在高温灯具的上部；电线、电缆敷设应穿入阻燃、难燃材料的保护导管内。进线电缆应穿于热镀锌钢质保护管内，其内径不应小于电缆外径的1.5 倍；进线电缆在管内不得有接头。埋地敷设的镀锌钢质护管应采用厚壁钢管并作防腐处理，其埋深不宜小于0.7 m，过道路段埋深不应小于1.0 m；严寒地区埋深在冻土层以下。</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标识照明灯具安全性能应符合《灯具 第一部分：一般要求与 试验》GB 7000.1 的规定，并应根据应用场所选用防触电保护为Ⅰ类、Ⅱ类或Ⅲ类的灯具。</w:t>
      </w:r>
    </w:p>
    <w:p>
      <w:pPr>
        <w:pStyle w:val="2"/>
        <w:ind w:left="0" w:leftChars="0"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8、标识与高、低压线路及通讯电缆线路应保持安全距离，并应符合《电气装置安装工程电缆线路施工及验收规范》GB 50168、《电气装置安装工程35KV及以下架空电力线路施工及验收规范》GB50173的规定。</w:t>
      </w:r>
    </w:p>
    <w:p>
      <w:pPr>
        <w:widowControl w:val="0"/>
        <w:shd w:val="clear" w:color="auto" w:fill="auto"/>
        <w:tabs>
          <w:tab w:val="clear" w:pos="426"/>
        </w:tabs>
        <w:adjustRightInd/>
        <w:snapToGrid/>
        <w:spacing w:before="120" w:beforeLines="50" w:line="300" w:lineRule="auto"/>
        <w:ind w:firstLine="422" w:firstLineChars="200"/>
        <w:rPr>
          <w:rFonts w:cs="Times New Roman"/>
          <w:b/>
          <w:bCs/>
          <w:color w:val="auto"/>
          <w:kern w:val="2"/>
          <w:szCs w:val="21"/>
          <w:highlight w:val="none"/>
          <w:shd w:val="clear" w:color="auto" w:fill="auto"/>
        </w:rPr>
      </w:pPr>
      <w:r>
        <w:rPr>
          <w:rFonts w:hint="eastAsia" w:cs="Times New Roman"/>
          <w:b/>
          <w:bCs/>
          <w:color w:val="auto"/>
          <w:kern w:val="2"/>
          <w:szCs w:val="21"/>
          <w:highlight w:val="none"/>
          <w:shd w:val="clear" w:color="auto" w:fill="auto"/>
        </w:rPr>
        <w:t>备注：</w:t>
      </w:r>
    </w:p>
    <w:p>
      <w:pPr>
        <w:widowControl w:val="0"/>
        <w:shd w:val="clear" w:color="auto" w:fill="auto"/>
        <w:tabs>
          <w:tab w:val="clear" w:pos="426"/>
        </w:tabs>
        <w:adjustRightInd/>
        <w:snapToGrid/>
        <w:spacing w:before="120" w:beforeLines="50" w:line="300" w:lineRule="auto"/>
        <w:ind w:firstLine="420" w:firstLineChars="200"/>
        <w:rPr>
          <w:rFonts w:hint="eastAsia" w:eastAsia="宋体" w:cs="Times New Roman"/>
          <w:color w:val="auto"/>
          <w:kern w:val="2"/>
          <w:szCs w:val="21"/>
          <w:highlight w:val="none"/>
          <w:shd w:val="clear" w:color="auto" w:fill="auto"/>
          <w:lang w:eastAsia="zh-CN"/>
        </w:rPr>
      </w:pPr>
      <w:r>
        <w:rPr>
          <w:rFonts w:hint="eastAsia" w:cs="Times New Roman"/>
          <w:color w:val="auto"/>
          <w:kern w:val="2"/>
          <w:szCs w:val="21"/>
          <w:highlight w:val="none"/>
          <w:shd w:val="clear" w:color="auto" w:fill="auto"/>
        </w:rPr>
        <w:t>1</w:t>
      </w:r>
      <w:r>
        <w:rPr>
          <w:rFonts w:cs="Times New Roman"/>
          <w:color w:val="auto"/>
          <w:kern w:val="2"/>
          <w:szCs w:val="21"/>
          <w:highlight w:val="none"/>
          <w:shd w:val="clear" w:color="auto" w:fill="auto"/>
        </w:rPr>
        <w:t>.</w:t>
      </w:r>
      <w:r>
        <w:rPr>
          <w:rFonts w:hint="eastAsia" w:cs="Times New Roman"/>
          <w:color w:val="auto"/>
          <w:kern w:val="2"/>
          <w:szCs w:val="21"/>
          <w:highlight w:val="none"/>
          <w:shd w:val="clear" w:color="auto" w:fill="auto"/>
          <w:lang w:eastAsia="zh-CN"/>
        </w:rPr>
        <w:t>本项目所列技术要求，投标人应全部响应，招标人将按照以上技术要求进行验收，不满足以上要求的，将作无效标处理</w:t>
      </w:r>
      <w:r>
        <w:rPr>
          <w:rFonts w:hint="eastAsia" w:cs="Times New Roman"/>
          <w:color w:val="auto"/>
          <w:kern w:val="2"/>
          <w:szCs w:val="21"/>
          <w:highlight w:val="none"/>
          <w:shd w:val="clear" w:color="auto" w:fill="auto"/>
        </w:rPr>
        <w:t>。</w:t>
      </w:r>
    </w:p>
    <w:p>
      <w:pPr>
        <w:numPr>
          <w:ilvl w:val="0"/>
          <w:numId w:val="25"/>
        </w:numPr>
        <w:adjustRightInd/>
        <w:snapToGrid/>
        <w:spacing w:before="280" w:after="290" w:line="377" w:lineRule="auto"/>
        <w:jc w:val="left"/>
        <w:outlineLvl w:val="2"/>
        <w:rPr>
          <w:b/>
          <w:color w:val="auto"/>
          <w:sz w:val="24"/>
          <w:highlight w:val="none"/>
          <w:shd w:val="clear" w:color="auto" w:fill="auto"/>
        </w:rPr>
        <w:sectPr>
          <w:pgSz w:w="16838" w:h="11906" w:orient="landscape"/>
          <w:pgMar w:top="1418" w:right="1134" w:bottom="1134" w:left="1134" w:header="851" w:footer="992" w:gutter="0"/>
          <w:pgNumType w:fmt="decimal"/>
          <w:cols w:space="425" w:num="1"/>
          <w:titlePg/>
          <w:docGrid w:linePitch="462" w:charSpace="0"/>
        </w:sectPr>
      </w:pPr>
    </w:p>
    <w:p>
      <w:pPr>
        <w:numPr>
          <w:ilvl w:val="0"/>
          <w:numId w:val="25"/>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报价要求</w:t>
      </w:r>
    </w:p>
    <w:p>
      <w:pPr>
        <w:pStyle w:val="2"/>
        <w:spacing w:line="360" w:lineRule="auto"/>
        <w:ind w:firstLine="420" w:firstLineChars="200"/>
        <w:rPr>
          <w:b w:val="0"/>
          <w:bCs w:val="0"/>
          <w:sz w:val="21"/>
          <w:szCs w:val="20"/>
        </w:rPr>
      </w:pPr>
      <w:r>
        <w:rPr>
          <w:rFonts w:hint="eastAsia"/>
          <w:b w:val="0"/>
          <w:bCs w:val="0"/>
          <w:sz w:val="21"/>
          <w:szCs w:val="20"/>
        </w:rPr>
        <w:t>（1）本项目财政预算限额为</w:t>
      </w:r>
      <w:r>
        <w:rPr>
          <w:rFonts w:hint="eastAsia"/>
          <w:sz w:val="21"/>
          <w:szCs w:val="20"/>
          <w:u w:val="single"/>
        </w:rPr>
        <w:t>人民币</w:t>
      </w:r>
      <w:r>
        <w:rPr>
          <w:rFonts w:hint="eastAsia"/>
          <w:i/>
          <w:iCs/>
          <w:sz w:val="21"/>
          <w:szCs w:val="20"/>
          <w:u w:val="single"/>
        </w:rPr>
        <w:t xml:space="preserve">壹佰贰拾陆万柒仟伍佰玖拾肆元贰角 </w:t>
      </w:r>
      <w:r>
        <w:rPr>
          <w:rFonts w:hint="eastAsia"/>
          <w:sz w:val="21"/>
          <w:szCs w:val="20"/>
          <w:u w:val="single"/>
        </w:rPr>
        <w:t>（￥</w:t>
      </w:r>
      <w:r>
        <w:rPr>
          <w:rFonts w:hint="eastAsia"/>
          <w:sz w:val="21"/>
          <w:szCs w:val="20"/>
          <w:u w:val="single"/>
          <w:lang w:eastAsia="zh-CN"/>
        </w:rPr>
        <w:t>1,267,594.2</w:t>
      </w:r>
      <w:r>
        <w:rPr>
          <w:rFonts w:hint="eastAsia"/>
          <w:sz w:val="21"/>
          <w:szCs w:val="20"/>
          <w:u w:val="single"/>
        </w:rPr>
        <w:t>元）</w:t>
      </w:r>
      <w:r>
        <w:rPr>
          <w:rFonts w:hint="eastAsia"/>
          <w:b w:val="0"/>
          <w:bCs w:val="0"/>
          <w:sz w:val="21"/>
          <w:szCs w:val="20"/>
        </w:rPr>
        <w:t>，为完成本项目所有采购内容总预算，超出财政预算限额或分项预算限额的投标文件将不被接受。</w:t>
      </w:r>
    </w:p>
    <w:p>
      <w:pPr>
        <w:pStyle w:val="2"/>
        <w:spacing w:line="360" w:lineRule="auto"/>
        <w:ind w:firstLine="420" w:firstLineChars="200"/>
        <w:rPr>
          <w:b w:val="0"/>
          <w:bCs w:val="0"/>
          <w:sz w:val="21"/>
          <w:szCs w:val="20"/>
        </w:rPr>
      </w:pPr>
      <w:r>
        <w:rPr>
          <w:rFonts w:hint="eastAsia"/>
          <w:b w:val="0"/>
          <w:bCs w:val="0"/>
          <w:sz w:val="21"/>
          <w:szCs w:val="20"/>
        </w:rPr>
        <w:t>（2）具体报价要求</w:t>
      </w:r>
    </w:p>
    <w:p>
      <w:pPr>
        <w:pStyle w:val="2"/>
        <w:spacing w:line="360" w:lineRule="auto"/>
        <w:ind w:firstLine="420" w:firstLineChars="200"/>
        <w:rPr>
          <w:b w:val="0"/>
          <w:bCs w:val="0"/>
          <w:sz w:val="21"/>
          <w:szCs w:val="20"/>
        </w:rPr>
      </w:pPr>
      <w:r>
        <w:rPr>
          <w:b w:val="0"/>
          <w:bCs w:val="0"/>
          <w:sz w:val="21"/>
          <w:szCs w:val="20"/>
        </w:rPr>
        <w:t>1</w:t>
      </w:r>
      <w:r>
        <w:rPr>
          <w:rFonts w:hint="eastAsia"/>
          <w:b w:val="0"/>
          <w:bCs w:val="0"/>
          <w:sz w:val="21"/>
          <w:szCs w:val="20"/>
        </w:rPr>
        <w:t>）本项目固定总价总价合同；</w:t>
      </w:r>
    </w:p>
    <w:p>
      <w:pPr>
        <w:pStyle w:val="2"/>
        <w:spacing w:line="360" w:lineRule="auto"/>
        <w:ind w:firstLine="420" w:firstLineChars="200"/>
        <w:rPr>
          <w:b w:val="0"/>
          <w:bCs w:val="0"/>
          <w:sz w:val="21"/>
          <w:szCs w:val="20"/>
        </w:rPr>
      </w:pPr>
      <w:r>
        <w:rPr>
          <w:rFonts w:hint="eastAsia"/>
          <w:b w:val="0"/>
          <w:bCs w:val="0"/>
          <w:sz w:val="21"/>
          <w:szCs w:val="20"/>
        </w:rPr>
        <w:t>2）措施项目费包干；</w:t>
      </w:r>
    </w:p>
    <w:p>
      <w:pPr>
        <w:pStyle w:val="2"/>
        <w:spacing w:line="360" w:lineRule="auto"/>
        <w:ind w:firstLine="420" w:firstLineChars="200"/>
        <w:rPr>
          <w:b w:val="0"/>
          <w:bCs w:val="0"/>
          <w:sz w:val="21"/>
          <w:szCs w:val="20"/>
          <w:highlight w:val="none"/>
        </w:rPr>
      </w:pPr>
      <w:r>
        <w:rPr>
          <w:rFonts w:hint="eastAsia"/>
          <w:b w:val="0"/>
          <w:bCs w:val="0"/>
          <w:sz w:val="21"/>
          <w:szCs w:val="20"/>
        </w:rPr>
        <w:t>3）投标报价应包括但不限于材料样板、人工费、材料设备费（</w:t>
      </w:r>
      <w:r>
        <w:rPr>
          <w:rFonts w:hint="eastAsia"/>
          <w:b w:val="0"/>
          <w:bCs w:val="0"/>
          <w:sz w:val="21"/>
          <w:szCs w:val="20"/>
          <w:highlight w:val="none"/>
        </w:rPr>
        <w:t>含装卸及运输费、运输保险费）、机械费、措施费</w:t>
      </w:r>
      <w:r>
        <w:rPr>
          <w:rFonts w:hint="eastAsia"/>
          <w:b w:val="0"/>
          <w:bCs w:val="0"/>
          <w:sz w:val="21"/>
          <w:szCs w:val="20"/>
          <w:highlight w:val="none"/>
          <w:lang w:val="en-US" w:eastAsia="zh-CN"/>
        </w:rPr>
        <w:t>(包括室外标牌安装脚手架的搭设)</w:t>
      </w:r>
      <w:r>
        <w:rPr>
          <w:rFonts w:hint="eastAsia"/>
          <w:b w:val="0"/>
          <w:bCs w:val="0"/>
          <w:sz w:val="21"/>
          <w:szCs w:val="20"/>
          <w:highlight w:val="none"/>
        </w:rPr>
        <w:t>、管理费、规费、利润、税金等及包工期、包质量、包安全、包技术措施和其他措施、包安装调试、系统调试及专项交接试验，包在招标人要求工期内完成工程竣工验收交付使用所发生的赶工措施费、包特殊条件下施工增加费、包技术服务、包维修保养等一切手续及费用；</w:t>
      </w:r>
    </w:p>
    <w:p>
      <w:pPr>
        <w:pStyle w:val="2"/>
        <w:spacing w:line="360" w:lineRule="auto"/>
        <w:ind w:firstLine="420" w:firstLineChars="200"/>
        <w:rPr>
          <w:b w:val="0"/>
          <w:bCs w:val="0"/>
          <w:sz w:val="21"/>
          <w:szCs w:val="20"/>
          <w:highlight w:val="none"/>
        </w:rPr>
      </w:pPr>
      <w:r>
        <w:rPr>
          <w:rFonts w:hint="eastAsia"/>
          <w:b w:val="0"/>
          <w:bCs w:val="0"/>
          <w:sz w:val="21"/>
          <w:szCs w:val="20"/>
          <w:highlight w:val="none"/>
        </w:rPr>
        <w:t>4）工程量及报价的说明：</w:t>
      </w:r>
    </w:p>
    <w:p>
      <w:pPr>
        <w:pStyle w:val="2"/>
        <w:spacing w:line="360" w:lineRule="auto"/>
        <w:ind w:firstLine="420" w:firstLineChars="200"/>
        <w:rPr>
          <w:b w:val="0"/>
          <w:bCs w:val="0"/>
          <w:sz w:val="21"/>
          <w:szCs w:val="20"/>
        </w:rPr>
      </w:pPr>
      <w:r>
        <w:rPr>
          <w:b w:val="0"/>
          <w:bCs w:val="0"/>
          <w:sz w:val="21"/>
          <w:szCs w:val="20"/>
        </w:rPr>
        <w:t>a.</w:t>
      </w:r>
      <w:r>
        <w:rPr>
          <w:rFonts w:hint="eastAsia"/>
          <w:b w:val="0"/>
          <w:bCs w:val="0"/>
          <w:sz w:val="21"/>
          <w:szCs w:val="20"/>
        </w:rPr>
        <w:t>本招标工程为不停诊施工，投标报价之前，对本工程现场条件、工程位置、周围环境、道路、交通、材料堆放场地及障碍物等情况；应充分考虑施工时间、不停诊施工情况以及天气、白天及夜间施工、雨季施工等种种因素对工期及造价的影响；</w:t>
      </w:r>
    </w:p>
    <w:p>
      <w:pPr>
        <w:pStyle w:val="2"/>
        <w:spacing w:line="360" w:lineRule="auto"/>
        <w:ind w:firstLine="420" w:firstLineChars="200"/>
        <w:rPr>
          <w:b w:val="0"/>
          <w:bCs w:val="0"/>
          <w:sz w:val="21"/>
          <w:szCs w:val="20"/>
        </w:rPr>
      </w:pPr>
      <w:r>
        <w:rPr>
          <w:b w:val="0"/>
          <w:bCs w:val="0"/>
          <w:sz w:val="21"/>
          <w:szCs w:val="20"/>
        </w:rPr>
        <w:t>b.</w:t>
      </w:r>
      <w:r>
        <w:rPr>
          <w:rFonts w:hint="eastAsia"/>
          <w:b w:val="0"/>
          <w:bCs w:val="0"/>
          <w:sz w:val="21"/>
          <w:szCs w:val="20"/>
        </w:rPr>
        <w:t>投标方除了按要求完成承包范围本身的工作内容外，还包含为完成承包范围本身的工作内容所必须开展的准备工作应认为已含在与之相关的单价之中。</w:t>
      </w:r>
    </w:p>
    <w:p>
      <w:pPr>
        <w:pStyle w:val="2"/>
        <w:spacing w:line="360" w:lineRule="auto"/>
        <w:ind w:firstLine="420" w:firstLineChars="200"/>
        <w:rPr>
          <w:b w:val="0"/>
          <w:bCs w:val="0"/>
          <w:sz w:val="21"/>
          <w:szCs w:val="20"/>
        </w:rPr>
      </w:pPr>
      <w:r>
        <w:rPr>
          <w:b w:val="0"/>
          <w:bCs w:val="0"/>
          <w:sz w:val="21"/>
          <w:szCs w:val="20"/>
        </w:rPr>
        <w:t>c.</w:t>
      </w:r>
      <w:r>
        <w:rPr>
          <w:rFonts w:hint="eastAsia"/>
          <w:b w:val="0"/>
          <w:bCs w:val="0"/>
          <w:sz w:val="21"/>
          <w:szCs w:val="20"/>
        </w:rPr>
        <w:t>本工程投标单位在报价中应充分考虑本工程施工道路、停电、停水、二次搬运、施工场地不足、成品保护等所需措施的一切费用和工期，并考虑各种可能因素影响施工所增加的费用；投标单位在投标报价中须包括合理的施工损耗。</w:t>
      </w:r>
    </w:p>
    <w:p>
      <w:pPr>
        <w:widowControl w:val="0"/>
        <w:shd w:val="clear" w:color="auto" w:fill="auto"/>
        <w:tabs>
          <w:tab w:val="clear" w:pos="426"/>
        </w:tabs>
        <w:adjustRightInd/>
        <w:snapToGrid/>
        <w:spacing w:before="120" w:beforeLines="50" w:line="300" w:lineRule="auto"/>
        <w:ind w:firstLine="420" w:firstLineChars="200"/>
        <w:rPr>
          <w:color w:val="auto"/>
          <w:highlight w:val="none"/>
          <w:shd w:val="clear" w:color="auto" w:fill="auto"/>
        </w:rPr>
      </w:pPr>
      <w:r>
        <w:rPr>
          <w:rFonts w:hint="eastAsia"/>
          <w:b w:val="0"/>
          <w:bCs w:val="0"/>
          <w:sz w:val="21"/>
          <w:szCs w:val="20"/>
        </w:rPr>
        <w:t>（3）投标人应根据本企业的成本自行决定报价，但不得以低于其企业成本的报价投标。</w:t>
      </w:r>
    </w:p>
    <w:p>
      <w:pPr>
        <w:numPr>
          <w:ilvl w:val="0"/>
          <w:numId w:val="25"/>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商务需求</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39"/>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7"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1339"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目录</w:t>
            </w:r>
          </w:p>
        </w:tc>
        <w:tc>
          <w:tcPr>
            <w:tcW w:w="6864"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color w:val="auto"/>
                <w:highlight w:val="none"/>
                <w:shd w:val="clear" w:color="auto" w:fill="auto"/>
              </w:rPr>
            </w:pPr>
            <w:r>
              <w:rPr>
                <w:rFonts w:hint="eastAsia"/>
                <w:b/>
                <w:color w:val="auto"/>
                <w:highlight w:val="none"/>
                <w:shd w:val="clear" w:color="auto" w:fill="auto"/>
              </w:rPr>
              <w:t>（一）</w:t>
            </w:r>
            <w:r>
              <w:rPr>
                <w:rFonts w:hint="eastAsia"/>
                <w:b/>
                <w:color w:val="auto"/>
                <w:highlight w:val="none"/>
                <w:shd w:val="clear" w:color="auto" w:fill="auto"/>
                <w:lang w:eastAsia="zh-CN"/>
              </w:rPr>
              <w:t>保修期</w:t>
            </w:r>
            <w:r>
              <w:rPr>
                <w:rFonts w:hint="eastAsia"/>
                <w:b/>
                <w:color w:val="auto"/>
                <w:highlight w:val="none"/>
                <w:shd w:val="clear" w:color="auto" w:fill="auto"/>
              </w:rPr>
              <w:t>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367"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1339" w:type="dxa"/>
            <w:vAlign w:val="center"/>
          </w:tcPr>
          <w:p>
            <w:pPr>
              <w:spacing w:line="240" w:lineRule="auto"/>
              <w:rPr>
                <w:color w:val="auto"/>
                <w:highlight w:val="none"/>
                <w:shd w:val="clear" w:color="auto" w:fill="auto"/>
              </w:rPr>
            </w:pPr>
            <w:r>
              <w:rPr>
                <w:rFonts w:hint="eastAsia"/>
                <w:color w:val="auto"/>
                <w:highlight w:val="none"/>
                <w:shd w:val="clear" w:color="auto" w:fill="auto"/>
              </w:rPr>
              <w:t>维修响应及故障解决时间</w:t>
            </w:r>
          </w:p>
        </w:tc>
        <w:tc>
          <w:tcPr>
            <w:tcW w:w="686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w:t>
            </w:r>
            <w:r>
              <w:rPr>
                <w:rFonts w:hint="eastAsia"/>
                <w:bCs/>
                <w:color w:val="auto"/>
                <w:szCs w:val="21"/>
                <w:highlight w:val="none"/>
                <w:shd w:val="clear" w:color="auto" w:fill="auto"/>
                <w:lang w:eastAsia="zh-CN"/>
              </w:rPr>
              <w:t>保修期</w:t>
            </w:r>
            <w:r>
              <w:rPr>
                <w:rFonts w:hint="eastAsia"/>
                <w:bCs/>
                <w:color w:val="auto"/>
                <w:szCs w:val="21"/>
                <w:highlight w:val="none"/>
                <w:shd w:val="clear" w:color="auto" w:fill="auto"/>
              </w:rPr>
              <w:t>：</w:t>
            </w:r>
            <w:r>
              <w:rPr>
                <w:rFonts w:hint="eastAsia"/>
                <w:bCs/>
                <w:color w:val="auto"/>
                <w:szCs w:val="21"/>
                <w:highlight w:val="none"/>
                <w:shd w:val="clear" w:color="auto" w:fill="auto"/>
                <w:lang w:val="en-US" w:eastAsia="zh-CN"/>
              </w:rPr>
              <w:t>2</w:t>
            </w:r>
            <w:r>
              <w:rPr>
                <w:bCs/>
                <w:color w:val="auto"/>
                <w:szCs w:val="21"/>
                <w:highlight w:val="none"/>
                <w:shd w:val="clear" w:color="auto" w:fill="auto"/>
              </w:rPr>
              <w:t>年，保修期以验收合格，双方代表签署 “验收报告”后起计算。</w:t>
            </w:r>
          </w:p>
          <w:p>
            <w:pPr>
              <w:spacing w:line="240" w:lineRule="auto"/>
              <w:rPr>
                <w:rFonts w:hint="eastAsia"/>
                <w:bCs/>
                <w:color w:val="auto"/>
                <w:szCs w:val="21"/>
                <w:highlight w:val="none"/>
                <w:shd w:val="clear" w:color="auto" w:fill="auto"/>
              </w:rPr>
            </w:pPr>
            <w:r>
              <w:rPr>
                <w:bCs/>
                <w:color w:val="auto"/>
                <w:szCs w:val="21"/>
                <w:highlight w:val="none"/>
                <w:shd w:val="clear" w:color="auto" w:fill="auto"/>
              </w:rPr>
              <w:t>保修期内，</w:t>
            </w:r>
            <w:r>
              <w:rPr>
                <w:rFonts w:hint="eastAsia"/>
                <w:bCs/>
                <w:color w:val="auto"/>
                <w:szCs w:val="21"/>
                <w:highlight w:val="none"/>
                <w:shd w:val="clear" w:color="auto" w:fill="auto"/>
                <w:lang w:eastAsia="zh-CN"/>
              </w:rPr>
              <w:t>中标人应对</w:t>
            </w:r>
            <w:r>
              <w:rPr>
                <w:rFonts w:hint="eastAsia" w:ascii="宋体" w:hAnsi="宋体" w:cs="宋体"/>
                <w:b w:val="0"/>
                <w:bCs w:val="0"/>
                <w:sz w:val="21"/>
                <w:szCs w:val="21"/>
              </w:rPr>
              <w:t>室外及室内标识标牌的维护（包含但不限于对破损、倒塌的挂牌进行修复或替换）</w:t>
            </w:r>
            <w:r>
              <w:rPr>
                <w:rFonts w:hint="eastAsia"/>
                <w:bCs/>
                <w:color w:val="auto"/>
                <w:szCs w:val="21"/>
                <w:highlight w:val="none"/>
                <w:shd w:val="clear" w:color="auto" w:fill="auto"/>
              </w:rPr>
              <w:t>。</w:t>
            </w:r>
          </w:p>
          <w:p>
            <w:pPr>
              <w:jc w:val="left"/>
              <w:rPr>
                <w:b/>
                <w:color w:val="auto"/>
                <w:highlight w:val="none"/>
                <w:shd w:val="clear" w:color="auto" w:fill="auto"/>
              </w:rPr>
            </w:pPr>
            <w:r>
              <w:rPr>
                <w:bCs/>
                <w:color w:val="auto"/>
                <w:szCs w:val="21"/>
                <w:highlight w:val="none"/>
                <w:shd w:val="clear" w:color="auto" w:fill="auto"/>
              </w:rPr>
              <w:t>在保修期内，一旦发生质量问题，投标人保证在接到通知24小时内赶到现场进行修理或更换，投标人应按其投标文件中的承诺，进行其他售后服务工作。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color w:val="auto"/>
                <w:highlight w:val="none"/>
                <w:shd w:val="clear" w:color="auto" w:fill="auto"/>
              </w:rPr>
            </w:pPr>
            <w:r>
              <w:rPr>
                <w:rFonts w:hint="eastAsia"/>
                <w:b/>
                <w:color w:val="auto"/>
                <w:highlight w:val="none"/>
                <w:shd w:val="clear" w:color="auto" w:fill="auto"/>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67"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1339" w:type="dxa"/>
            <w:vMerge w:val="restart"/>
            <w:vAlign w:val="center"/>
          </w:tcPr>
          <w:p>
            <w:pPr>
              <w:spacing w:line="240" w:lineRule="auto"/>
              <w:jc w:val="center"/>
              <w:rPr>
                <w:color w:val="auto"/>
                <w:highlight w:val="none"/>
                <w:shd w:val="clear" w:color="auto" w:fill="auto"/>
              </w:rPr>
            </w:pPr>
            <w:r>
              <w:rPr>
                <w:rFonts w:hint="eastAsia"/>
                <w:color w:val="auto"/>
                <w:highlight w:val="none"/>
                <w:shd w:val="clear" w:color="auto" w:fill="auto"/>
              </w:rPr>
              <w:t>关于交货</w:t>
            </w:r>
          </w:p>
        </w:tc>
        <w:tc>
          <w:tcPr>
            <w:tcW w:w="6864" w:type="dxa"/>
            <w:vAlign w:val="center"/>
          </w:tcPr>
          <w:p>
            <w:pPr>
              <w:spacing w:line="240" w:lineRule="auto"/>
              <w:rPr>
                <w:bCs/>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bCs/>
                <w:color w:val="auto"/>
                <w:szCs w:val="21"/>
                <w:highlight w:val="none"/>
                <w:shd w:val="clear" w:color="auto" w:fill="auto"/>
              </w:rPr>
              <w:t>1.1交货</w:t>
            </w:r>
            <w:r>
              <w:rPr>
                <w:rFonts w:hint="eastAsia"/>
                <w:bCs/>
                <w:color w:val="auto"/>
                <w:szCs w:val="21"/>
                <w:highlight w:val="none"/>
                <w:shd w:val="clear" w:color="auto" w:fill="auto"/>
                <w:lang w:eastAsia="zh-CN"/>
              </w:rPr>
              <w:t>期：合同签订后60日历日内（生产加安装）</w:t>
            </w:r>
            <w:r>
              <w:rPr>
                <w:rFonts w:hint="eastAsia"/>
                <w:bCs/>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7"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1339" w:type="dxa"/>
            <w:vMerge w:val="restart"/>
            <w:vAlign w:val="center"/>
          </w:tcPr>
          <w:p>
            <w:pPr>
              <w:spacing w:line="240" w:lineRule="auto"/>
              <w:jc w:val="center"/>
              <w:rPr>
                <w:color w:val="auto"/>
                <w:highlight w:val="none"/>
                <w:shd w:val="clear" w:color="auto" w:fill="auto"/>
              </w:rPr>
            </w:pPr>
            <w:r>
              <w:rPr>
                <w:rFonts w:hint="eastAsia"/>
                <w:color w:val="auto"/>
                <w:highlight w:val="none"/>
                <w:shd w:val="clear" w:color="auto" w:fill="auto"/>
              </w:rPr>
              <w:t>关于验收</w:t>
            </w:r>
          </w:p>
        </w:tc>
        <w:tc>
          <w:tcPr>
            <w:tcW w:w="686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2.1投标人货物经过双方检验认可后，签署验收报告，产品保修期自验收合格之日起算，由投标人提供保修文件。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b/>
                <w:color w:val="auto"/>
                <w:highlight w:val="none"/>
                <w:shd w:val="clear" w:color="auto" w:fill="auto"/>
              </w:rPr>
            </w:pPr>
          </w:p>
        </w:tc>
        <w:tc>
          <w:tcPr>
            <w:tcW w:w="686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2.2当满足以下条件时，采购人才向中标人签发货物验收报告：</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a</w:t>
            </w:r>
            <w:r>
              <w:rPr>
                <w:rFonts w:hint="eastAsia"/>
                <w:bCs/>
                <w:color w:val="auto"/>
                <w:szCs w:val="21"/>
                <w:highlight w:val="none"/>
                <w:shd w:val="clear" w:color="auto" w:fill="auto"/>
              </w:rPr>
              <w:t>、中标人已按照合同规定提供了全部产品及完整的技术资料。</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b</w:t>
            </w:r>
            <w:r>
              <w:rPr>
                <w:rFonts w:hint="eastAsia"/>
                <w:bCs/>
                <w:color w:val="auto"/>
                <w:szCs w:val="21"/>
                <w:highlight w:val="none"/>
                <w:shd w:val="clear" w:color="auto" w:fill="auto"/>
              </w:rPr>
              <w:t>、货物符合招标文件技术规格书的要求，性能满足要求。</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c</w:t>
            </w:r>
            <w:r>
              <w:rPr>
                <w:rFonts w:hint="eastAsia"/>
                <w:bCs/>
                <w:color w:val="auto"/>
                <w:szCs w:val="21"/>
                <w:highlight w:val="none"/>
                <w:shd w:val="clear" w:color="auto" w:fill="auto"/>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7" w:type="dxa"/>
            <w:vAlign w:val="center"/>
          </w:tcPr>
          <w:p>
            <w:pPr>
              <w:spacing w:line="240" w:lineRule="auto"/>
              <w:jc w:val="center"/>
              <w:rPr>
                <w:color w:val="auto"/>
                <w:highlight w:val="none"/>
                <w:shd w:val="clear" w:color="auto" w:fill="auto"/>
              </w:rPr>
            </w:pPr>
            <w:r>
              <w:rPr>
                <w:rFonts w:hint="eastAsia"/>
                <w:b/>
                <w:color w:val="auto"/>
                <w:highlight w:val="none"/>
                <w:shd w:val="clear" w:color="auto" w:fill="auto"/>
              </w:rPr>
              <w:t>3</w:t>
            </w:r>
          </w:p>
        </w:tc>
        <w:tc>
          <w:tcPr>
            <w:tcW w:w="1339" w:type="dxa"/>
            <w:vAlign w:val="center"/>
          </w:tcPr>
          <w:p>
            <w:pPr>
              <w:spacing w:line="240" w:lineRule="auto"/>
              <w:jc w:val="center"/>
              <w:rPr>
                <w:b/>
                <w:color w:val="auto"/>
                <w:highlight w:val="none"/>
                <w:shd w:val="clear" w:color="auto" w:fill="auto"/>
              </w:rPr>
            </w:pPr>
            <w:r>
              <w:rPr>
                <w:rFonts w:hint="eastAsia" w:cs="Times New Roman"/>
                <w:color w:val="auto"/>
                <w:kern w:val="2"/>
                <w:szCs w:val="21"/>
                <w:highlight w:val="none"/>
                <w:shd w:val="clear" w:color="auto" w:fill="auto"/>
              </w:rPr>
              <w:t>★</w:t>
            </w:r>
            <w:r>
              <w:rPr>
                <w:rFonts w:hint="eastAsia"/>
                <w:bCs/>
                <w:color w:val="auto"/>
                <w:highlight w:val="none"/>
                <w:shd w:val="clear" w:color="auto" w:fill="auto"/>
              </w:rPr>
              <w:t>付款方式</w:t>
            </w:r>
          </w:p>
        </w:tc>
        <w:tc>
          <w:tcPr>
            <w:tcW w:w="6864" w:type="dxa"/>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bidi="ar-SA"/>
              </w:rPr>
              <w:t>（1）合同签订10个工作日内，甲方向乙方支付合同价的30%作为定金；</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bidi="ar-SA"/>
              </w:rPr>
              <w:t>（2）货物到场后，且乙方向甲方提供合同价70%的履约保证金后，甲方向乙方支付至合同价的100%。</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bidi="ar-SA"/>
              </w:rPr>
              <w:t>（3）完成进度80%时，甲方向乙方退还50%的履约保证金。</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bidi="ar-SA"/>
              </w:rPr>
              <w:t>（4）完成进度100%时，甲方向乙方退还15%的履约保证金。</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b/>
                <w:color w:val="auto"/>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bidi="ar-SA"/>
              </w:rPr>
              <w:t>（5）货物或工程验收合格无异议的一年后，甲方向乙方退还5%的履约保证金。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67"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4</w:t>
            </w:r>
          </w:p>
        </w:tc>
        <w:tc>
          <w:tcPr>
            <w:tcW w:w="1339" w:type="dxa"/>
            <w:vAlign w:val="center"/>
          </w:tcPr>
          <w:p>
            <w:pPr>
              <w:spacing w:line="240" w:lineRule="auto"/>
              <w:jc w:val="center"/>
              <w:rPr>
                <w:rFonts w:hint="eastAsia" w:eastAsia="宋体"/>
                <w:bCs/>
                <w:color w:val="auto"/>
                <w:highlight w:val="none"/>
                <w:shd w:val="clear" w:color="auto" w:fill="auto"/>
                <w:lang w:eastAsia="zh-CN"/>
              </w:rPr>
            </w:pPr>
            <w:r>
              <w:rPr>
                <w:rFonts w:hint="eastAsia"/>
                <w:bCs/>
                <w:color w:val="auto"/>
                <w:highlight w:val="none"/>
                <w:shd w:val="clear" w:color="auto" w:fill="auto"/>
                <w:lang w:eastAsia="zh-CN"/>
              </w:rPr>
              <w:t>发票</w:t>
            </w:r>
          </w:p>
        </w:tc>
        <w:tc>
          <w:tcPr>
            <w:tcW w:w="6864" w:type="dxa"/>
            <w:vAlign w:val="center"/>
          </w:tcPr>
          <w:p>
            <w:pPr>
              <w:spacing w:line="380" w:lineRule="exact"/>
              <w:ind w:hanging="3"/>
              <w:jc w:val="left"/>
              <w:rPr>
                <w:rFonts w:hint="eastAsia" w:eastAsia="宋体"/>
                <w:color w:val="auto"/>
                <w:szCs w:val="21"/>
                <w:highlight w:val="none"/>
                <w:shd w:val="clear" w:color="auto" w:fill="auto"/>
                <w:lang w:eastAsia="zh-CN"/>
              </w:rPr>
            </w:pPr>
            <w:r>
              <w:rPr>
                <w:rFonts w:hint="eastAsia" w:cs="Times New Roman"/>
                <w:color w:val="auto"/>
                <w:kern w:val="2"/>
                <w:szCs w:val="21"/>
                <w:highlight w:val="none"/>
                <w:shd w:val="clear" w:color="auto" w:fill="auto"/>
              </w:rPr>
              <w:t>★</w:t>
            </w:r>
            <w:r>
              <w:rPr>
                <w:rFonts w:hint="eastAsia"/>
                <w:color w:val="auto"/>
                <w:szCs w:val="21"/>
                <w:highlight w:val="none"/>
                <w:shd w:val="clear" w:color="auto" w:fill="auto"/>
                <w:lang w:eastAsia="zh-CN"/>
              </w:rPr>
              <w:t>投标人应按照货物的税率向招标人提供发票。</w:t>
            </w:r>
          </w:p>
        </w:tc>
      </w:tr>
    </w:tbl>
    <w:p>
      <w:pPr>
        <w:widowControl w:val="0"/>
        <w:shd w:val="clear" w:color="auto" w:fill="auto"/>
        <w:tabs>
          <w:tab w:val="clear" w:pos="426"/>
        </w:tabs>
        <w:adjustRightInd/>
        <w:snapToGrid/>
        <w:spacing w:before="120" w:beforeLines="50" w:line="300" w:lineRule="auto"/>
        <w:ind w:firstLine="422" w:firstLineChars="200"/>
        <w:rPr>
          <w:rFonts w:cs="Times New Roman"/>
          <w:b/>
          <w:color w:val="auto"/>
          <w:kern w:val="2"/>
          <w:szCs w:val="21"/>
          <w:highlight w:val="none"/>
          <w:shd w:val="clear" w:color="auto" w:fill="auto"/>
        </w:rPr>
      </w:pPr>
      <w:r>
        <w:rPr>
          <w:rFonts w:hint="eastAsia" w:cs="Times New Roman"/>
          <w:b/>
          <w:color w:val="auto"/>
          <w:kern w:val="2"/>
          <w:szCs w:val="21"/>
          <w:highlight w:val="none"/>
          <w:shd w:val="clear" w:color="auto" w:fill="auto"/>
        </w:rPr>
        <w:t>备注：商务</w:t>
      </w:r>
      <w:r>
        <w:rPr>
          <w:rFonts w:cs="Times New Roman"/>
          <w:b/>
          <w:color w:val="auto"/>
          <w:kern w:val="2"/>
          <w:szCs w:val="21"/>
          <w:highlight w:val="none"/>
          <w:shd w:val="clear" w:color="auto" w:fill="auto"/>
        </w:rPr>
        <w:t>要求分为一般</w:t>
      </w:r>
      <w:r>
        <w:rPr>
          <w:rFonts w:hint="eastAsia" w:cs="Times New Roman"/>
          <w:b/>
          <w:color w:val="auto"/>
          <w:kern w:val="2"/>
          <w:szCs w:val="21"/>
          <w:highlight w:val="none"/>
          <w:shd w:val="clear" w:color="auto" w:fill="auto"/>
        </w:rPr>
        <w:t>商务</w:t>
      </w:r>
      <w:r>
        <w:rPr>
          <w:rFonts w:cs="Times New Roman"/>
          <w:b/>
          <w:color w:val="auto"/>
          <w:kern w:val="2"/>
          <w:szCs w:val="21"/>
          <w:highlight w:val="none"/>
          <w:shd w:val="clear" w:color="auto" w:fill="auto"/>
        </w:rPr>
        <w:t>要求、重要</w:t>
      </w:r>
      <w:r>
        <w:rPr>
          <w:rFonts w:hint="eastAsia" w:cs="Times New Roman"/>
          <w:b/>
          <w:color w:val="auto"/>
          <w:kern w:val="2"/>
          <w:szCs w:val="21"/>
          <w:highlight w:val="none"/>
          <w:shd w:val="clear" w:color="auto" w:fill="auto"/>
        </w:rPr>
        <w:t>商务</w:t>
      </w:r>
      <w:r>
        <w:rPr>
          <w:rFonts w:cs="Times New Roman"/>
          <w:b/>
          <w:color w:val="auto"/>
          <w:kern w:val="2"/>
          <w:szCs w:val="21"/>
          <w:highlight w:val="none"/>
          <w:shd w:val="clear" w:color="auto" w:fill="auto"/>
        </w:rPr>
        <w:t>要求（以“▲”标注）和实质性</w:t>
      </w:r>
      <w:r>
        <w:rPr>
          <w:rFonts w:hint="eastAsia" w:cs="Times New Roman"/>
          <w:b/>
          <w:color w:val="auto"/>
          <w:kern w:val="2"/>
          <w:szCs w:val="21"/>
          <w:highlight w:val="none"/>
          <w:shd w:val="clear" w:color="auto" w:fill="auto"/>
        </w:rPr>
        <w:t>商务</w:t>
      </w:r>
      <w:r>
        <w:rPr>
          <w:rFonts w:cs="Times New Roman"/>
          <w:b/>
          <w:color w:val="auto"/>
          <w:kern w:val="2"/>
          <w:szCs w:val="21"/>
          <w:highlight w:val="none"/>
          <w:shd w:val="clear" w:color="auto" w:fill="auto"/>
        </w:rPr>
        <w:t>要求（以”★”标注）。一般商务要求和重要商务要求若出现不响应或负偏离，其综合评分的相关分数将予以扣减，但不作为投标无效条款。实质性商务要求（以”★”标注）若出现不响应或任何一项负偏离，将导致投标无效。</w:t>
      </w:r>
    </w:p>
    <w:p>
      <w:pPr>
        <w:numPr>
          <w:ilvl w:val="0"/>
          <w:numId w:val="25"/>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政策导向</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color w:val="auto"/>
          <w:kern w:val="2"/>
          <w:highlight w:val="none"/>
          <w:shd w:val="clear" w:color="auto" w:fill="auto"/>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rFonts w:hint="eastAsia"/>
          <w:color w:val="auto"/>
          <w:kern w:val="2"/>
          <w:highlight w:val="none"/>
          <w:shd w:val="clear" w:color="auto" w:fill="auto"/>
        </w:rPr>
        <w:t>属于政府采购节能产品、环境标志产品实施品目清单的产品，详见中国政府采购网（</w:t>
      </w:r>
      <w:r>
        <w:rPr>
          <w:color w:val="auto"/>
          <w:kern w:val="2"/>
          <w:highlight w:val="none"/>
          <w:shd w:val="clear" w:color="auto" w:fill="auto"/>
        </w:rPr>
        <w:t>http://www.ccgp.gov.cn/）。</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rFonts w:hint="eastAsia"/>
          <w:color w:val="auto"/>
          <w:kern w:val="2"/>
          <w:highlight w:val="none"/>
          <w:shd w:val="clear" w:color="auto" w:fill="auto"/>
        </w:rPr>
        <w:t>进入以上清单范围的投标产品将在评标时获得竞争优势。</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color w:val="auto"/>
          <w:kern w:val="2"/>
          <w:highlight w:val="none"/>
          <w:shd w:val="clear" w:color="auto" w:fill="auto"/>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color w:val="auto"/>
          <w:kern w:val="2"/>
          <w:highlight w:val="none"/>
          <w:shd w:val="clear" w:color="auto" w:fill="auto"/>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p>
    <w:p>
      <w:pPr>
        <w:pStyle w:val="33"/>
        <w:tabs>
          <w:tab w:val="clear" w:pos="426"/>
        </w:tabs>
        <w:rPr>
          <w:color w:val="auto"/>
          <w:highlight w:val="none"/>
          <w:shd w:val="clear" w:color="auto" w:fill="auto"/>
        </w:rPr>
      </w:pPr>
      <w:r>
        <w:rPr>
          <w:color w:val="auto"/>
          <w:highlight w:val="none"/>
          <w:shd w:val="clear" w:color="auto" w:fill="auto"/>
        </w:rPr>
        <w:br w:type="page"/>
      </w:r>
      <w:bookmarkStart w:id="43" w:name="_Toc6542"/>
      <w:bookmarkStart w:id="44" w:name="_Toc3628661"/>
      <w:r>
        <w:rPr>
          <w:rFonts w:hint="eastAsia"/>
          <w:color w:val="auto"/>
          <w:highlight w:val="none"/>
          <w:shd w:val="clear" w:color="auto" w:fill="auto"/>
        </w:rPr>
        <w:t>第四章</w:t>
      </w:r>
      <w:bookmarkEnd w:id="41"/>
      <w:bookmarkEnd w:id="42"/>
      <w:r>
        <w:rPr>
          <w:rFonts w:hint="eastAsia"/>
          <w:color w:val="auto"/>
          <w:highlight w:val="none"/>
          <w:shd w:val="clear" w:color="auto" w:fill="auto"/>
        </w:rPr>
        <w:t xml:space="preserve"> 政府采购合同的签订、履约及验收</w:t>
      </w:r>
      <w:bookmarkEnd w:id="43"/>
      <w:bookmarkEnd w:id="44"/>
    </w:p>
    <w:p>
      <w:pPr>
        <w:tabs>
          <w:tab w:val="clear" w:pos="426"/>
        </w:tabs>
        <w:jc w:val="center"/>
        <w:rPr>
          <w:b/>
          <w:color w:val="auto"/>
          <w:sz w:val="24"/>
          <w:highlight w:val="none"/>
          <w:shd w:val="clear" w:color="auto" w:fill="auto"/>
        </w:rPr>
      </w:pPr>
      <w:bookmarkStart w:id="45" w:name="_Toc432592818"/>
      <w:bookmarkStart w:id="46" w:name="_Toc398220526"/>
      <w:r>
        <w:rPr>
          <w:rFonts w:hint="eastAsia"/>
          <w:b/>
          <w:color w:val="auto"/>
          <w:sz w:val="24"/>
          <w:highlight w:val="none"/>
          <w:shd w:val="clear" w:color="auto" w:fill="auto"/>
        </w:rPr>
        <w:t>一、重要提示</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（一）</w:t>
      </w:r>
      <w:r>
        <w:rPr>
          <w:rFonts w:cs="Times New Roman"/>
          <w:color w:val="auto"/>
          <w:kern w:val="2"/>
          <w:szCs w:val="21"/>
          <w:highlight w:val="none"/>
          <w:shd w:val="clear" w:color="auto" w:fill="auto"/>
        </w:rPr>
        <w:t xml:space="preserve"> 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（二）</w:t>
      </w:r>
      <w:r>
        <w:rPr>
          <w:rFonts w:cs="Times New Roman"/>
          <w:color w:val="auto"/>
          <w:kern w:val="2"/>
          <w:szCs w:val="21"/>
          <w:highlight w:val="none"/>
          <w:shd w:val="clear" w:color="auto" w:fill="auto"/>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（三）</w:t>
      </w:r>
      <w:r>
        <w:rPr>
          <w:rFonts w:cs="Times New Roman"/>
          <w:color w:val="auto"/>
          <w:kern w:val="2"/>
          <w:szCs w:val="21"/>
          <w:highlight w:val="none"/>
          <w:shd w:val="clear" w:color="auto" w:fill="auto"/>
        </w:rPr>
        <w:t xml:space="preserve"> 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（四）</w:t>
      </w:r>
      <w:r>
        <w:rPr>
          <w:rFonts w:cs="Times New Roman"/>
          <w:color w:val="auto"/>
          <w:kern w:val="2"/>
          <w:szCs w:val="21"/>
          <w:highlight w:val="none"/>
          <w:shd w:val="clear" w:color="auto" w:fill="auto"/>
        </w:rPr>
        <w:t xml:space="preserve"> 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（五）</w:t>
      </w:r>
      <w:r>
        <w:rPr>
          <w:rFonts w:cs="Times New Roman"/>
          <w:color w:val="auto"/>
          <w:kern w:val="2"/>
          <w:szCs w:val="21"/>
          <w:highlight w:val="none"/>
          <w:shd w:val="clear" w:color="auto" w:fill="auto"/>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color w:val="auto"/>
          <w:kern w:val="2"/>
          <w:szCs w:val="21"/>
          <w:highlight w:val="none"/>
          <w:shd w:val="clear" w:color="auto" w:fill="auto"/>
        </w:rPr>
      </w:pPr>
      <w:r>
        <w:rPr>
          <w:rFonts w:cs="Times New Roman"/>
          <w:b/>
          <w:color w:val="auto"/>
          <w:kern w:val="2"/>
          <w:szCs w:val="21"/>
          <w:highlight w:val="none"/>
          <w:shd w:val="clear" w:color="auto" w:fill="auto"/>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6.恶意投诉的；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（六）</w:t>
      </w:r>
      <w:r>
        <w:rPr>
          <w:rFonts w:cs="Times New Roman"/>
          <w:color w:val="auto"/>
          <w:kern w:val="2"/>
          <w:szCs w:val="21"/>
          <w:highlight w:val="none"/>
          <w:shd w:val="clear" w:color="auto" w:fill="auto"/>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shd w:val="clear" w:color="auto" w:fill="auto"/>
        <w:tabs>
          <w:tab w:val="clear" w:pos="426"/>
        </w:tabs>
        <w:adjustRightInd/>
        <w:snapToGrid/>
        <w:spacing w:line="240" w:lineRule="auto"/>
        <w:jc w:val="left"/>
        <w:rPr>
          <w:b/>
          <w:color w:val="auto"/>
          <w:sz w:val="24"/>
          <w:highlight w:val="none"/>
          <w:shd w:val="clear" w:color="auto" w:fill="auto"/>
        </w:rPr>
      </w:pPr>
      <w:r>
        <w:rPr>
          <w:b/>
          <w:color w:val="auto"/>
          <w:sz w:val="24"/>
          <w:highlight w:val="none"/>
          <w:shd w:val="clear" w:color="auto" w:fill="auto"/>
        </w:rPr>
        <w:br w:type="page"/>
      </w:r>
    </w:p>
    <w:p>
      <w:pPr>
        <w:tabs>
          <w:tab w:val="clear" w:pos="426"/>
        </w:tabs>
        <w:jc w:val="center"/>
        <w:rPr>
          <w:b/>
          <w:color w:val="auto"/>
          <w:sz w:val="24"/>
          <w:highlight w:val="none"/>
          <w:shd w:val="clear" w:color="auto" w:fill="auto"/>
        </w:rPr>
      </w:pPr>
    </w:p>
    <w:p>
      <w:pPr>
        <w:tabs>
          <w:tab w:val="clear" w:pos="426"/>
        </w:tabs>
        <w:jc w:val="center"/>
        <w:rPr>
          <w:b/>
          <w:color w:val="auto"/>
          <w:sz w:val="24"/>
          <w:highlight w:val="none"/>
          <w:shd w:val="clear" w:color="auto" w:fill="auto"/>
        </w:rPr>
      </w:pPr>
      <w:r>
        <w:rPr>
          <w:rFonts w:hint="eastAsia"/>
          <w:b/>
          <w:color w:val="auto"/>
          <w:sz w:val="24"/>
          <w:highlight w:val="none"/>
          <w:shd w:val="clear" w:color="auto" w:fill="auto"/>
        </w:rPr>
        <w:t>二、合同条款及格式</w:t>
      </w:r>
    </w:p>
    <w:p>
      <w:r>
        <w:rPr>
          <w:rFonts w:hint="eastAsia"/>
        </w:rPr>
        <w:t>甲方：</w:t>
      </w:r>
      <w:r>
        <w:rPr>
          <w:rFonts w:hint="eastAsia"/>
          <w:u w:val="single"/>
        </w:rPr>
        <w:t>深圳平乐骨伤科医院（深圳市坪山区中医院）坪山院区</w:t>
      </w:r>
    </w:p>
    <w:p>
      <w:r>
        <w:rPr>
          <w:rFonts w:hint="eastAsia"/>
        </w:rPr>
        <w:t>乙方：</w:t>
      </w:r>
      <w:r>
        <w:rPr>
          <w:rFonts w:hint="eastAsia"/>
          <w:u w:val="single"/>
        </w:rPr>
        <w:t xml:space="preserve">           </w:t>
      </w:r>
    </w:p>
    <w:p>
      <w:pPr>
        <w:rPr>
          <w:sz w:val="24"/>
        </w:rPr>
      </w:pPr>
    </w:p>
    <w:p>
      <w:pPr>
        <w:ind w:firstLine="560"/>
      </w:pPr>
      <w:r>
        <w:rPr>
          <w:rFonts w:hint="eastAsia"/>
        </w:rPr>
        <w:t>根据</w:t>
      </w:r>
      <w:r>
        <w:rPr>
          <w:rFonts w:hint="eastAsia"/>
          <w:u w:val="single"/>
        </w:rPr>
        <w:t xml:space="preserve">        </w:t>
      </w:r>
      <w:r>
        <w:rPr>
          <w:rFonts w:hint="eastAsia"/>
        </w:rPr>
        <w:t>号招标项目的投标结果，由</w:t>
      </w:r>
      <w:r>
        <w:rPr>
          <w:rFonts w:hint="eastAsia"/>
          <w:u w:val="single"/>
        </w:rPr>
        <w:t xml:space="preserve">       </w:t>
      </w:r>
      <w:r>
        <w:rPr>
          <w:rFonts w:hint="eastAsia"/>
        </w:rPr>
        <w:t>单位为中标方。按照《中华人民共和国合同法》和《深圳经济特区政府采购条例》，经深圳市</w:t>
      </w:r>
      <w:r>
        <w:rPr>
          <w:rFonts w:hint="eastAsia"/>
          <w:u w:val="single"/>
        </w:rPr>
        <w:t xml:space="preserve">           </w:t>
      </w:r>
      <w:r>
        <w:rPr>
          <w:rFonts w:hint="eastAsia"/>
        </w:rPr>
        <w:t>（以下简称甲方）和</w:t>
      </w:r>
      <w:r>
        <w:rPr>
          <w:rFonts w:hint="eastAsia"/>
          <w:u w:val="single"/>
        </w:rPr>
        <w:t xml:space="preserve">           </w:t>
      </w:r>
      <w:r>
        <w:rPr>
          <w:rFonts w:hint="eastAsia"/>
        </w:rPr>
        <w:t>单位（以下简称乙方）协商，达成以下合同条款：</w:t>
      </w:r>
    </w:p>
    <w:p>
      <w:pPr>
        <w:ind w:firstLine="560"/>
        <w:rPr>
          <w:b/>
        </w:rPr>
      </w:pPr>
      <w:r>
        <w:rPr>
          <w:rFonts w:hint="eastAsia"/>
          <w:b/>
        </w:rPr>
        <w:t>第一条  合同标的</w:t>
      </w:r>
    </w:p>
    <w:p>
      <w:pPr>
        <w:ind w:firstLine="560"/>
      </w:pPr>
      <w:r>
        <w:rPr>
          <w:rFonts w:hint="eastAsia"/>
        </w:rPr>
        <w:t>乙方根据甲方需求提供下列货物：</w:t>
      </w:r>
    </w:p>
    <w:p>
      <w:pPr>
        <w:ind w:firstLine="560"/>
      </w:pPr>
      <w:r>
        <w:rPr>
          <w:rFonts w:hint="eastAsia"/>
        </w:rPr>
        <w:t>货物名称、规格及数量详见</w:t>
      </w:r>
      <w:r>
        <w:rPr>
          <w:rFonts w:hint="eastAsia"/>
          <w:b/>
          <w:u w:val="single"/>
        </w:rPr>
        <w:t xml:space="preserve">                  </w:t>
      </w:r>
      <w:r>
        <w:rPr>
          <w:rFonts w:hint="eastAsia"/>
        </w:rPr>
        <w:t>。</w:t>
      </w:r>
    </w:p>
    <w:p>
      <w:pPr>
        <w:ind w:firstLine="560"/>
        <w:rPr>
          <w:b/>
        </w:rPr>
      </w:pPr>
      <w:r>
        <w:rPr>
          <w:rFonts w:hint="eastAsia"/>
          <w:b/>
        </w:rPr>
        <w:t>第二条  合同价款</w:t>
      </w:r>
    </w:p>
    <w:p>
      <w:pPr>
        <w:ind w:firstLine="560"/>
      </w:pPr>
      <w:r>
        <w:rPr>
          <w:rFonts w:hint="eastAsia"/>
        </w:rPr>
        <w:t>本合同项下总价款为</w:t>
      </w:r>
      <w:r>
        <w:rPr>
          <w:rFonts w:hint="eastAsia"/>
          <w:u w:val="single"/>
        </w:rPr>
        <w:t xml:space="preserve">              </w:t>
      </w:r>
      <w:r>
        <w:rPr>
          <w:rFonts w:hint="eastAsia"/>
        </w:rPr>
        <w:t>（大写）人民币，分项价款详见</w:t>
      </w:r>
      <w:r>
        <w:rPr>
          <w:rFonts w:hint="eastAsia"/>
          <w:b/>
          <w:u w:val="single"/>
        </w:rPr>
        <w:t xml:space="preserve">          </w:t>
      </w:r>
      <w:r>
        <w:rPr>
          <w:rFonts w:hint="eastAsia"/>
        </w:rPr>
        <w:t>。本合同总价款已包括乙方为履行本合同义务所发生的一切费用，系固定不变价格，且不随通货膨胀的影响而波动。</w:t>
      </w:r>
    </w:p>
    <w:p>
      <w:pPr>
        <w:ind w:firstLine="560"/>
        <w:rPr>
          <w:b/>
        </w:rPr>
      </w:pPr>
      <w:r>
        <w:rPr>
          <w:rFonts w:hint="eastAsia"/>
          <w:b/>
        </w:rPr>
        <w:t>第三条  权利保证</w:t>
      </w:r>
    </w:p>
    <w:p>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ind w:firstLine="560"/>
        <w:rPr>
          <w:b/>
        </w:rPr>
      </w:pPr>
      <w:r>
        <w:rPr>
          <w:rFonts w:hint="eastAsia"/>
          <w:b/>
        </w:rPr>
        <w:t>第四条  质量保证</w:t>
      </w:r>
    </w:p>
    <w:p>
      <w:pPr>
        <w:ind w:firstLine="560"/>
      </w:pPr>
      <w:r>
        <w:rPr>
          <w:rFonts w:hint="eastAsia"/>
        </w:rPr>
        <w:t>1.乙方所提供的货物的技术规格符合招标文件规定的技术规格，货物符合中华人民共和国的设计和制造生产标准或行业标准。</w:t>
      </w:r>
    </w:p>
    <w:p>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pPr>
        <w:ind w:firstLine="560"/>
      </w:pPr>
      <w:r>
        <w:rPr>
          <w:rFonts w:hint="eastAsia"/>
        </w:rPr>
        <w:t>3.乙方保证交货时一并提供货物的质量合格凭证或文件。</w:t>
      </w:r>
    </w:p>
    <w:p>
      <w:pPr>
        <w:ind w:firstLine="560"/>
        <w:rPr>
          <w:b/>
        </w:rPr>
      </w:pPr>
      <w:r>
        <w:rPr>
          <w:rFonts w:hint="eastAsia"/>
          <w:b/>
        </w:rPr>
        <w:t>第五条  交货和验收</w:t>
      </w:r>
    </w:p>
    <w:p>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ind w:firstLine="560"/>
      </w:pPr>
      <w:r>
        <w:rPr>
          <w:rFonts w:hint="eastAsia"/>
        </w:rPr>
        <w:t>4.甲方应当在到货后的</w:t>
      </w:r>
      <w:r>
        <w:rPr>
          <w:u w:val="single"/>
        </w:rPr>
        <w:t>30</w:t>
      </w:r>
      <w:r>
        <w:rPr>
          <w:rFonts w:hint="eastAsia"/>
        </w:rPr>
        <w:t>个工作日内对货物进行验收；需要乙方对货物或系统进行安装调试的，甲方应在货物安装调试完毕后的</w:t>
      </w:r>
      <w:r>
        <w:rPr>
          <w:u w:val="single"/>
        </w:rPr>
        <w:t>30</w:t>
      </w:r>
      <w:r>
        <w:rPr>
          <w:rFonts w:hint="eastAsia"/>
        </w:rPr>
        <w:t>个工作日内进行质量验收。</w:t>
      </w:r>
    </w:p>
    <w:p>
      <w:pPr>
        <w:ind w:firstLine="560"/>
        <w:rPr>
          <w:b/>
        </w:rPr>
      </w:pPr>
      <w:r>
        <w:rPr>
          <w:rFonts w:hint="eastAsia"/>
          <w:b/>
        </w:rPr>
        <w:t>第六条  保修及其他服务</w:t>
      </w:r>
    </w:p>
    <w:p>
      <w:pPr>
        <w:ind w:firstLine="560"/>
      </w:pPr>
      <w:r>
        <w:rPr>
          <w:rFonts w:hint="eastAsia"/>
        </w:rPr>
        <w:t>1.乙方应按照国家有关法律法规规章和“三包”规定和招标文件的要求及乙方在投标文件的相关承诺提供保修及其他服务。</w:t>
      </w:r>
    </w:p>
    <w:p>
      <w:pPr>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所有货物保修服务方式均为乙方上门保修，即由乙方派员到货物使用现场维修，由此产生的一切费用均由乙方承担。保修期后的货物维护另行协商。</w:t>
      </w:r>
    </w:p>
    <w:p>
      <w:pPr>
        <w:ind w:firstLine="560"/>
        <w:rPr>
          <w:b/>
          <w:highlight w:val="none"/>
        </w:rPr>
      </w:pPr>
      <w:r>
        <w:rPr>
          <w:rFonts w:hint="eastAsia"/>
          <w:b/>
          <w:highlight w:val="none"/>
        </w:rPr>
        <w:t>第七条  履约保证金</w:t>
      </w:r>
    </w:p>
    <w:p>
      <w:pPr>
        <w:ind w:firstLine="420" w:firstLineChars="200"/>
        <w:rPr>
          <w:highlight w:val="none"/>
        </w:rPr>
      </w:pPr>
      <w:r>
        <w:rPr>
          <w:rFonts w:hint="eastAsia"/>
          <w:highlight w:val="none"/>
        </w:rPr>
        <w:t>1.乙方应在签订本合同之日，向甲方或甲方指定的机构提交履约保证金_________元。</w:t>
      </w:r>
    </w:p>
    <w:p>
      <w:pPr>
        <w:ind w:firstLine="420" w:firstLineChars="200"/>
        <w:rPr>
          <w:highlight w:val="none"/>
        </w:rPr>
      </w:pPr>
      <w:r>
        <w:rPr>
          <w:rFonts w:hint="eastAsia"/>
          <w:highlight w:val="none"/>
        </w:rPr>
        <w:t>2.如乙方未能履行合同规定的义务，甲方有权从履约保证金中取得补偿。</w:t>
      </w:r>
    </w:p>
    <w:p>
      <w:pPr>
        <w:ind w:firstLine="422" w:firstLineChars="200"/>
        <w:rPr>
          <w:b/>
          <w:highlight w:val="none"/>
        </w:rPr>
      </w:pPr>
      <w:r>
        <w:rPr>
          <w:rFonts w:hint="eastAsia"/>
          <w:b/>
          <w:highlight w:val="none"/>
        </w:rPr>
        <w:t>第八条   货款支付</w:t>
      </w:r>
    </w:p>
    <w:p>
      <w:pPr>
        <w:shd w:val="clear" w:color="auto" w:fill="FFFFFF"/>
        <w:ind w:firstLine="420" w:firstLineChars="200"/>
        <w:rPr>
          <w:rFonts w:hint="eastAsia"/>
          <w:highlight w:val="none"/>
        </w:rPr>
      </w:pPr>
      <w:r>
        <w:rPr>
          <w:rFonts w:hint="eastAsia"/>
          <w:highlight w:val="none"/>
        </w:rPr>
        <w:t>（1）合同签订10个工作日内，甲方向乙方支付合同价的30%作为定金；</w:t>
      </w:r>
    </w:p>
    <w:p>
      <w:pPr>
        <w:shd w:val="clear" w:color="auto" w:fill="FFFFFF"/>
        <w:ind w:firstLine="420" w:firstLineChars="200"/>
        <w:rPr>
          <w:rFonts w:hint="eastAsia"/>
          <w:highlight w:val="none"/>
        </w:rPr>
      </w:pPr>
      <w:r>
        <w:rPr>
          <w:rFonts w:hint="eastAsia"/>
          <w:highlight w:val="none"/>
        </w:rPr>
        <w:t>（2）货物到场后，且乙方向甲方提供合同价70%的履约保证金后，甲方向乙方支付至合同价的100%。</w:t>
      </w:r>
    </w:p>
    <w:p>
      <w:pPr>
        <w:shd w:val="clear" w:color="auto" w:fill="FFFFFF"/>
        <w:ind w:firstLine="420" w:firstLineChars="200"/>
        <w:rPr>
          <w:rFonts w:hint="eastAsia"/>
          <w:highlight w:val="none"/>
        </w:rPr>
      </w:pPr>
      <w:r>
        <w:rPr>
          <w:rFonts w:hint="eastAsia"/>
          <w:highlight w:val="none"/>
        </w:rPr>
        <w:t>（3）完成进度80%时，甲方向乙方退还50%的履约保证金。</w:t>
      </w:r>
    </w:p>
    <w:p>
      <w:pPr>
        <w:shd w:val="clear" w:color="auto" w:fill="FFFFFF"/>
        <w:ind w:firstLine="420" w:firstLineChars="200"/>
        <w:rPr>
          <w:rFonts w:hint="eastAsia"/>
          <w:highlight w:val="none"/>
        </w:rPr>
      </w:pPr>
      <w:r>
        <w:rPr>
          <w:rFonts w:hint="eastAsia"/>
          <w:highlight w:val="none"/>
        </w:rPr>
        <w:t>（4）完成进度100%时，甲方向乙方退还1</w:t>
      </w:r>
      <w:r>
        <w:rPr>
          <w:rFonts w:hint="eastAsia"/>
          <w:highlight w:val="none"/>
          <w:lang w:val="en-US" w:eastAsia="zh-CN"/>
        </w:rPr>
        <w:t>5</w:t>
      </w:r>
      <w:r>
        <w:rPr>
          <w:rFonts w:hint="eastAsia"/>
          <w:highlight w:val="none"/>
        </w:rPr>
        <w:t>%的履约保证金。</w:t>
      </w:r>
    </w:p>
    <w:p>
      <w:pPr>
        <w:shd w:val="clear" w:color="auto" w:fill="FFFFFF"/>
        <w:ind w:firstLine="420" w:firstLineChars="200"/>
        <w:rPr>
          <w:rFonts w:hint="eastAsia"/>
          <w:highlight w:val="none"/>
        </w:rPr>
      </w:pPr>
      <w:r>
        <w:rPr>
          <w:rFonts w:hint="eastAsia"/>
          <w:highlight w:val="none"/>
        </w:rPr>
        <w:t>（5）货物或工程验收合格无异议的一年后，甲方向乙方退还</w:t>
      </w:r>
      <w:r>
        <w:rPr>
          <w:rFonts w:hint="eastAsia"/>
          <w:highlight w:val="none"/>
          <w:lang w:val="en-US" w:eastAsia="zh-CN"/>
        </w:rPr>
        <w:t>5</w:t>
      </w:r>
      <w:r>
        <w:rPr>
          <w:rFonts w:hint="eastAsia"/>
          <w:highlight w:val="none"/>
        </w:rPr>
        <w:t>%的履约保证金。</w:t>
      </w:r>
    </w:p>
    <w:p>
      <w:pPr>
        <w:ind w:firstLine="422" w:firstLineChars="200"/>
        <w:rPr>
          <w:b/>
          <w:highlight w:val="none"/>
        </w:rPr>
      </w:pPr>
      <w:r>
        <w:rPr>
          <w:rFonts w:hint="eastAsia"/>
          <w:b/>
          <w:highlight w:val="none"/>
        </w:rPr>
        <w:t>第九条    违约责任</w:t>
      </w:r>
    </w:p>
    <w:p>
      <w:pPr>
        <w:ind w:firstLine="560"/>
      </w:pPr>
      <w:r>
        <w:rPr>
          <w:rFonts w:hint="eastAsia"/>
        </w:rPr>
        <w:t>1.甲方无正当理由拒收货物、拒付货物款的，由甲方向乙方偿付合同总价的</w:t>
      </w:r>
      <w:r>
        <w:rPr>
          <w:u w:val="single"/>
        </w:rPr>
        <w:t>5</w:t>
      </w:r>
      <w:r>
        <w:rPr>
          <w:rFonts w:hint="eastAsia"/>
        </w:rPr>
        <w:t>%违约金。</w:t>
      </w:r>
    </w:p>
    <w:p>
      <w:pPr>
        <w:ind w:firstLine="560"/>
      </w:pPr>
      <w:r>
        <w:rPr>
          <w:rFonts w:hint="eastAsia"/>
        </w:rPr>
        <w:t>2.甲方未按合同规定的期限向乙方支付货款的，每逾期1天甲方向乙方偿付欠款总额的</w:t>
      </w:r>
      <w:r>
        <w:rPr>
          <w:rFonts w:hint="eastAsia"/>
          <w:u w:val="single"/>
        </w:rPr>
        <w:t>0.1</w:t>
      </w:r>
      <w:r>
        <w:t>‰</w:t>
      </w:r>
      <w:r>
        <w:rPr>
          <w:rFonts w:hint="eastAsia"/>
        </w:rPr>
        <w:t>滞纳金，但累计滞纳金总额不超过欠款总额的</w:t>
      </w:r>
      <w:r>
        <w:rPr>
          <w:u w:val="single"/>
        </w:rPr>
        <w:t>5</w:t>
      </w:r>
      <w:r>
        <w:rPr>
          <w:rFonts w:hint="eastAsia"/>
        </w:rPr>
        <w:t>% 。</w:t>
      </w:r>
    </w:p>
    <w:p>
      <w:pPr>
        <w:ind w:firstLine="560"/>
      </w:pPr>
      <w:r>
        <w:rPr>
          <w:rFonts w:hint="eastAsia"/>
        </w:rPr>
        <w:t>3.</w:t>
      </w:r>
      <w:r>
        <w:t>乙方逾期交付货物的，每逾期1天，乙方向甲方偿付逾期交货部分货款总额的</w:t>
      </w:r>
      <w:r>
        <w:rPr>
          <w:u w:val="single"/>
        </w:rPr>
        <w:t>0.1</w:t>
      </w:r>
      <w:r>
        <w:t>‰的滞纳金</w:t>
      </w:r>
      <w:r>
        <w:rPr>
          <w:rFonts w:hint="eastAsia"/>
        </w:rPr>
        <w:t>。如乙方逾期交货达</w:t>
      </w:r>
      <w:r>
        <w:rPr>
          <w:u w:val="single"/>
        </w:rPr>
        <w:t>10</w:t>
      </w:r>
      <w:r>
        <w:rPr>
          <w:rFonts w:hint="eastAsia"/>
        </w:rPr>
        <w:t>天，甲方有权解除合同，履约保证金不予退回，同时乙方应向甲方支付合同总价</w:t>
      </w:r>
      <w:r>
        <w:rPr>
          <w:u w:val="single"/>
        </w:rPr>
        <w:t>20</w:t>
      </w:r>
      <w:r>
        <w:rPr>
          <w:rFonts w:hint="eastAsia"/>
        </w:rPr>
        <w:t>％的违约金。</w:t>
      </w:r>
    </w:p>
    <w:p>
      <w:pPr>
        <w:ind w:firstLine="560"/>
      </w:pPr>
      <w:r>
        <w:rPr>
          <w:rFonts w:hint="eastAsia"/>
        </w:rPr>
        <w:t>4.乙方所交付的货物品种、型号、规格不符合合同规定的，甲方有权拒收。甲方拒收的，乙方应向甲方支付货款总额</w:t>
      </w:r>
      <w:r>
        <w:rPr>
          <w:u w:val="single"/>
        </w:rPr>
        <w:t>20</w:t>
      </w:r>
      <w:r>
        <w:rPr>
          <w:rFonts w:hint="eastAsia"/>
        </w:rPr>
        <w:t>%的违约金。</w:t>
      </w:r>
    </w:p>
    <w:p>
      <w:pPr>
        <w:ind w:firstLine="560"/>
      </w:pPr>
      <w:r>
        <w:rPr>
          <w:rFonts w:hint="eastAsia"/>
        </w:rPr>
        <w:t>5.在乙方承诺的或国家规定的质量保证期内（取两者中最长的期限），</w:t>
      </w:r>
      <w:r>
        <w:t>如经乙方两次维修</w:t>
      </w:r>
      <w:r>
        <w:rPr>
          <w:rFonts w:hint="eastAsia"/>
        </w:rPr>
        <w:t>或更换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pPr>
        <w:ind w:firstLine="560"/>
      </w:pPr>
      <w:r>
        <w:rPr>
          <w:rFonts w:hint="eastAsia"/>
        </w:rPr>
        <w:t>6.乙方未履行本合同项下的其他义务或违反其在投标文件中的相关承诺的，应按合同总价款的</w:t>
      </w:r>
      <w:r>
        <w:rPr>
          <w:u w:val="single"/>
        </w:rPr>
        <w:t>20</w:t>
      </w:r>
      <w:r>
        <w:rPr>
          <w:rFonts w:hint="eastAsia"/>
        </w:rPr>
        <w:t>%向甲方承担违约责任。</w:t>
      </w:r>
    </w:p>
    <w:p>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pPr>
        <w:ind w:firstLine="560"/>
        <w:rPr>
          <w:b/>
        </w:rPr>
      </w:pPr>
      <w:r>
        <w:rPr>
          <w:rFonts w:hint="eastAsia"/>
          <w:b/>
        </w:rPr>
        <w:t>第十条    合同的变更和终止</w:t>
      </w:r>
    </w:p>
    <w:p>
      <w:pPr>
        <w:ind w:firstLine="560"/>
      </w:pPr>
      <w:r>
        <w:rPr>
          <w:rFonts w:hint="eastAsia"/>
        </w:rPr>
        <w:t>除《中华人民共和国政府采购法》第４９条、第５０条第二款规定的情形外，本合同一经签订，甲乙双方不得擅自变更、中止或终止合同。</w:t>
      </w:r>
    </w:p>
    <w:p>
      <w:pPr>
        <w:ind w:firstLine="560"/>
        <w:rPr>
          <w:b/>
        </w:rPr>
      </w:pPr>
      <w:r>
        <w:rPr>
          <w:rFonts w:hint="eastAsia"/>
          <w:b/>
        </w:rPr>
        <w:t>第十一条   争议的解决</w:t>
      </w:r>
    </w:p>
    <w:p>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pPr>
        <w:ind w:firstLine="560"/>
      </w:pPr>
      <w:r>
        <w:rPr>
          <w:rFonts w:hint="eastAsia"/>
        </w:rPr>
        <w:t>2.因履行本合同引起的或与本合同有关的争议，甲、乙双方应首先通过友好协商解决，如果协商不能解决争议，则向甲方所在地有管辖权的人民法院提起诉讼；</w:t>
      </w:r>
    </w:p>
    <w:p>
      <w:pPr>
        <w:ind w:firstLine="560"/>
        <w:rPr>
          <w:b/>
        </w:rPr>
      </w:pPr>
      <w:r>
        <w:rPr>
          <w:rFonts w:hint="eastAsia"/>
          <w:b/>
        </w:rPr>
        <w:t>第十二条   合同生效及其他</w:t>
      </w:r>
    </w:p>
    <w:p>
      <w:pPr>
        <w:ind w:firstLine="560"/>
      </w:pPr>
      <w:r>
        <w:rPr>
          <w:rFonts w:hint="eastAsia"/>
        </w:rPr>
        <w:t>1.下列文件均为本合同的组成部分：</w:t>
      </w:r>
    </w:p>
    <w:p>
      <w:pPr>
        <w:ind w:firstLine="560"/>
      </w:pPr>
      <w:r>
        <w:rPr>
          <w:rFonts w:hint="eastAsia"/>
        </w:rPr>
        <w:t>（1）</w:t>
      </w:r>
      <w:r>
        <w:rPr>
          <w:rFonts w:hint="eastAsia"/>
          <w:u w:val="single"/>
        </w:rPr>
        <w:t xml:space="preserve">         </w:t>
      </w:r>
      <w:r>
        <w:rPr>
          <w:rFonts w:hint="eastAsia"/>
        </w:rPr>
        <w:t>号招标文件、答疑及补充通知；</w:t>
      </w:r>
    </w:p>
    <w:p>
      <w:pPr>
        <w:ind w:firstLine="560"/>
      </w:pPr>
      <w:r>
        <w:rPr>
          <w:rFonts w:hint="eastAsia"/>
        </w:rPr>
        <w:t>（2）乙方的投标文件；</w:t>
      </w:r>
    </w:p>
    <w:p>
      <w:pPr>
        <w:ind w:firstLine="560"/>
      </w:pPr>
      <w:r>
        <w:rPr>
          <w:rFonts w:hint="eastAsia"/>
        </w:rPr>
        <w:t>（3）本合同执行中甲乙双方共同签署的补充与修正文件。</w:t>
      </w:r>
    </w:p>
    <w:p>
      <w:pPr>
        <w:ind w:firstLine="560"/>
      </w:pPr>
      <w:r>
        <w:rPr>
          <w:rFonts w:hint="eastAsia"/>
        </w:rPr>
        <w:t>2.本合同一式</w:t>
      </w:r>
      <w:r>
        <w:rPr>
          <w:rFonts w:hint="eastAsia"/>
          <w:u w:val="single"/>
        </w:rPr>
        <w:t xml:space="preserve">     </w:t>
      </w:r>
      <w:r>
        <w:rPr>
          <w:rFonts w:hint="eastAsia"/>
        </w:rPr>
        <w:t>份，甲、乙方双方各执</w:t>
      </w:r>
      <w:r>
        <w:rPr>
          <w:rFonts w:hint="eastAsia"/>
          <w:u w:val="single"/>
        </w:rPr>
        <w:t xml:space="preserve">     </w:t>
      </w:r>
      <w:r>
        <w:rPr>
          <w:rFonts w:hint="eastAsia"/>
        </w:rPr>
        <w:t>份，具有同等法律效力。本合同自双方法定代表人（或授权代表）签字并盖章之日起生效。</w:t>
      </w:r>
    </w:p>
    <w:p>
      <w:pPr>
        <w:ind w:firstLine="560"/>
      </w:pPr>
    </w:p>
    <w:p>
      <w:pPr>
        <w:ind w:firstLine="560"/>
      </w:pPr>
    </w:p>
    <w:p>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pPr>
        <w:ind w:firstLine="560"/>
      </w:pPr>
      <w:r>
        <w:rPr>
          <w:rFonts w:hint="eastAsia"/>
        </w:rPr>
        <w:t>法定代表人：</w:t>
      </w:r>
      <w:r>
        <w:rPr>
          <w:rFonts w:hint="eastAsia"/>
          <w:u w:val="single"/>
        </w:rPr>
        <w:t xml:space="preserve">                         </w:t>
      </w:r>
      <w:r>
        <w:rPr>
          <w:rFonts w:hint="eastAsia"/>
        </w:rPr>
        <w:t xml:space="preserve">    法定代表人：</w:t>
      </w:r>
      <w:r>
        <w:rPr>
          <w:rFonts w:hint="eastAsia"/>
          <w:u w:val="single"/>
        </w:rPr>
        <w:t xml:space="preserve">                           </w:t>
      </w:r>
    </w:p>
    <w:p>
      <w:pPr>
        <w:ind w:firstLine="560"/>
        <w:rPr>
          <w:u w:val="single"/>
        </w:rPr>
      </w:pPr>
      <w:r>
        <w:rPr>
          <w:rFonts w:hint="eastAsia"/>
        </w:rPr>
        <w:t>委托代理人：</w:t>
      </w:r>
      <w:r>
        <w:rPr>
          <w:rFonts w:hint="eastAsia"/>
          <w:u w:val="single"/>
        </w:rPr>
        <w:t xml:space="preserve">                         </w:t>
      </w:r>
      <w:r>
        <w:rPr>
          <w:rFonts w:hint="eastAsia"/>
        </w:rPr>
        <w:t xml:space="preserve">    委托代理人：</w:t>
      </w:r>
      <w:r>
        <w:rPr>
          <w:rFonts w:hint="eastAsia"/>
          <w:u w:val="single"/>
        </w:rPr>
        <w:t xml:space="preserve">                           </w:t>
      </w:r>
    </w:p>
    <w:p>
      <w:pPr>
        <w:ind w:firstLine="525" w:firstLineChars="250"/>
        <w:rPr>
          <w:rFonts w:hint="eastAsia"/>
          <w:u w:val="single"/>
        </w:rPr>
        <w:sectPr>
          <w:pgSz w:w="11906" w:h="16838"/>
          <w:pgMar w:top="1134" w:right="1134" w:bottom="1134" w:left="1838" w:header="851" w:footer="992" w:gutter="0"/>
          <w:pgNumType w:fmt="decimal"/>
          <w:cols w:space="720" w:num="1"/>
          <w:titlePg/>
          <w:docGrid w:linePitch="462" w:charSpace="0"/>
        </w:sectPr>
      </w:pPr>
      <w:r>
        <w:rPr>
          <w:rFonts w:hint="eastAsia"/>
        </w:rPr>
        <w:t>日期：</w:t>
      </w:r>
      <w:r>
        <w:rPr>
          <w:rFonts w:hint="eastAsia"/>
          <w:u w:val="single"/>
        </w:rPr>
        <w:t xml:space="preserve">     年     月    日</w:t>
      </w:r>
      <w:r>
        <w:rPr>
          <w:rFonts w:hint="eastAsia"/>
        </w:rPr>
        <w:t xml:space="preserve">     </w:t>
      </w:r>
      <w:r>
        <w:rPr>
          <w:rFonts w:hint="eastAsia"/>
          <w:lang w:val="en-US" w:eastAsia="zh-CN"/>
        </w:rPr>
        <w:t xml:space="preserve">          </w:t>
      </w:r>
      <w:r>
        <w:rPr>
          <w:rFonts w:hint="eastAsia"/>
        </w:rPr>
        <w:t>日期：</w:t>
      </w:r>
      <w:r>
        <w:rPr>
          <w:rFonts w:hint="eastAsia"/>
          <w:u w:val="single"/>
        </w:rPr>
        <w:t xml:space="preserve"> </w:t>
      </w:r>
      <w:r>
        <w:rPr>
          <w:rFonts w:hint="eastAsia"/>
          <w:u w:val="single"/>
          <w:lang w:val="en-US" w:eastAsia="zh-CN"/>
        </w:rPr>
        <w:t xml:space="preserve">   </w:t>
      </w:r>
      <w:r>
        <w:rPr>
          <w:rFonts w:hint="eastAsia"/>
          <w:u w:val="single"/>
        </w:rPr>
        <w:t xml:space="preserve"> 年     月    日</w:t>
      </w:r>
    </w:p>
    <w:p>
      <w:pPr>
        <w:tabs>
          <w:tab w:val="clear" w:pos="426"/>
        </w:tabs>
        <w:jc w:val="center"/>
        <w:rPr>
          <w:b/>
          <w:color w:val="auto"/>
          <w:sz w:val="24"/>
          <w:highlight w:val="none"/>
          <w:shd w:val="clear" w:color="auto" w:fill="auto"/>
        </w:rPr>
      </w:pPr>
      <w:r>
        <w:rPr>
          <w:rFonts w:hint="eastAsia"/>
          <w:b/>
          <w:color w:val="auto"/>
          <w:sz w:val="24"/>
          <w:highlight w:val="none"/>
          <w:shd w:val="clear" w:color="auto" w:fill="auto"/>
        </w:rPr>
        <w:t>三、履约担保</w:t>
      </w:r>
    </w:p>
    <w:p>
      <w:pPr>
        <w:tabs>
          <w:tab w:val="clear" w:pos="426"/>
        </w:tabs>
        <w:ind w:left="6094" w:leftChars="2902"/>
        <w:rPr>
          <w:color w:val="auto"/>
          <w:sz w:val="22"/>
          <w:szCs w:val="22"/>
          <w:highlight w:val="none"/>
          <w:shd w:val="clear" w:color="auto" w:fill="auto"/>
        </w:rPr>
      </w:pPr>
    </w:p>
    <w:p>
      <w:pPr>
        <w:tabs>
          <w:tab w:val="clear" w:pos="426"/>
        </w:tabs>
        <w:ind w:left="6094" w:leftChars="2902"/>
        <w:rPr>
          <w:color w:val="auto"/>
          <w:highlight w:val="none"/>
          <w:u w:val="single"/>
          <w:shd w:val="clear" w:color="auto" w:fill="auto"/>
        </w:rPr>
      </w:pPr>
      <w:r>
        <w:rPr>
          <w:rFonts w:hint="eastAsia"/>
          <w:color w:val="auto"/>
          <w:sz w:val="22"/>
          <w:szCs w:val="22"/>
          <w:highlight w:val="none"/>
          <w:shd w:val="clear" w:color="auto" w:fill="auto"/>
        </w:rPr>
        <w:t>保函编号：</w:t>
      </w:r>
      <w:r>
        <w:rPr>
          <w:rFonts w:hint="eastAsia"/>
          <w:color w:val="auto"/>
          <w:sz w:val="22"/>
          <w:szCs w:val="22"/>
          <w:highlight w:val="none"/>
          <w:u w:val="single"/>
          <w:shd w:val="clear" w:color="auto" w:fill="auto"/>
        </w:rPr>
        <w:t xml:space="preserve">                     </w:t>
      </w:r>
    </w:p>
    <w:p>
      <w:pPr>
        <w:tabs>
          <w:tab w:val="clear" w:pos="426"/>
        </w:tabs>
        <w:rPr>
          <w:color w:val="auto"/>
          <w:sz w:val="22"/>
          <w:szCs w:val="22"/>
          <w:highlight w:val="none"/>
          <w:shd w:val="clear" w:color="auto" w:fill="auto"/>
        </w:rPr>
      </w:pPr>
      <w:r>
        <w:rPr>
          <w:rFonts w:hint="eastAsia"/>
          <w:color w:val="auto"/>
          <w:sz w:val="22"/>
          <w:szCs w:val="22"/>
          <w:highlight w:val="none"/>
          <w:shd w:val="clear" w:color="auto" w:fill="auto"/>
        </w:rPr>
        <w:t>致：</w:t>
      </w:r>
      <w:r>
        <w:rPr>
          <w:rFonts w:hint="eastAsia"/>
          <w:color w:val="auto"/>
          <w:sz w:val="22"/>
          <w:szCs w:val="22"/>
          <w:highlight w:val="none"/>
          <w:u w:val="single"/>
          <w:shd w:val="clear" w:color="auto" w:fill="auto"/>
        </w:rPr>
        <w:t xml:space="preserve">  </w:t>
      </w:r>
      <w:r>
        <w:rPr>
          <w:rFonts w:hint="eastAsia"/>
          <w:color w:val="auto"/>
          <w:highlight w:val="none"/>
          <w:u w:val="single"/>
          <w:shd w:val="clear" w:color="auto" w:fill="auto"/>
        </w:rPr>
        <w:t xml:space="preserve">               </w:t>
      </w:r>
      <w:r>
        <w:rPr>
          <w:rFonts w:hint="eastAsia"/>
          <w:color w:val="auto"/>
          <w:sz w:val="22"/>
          <w:szCs w:val="22"/>
          <w:highlight w:val="none"/>
          <w:u w:val="single"/>
          <w:shd w:val="clear" w:color="auto" w:fill="auto"/>
        </w:rPr>
        <w:t xml:space="preserve"> </w:t>
      </w:r>
      <w:r>
        <w:rPr>
          <w:rFonts w:hint="eastAsia"/>
          <w:color w:val="auto"/>
          <w:sz w:val="22"/>
          <w:szCs w:val="22"/>
          <w:highlight w:val="non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 xml:space="preserve">鉴于 </w:t>
      </w:r>
      <w:r>
        <w:rPr>
          <w:rFonts w:hint="eastAsia"/>
          <w:color w:val="auto"/>
          <w:highlight w:val="none"/>
          <w:u w:val="single"/>
          <w:shd w:val="clear" w:color="auto" w:fill="auto"/>
        </w:rPr>
        <w:t xml:space="preserve">     （被保护人)       </w:t>
      </w:r>
      <w:r>
        <w:rPr>
          <w:rFonts w:hint="eastAsia"/>
          <w:color w:val="auto"/>
          <w:highlight w:val="none"/>
          <w:shd w:val="clear" w:color="auto" w:fill="auto"/>
        </w:rPr>
        <w:t>已于贵方签订了</w:t>
      </w:r>
      <w:r>
        <w:rPr>
          <w:rFonts w:hint="eastAsia"/>
          <w:color w:val="auto"/>
          <w:highlight w:val="none"/>
          <w:u w:val="single"/>
          <w:shd w:val="clear" w:color="auto" w:fill="auto"/>
        </w:rPr>
        <w:t xml:space="preserve">  （项目名称）（项目编号：      ）  </w:t>
      </w:r>
      <w:r>
        <w:rPr>
          <w:rFonts w:hint="eastAsia"/>
          <w:color w:val="auto"/>
          <w:highlight w:val="none"/>
          <w:shd w:val="clear" w:color="auto" w:fill="auto"/>
        </w:rPr>
        <w:t>的</w:t>
      </w:r>
      <w:r>
        <w:rPr>
          <w:rFonts w:hint="eastAsia"/>
          <w:color w:val="auto"/>
          <w:highlight w:val="none"/>
          <w:u w:val="single"/>
          <w:shd w:val="clear" w:color="auto" w:fill="auto"/>
        </w:rPr>
        <w:t xml:space="preserve">  （采购合同名称）  </w:t>
      </w:r>
      <w:r>
        <w:rPr>
          <w:rFonts w:hint="eastAsia"/>
          <w:color w:val="auto"/>
          <w:highlight w:val="none"/>
          <w:shd w:val="clear" w:color="auto" w:fill="auto"/>
        </w:rPr>
        <w:t>采购合同（下称合同)，工期自</w:t>
      </w:r>
      <w:r>
        <w:rPr>
          <w:rFonts w:hint="eastAsia"/>
          <w:color w:val="auto"/>
          <w:highlight w:val="none"/>
          <w:u w:val="single"/>
          <w:shd w:val="clear" w:color="auto" w:fill="auto"/>
        </w:rPr>
        <w:t xml:space="preserve">       年   月   日</w:t>
      </w:r>
      <w:r>
        <w:rPr>
          <w:rFonts w:hint="eastAsia"/>
          <w:color w:val="auto"/>
          <w:highlight w:val="none"/>
          <w:shd w:val="clear" w:color="auto" w:fill="auto"/>
        </w:rPr>
        <w:t>至</w:t>
      </w:r>
      <w:r>
        <w:rPr>
          <w:rFonts w:hint="eastAsia"/>
          <w:color w:val="auto"/>
          <w:highlight w:val="none"/>
          <w:u w:val="single"/>
          <w:shd w:val="clear" w:color="auto" w:fill="auto"/>
        </w:rPr>
        <w:t xml:space="preserve">       年   月   日</w:t>
      </w:r>
      <w:r>
        <w:rPr>
          <w:rFonts w:hint="eastAsia"/>
          <w:color w:val="auto"/>
          <w:highlight w:val="none"/>
          <w:shd w:val="clear" w:color="auto" w:fill="auto"/>
        </w:rPr>
        <w:t>。我方接受被保证人的委托，在此向受益人提供不可撤销的履约保函：</w:t>
      </w:r>
    </w:p>
    <w:p>
      <w:pPr>
        <w:tabs>
          <w:tab w:val="clear" w:pos="426"/>
        </w:tabs>
        <w:rPr>
          <w:color w:val="auto"/>
          <w:highlight w:val="none"/>
          <w:shd w:val="clear" w:color="auto" w:fill="auto"/>
        </w:rPr>
      </w:pPr>
      <w:r>
        <w:rPr>
          <w:rFonts w:hint="eastAsia"/>
          <w:color w:val="auto"/>
          <w:highlight w:val="none"/>
          <w:shd w:val="clear" w:color="auto" w:fill="auto"/>
        </w:rPr>
        <w:t>1．本保证担保的最高担保金额为人民币</w:t>
      </w:r>
      <w:r>
        <w:rPr>
          <w:rFonts w:hint="eastAsia"/>
          <w:color w:val="auto"/>
          <w:highlight w:val="none"/>
          <w:u w:val="single"/>
          <w:shd w:val="clear" w:color="auto" w:fill="auto"/>
        </w:rPr>
        <w:t xml:space="preserve">   （小写)    </w:t>
      </w:r>
      <w:r>
        <w:rPr>
          <w:rFonts w:hint="eastAsia"/>
          <w:color w:val="auto"/>
          <w:highlight w:val="none"/>
          <w:shd w:val="clear" w:color="auto" w:fill="auto"/>
        </w:rPr>
        <w:t>元（</w:t>
      </w:r>
      <w:r>
        <w:rPr>
          <w:rFonts w:hint="eastAsia"/>
          <w:color w:val="auto"/>
          <w:highlight w:val="none"/>
          <w:u w:val="single"/>
          <w:shd w:val="clear" w:color="auto" w:fill="auto"/>
        </w:rPr>
        <w:t xml:space="preserve">   （大写)     </w:t>
      </w:r>
      <w:r>
        <w:rPr>
          <w:rFonts w:hint="eastAsia"/>
          <w:color w:val="auto"/>
          <w:highlight w:val="none"/>
          <w:shd w:val="clear" w:color="auto" w:fill="auto"/>
        </w:rPr>
        <w:t>元）。</w:t>
      </w:r>
    </w:p>
    <w:p>
      <w:pPr>
        <w:tabs>
          <w:tab w:val="clear" w:pos="426"/>
        </w:tabs>
        <w:rPr>
          <w:color w:val="auto"/>
          <w:highlight w:val="none"/>
          <w:shd w:val="clear" w:color="auto" w:fill="auto"/>
        </w:rPr>
      </w:pPr>
      <w:r>
        <w:rPr>
          <w:rFonts w:hint="eastAsia"/>
          <w:color w:val="auto"/>
          <w:highlight w:val="none"/>
          <w:shd w:val="clear" w:color="auto" w:fill="auto"/>
        </w:rPr>
        <w:t>2．本保证担保的保证期间自</w:t>
      </w:r>
      <w:r>
        <w:rPr>
          <w:rFonts w:hint="eastAsia"/>
          <w:color w:val="auto"/>
          <w:highlight w:val="none"/>
          <w:u w:val="single"/>
          <w:shd w:val="clear" w:color="auto" w:fill="auto"/>
        </w:rPr>
        <w:t xml:space="preserve">        年    月   日</w:t>
      </w:r>
      <w:r>
        <w:rPr>
          <w:rFonts w:hint="eastAsia"/>
          <w:color w:val="auto"/>
          <w:highlight w:val="none"/>
          <w:shd w:val="clear" w:color="auto" w:fill="auto"/>
        </w:rPr>
        <w:t>至</w:t>
      </w:r>
      <w:r>
        <w:rPr>
          <w:rFonts w:hint="eastAsia"/>
          <w:color w:val="auto"/>
          <w:highlight w:val="none"/>
          <w:u w:val="single"/>
          <w:shd w:val="clear" w:color="auto" w:fill="auto"/>
        </w:rPr>
        <w:t xml:space="preserve">        年   月   日</w:t>
      </w:r>
      <w:r>
        <w:rPr>
          <w:rFonts w:hint="eastAsia"/>
          <w:color w:val="auto"/>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3．在本保证担保的保证期间内，我方将在收到</w:t>
      </w:r>
      <w:r>
        <w:rPr>
          <w:rFonts w:hint="eastAsia"/>
          <w:color w:val="auto"/>
          <w:highlight w:val="none"/>
          <w:u w:val="single"/>
          <w:shd w:val="clear" w:color="auto" w:fill="auto"/>
        </w:rPr>
        <w:t xml:space="preserve">      （受益人）     </w:t>
      </w:r>
      <w:r>
        <w:rPr>
          <w:rFonts w:hint="eastAsia"/>
          <w:color w:val="auto"/>
          <w:highlight w:val="none"/>
          <w:shd w:val="clear" w:color="auto" w:fill="auto"/>
        </w:rPr>
        <w:t>法定代表人或其授权委托代理人签字确认并加盖公章的书面索赔通知后</w:t>
      </w:r>
      <w:r>
        <w:rPr>
          <w:rFonts w:hint="eastAsia"/>
          <w:color w:val="auto"/>
          <w:highlight w:val="none"/>
          <w:u w:val="single"/>
          <w:shd w:val="clear" w:color="auto" w:fill="auto"/>
        </w:rPr>
        <w:t xml:space="preserve">     </w:t>
      </w:r>
      <w:r>
        <w:rPr>
          <w:rFonts w:hint="eastAsia"/>
          <w:color w:val="auto"/>
          <w:highlight w:val="none"/>
          <w:shd w:val="clear" w:color="auto" w:fill="auto"/>
        </w:rPr>
        <w:t>个工作日内，不争辩、不挑剔、不可撤销地向受益人支付索赔款，直至本保证的最高担保金额。</w:t>
      </w:r>
    </w:p>
    <w:p>
      <w:pPr>
        <w:tabs>
          <w:tab w:val="clear" w:pos="426"/>
        </w:tabs>
        <w:rPr>
          <w:color w:val="auto"/>
          <w:highlight w:val="none"/>
          <w:shd w:val="clear" w:color="auto" w:fill="auto"/>
        </w:rPr>
      </w:pPr>
      <w:r>
        <w:rPr>
          <w:rFonts w:hint="eastAsia"/>
          <w:color w:val="auto"/>
          <w:highlight w:val="none"/>
          <w:shd w:val="clear" w:color="auto" w:fill="auto"/>
        </w:rPr>
        <w:t>4．索赔通知应当说明索赔理由、索赔款额的计算方法，并必须在本保证担保的保证期间内送达我方。</w:t>
      </w:r>
    </w:p>
    <w:p>
      <w:pPr>
        <w:tabs>
          <w:tab w:val="clear" w:pos="426"/>
        </w:tabs>
        <w:rPr>
          <w:color w:val="auto"/>
          <w:highlight w:val="none"/>
          <w:shd w:val="clear" w:color="auto" w:fill="auto"/>
        </w:rPr>
      </w:pPr>
      <w:r>
        <w:rPr>
          <w:rFonts w:hint="eastAsia"/>
          <w:color w:val="auto"/>
          <w:highlight w:val="none"/>
          <w:shd w:val="clear" w:color="auto" w:fill="auto"/>
        </w:rPr>
        <w:t>5．本保证担保项下的权利不得转让。</w:t>
      </w:r>
    </w:p>
    <w:p>
      <w:pPr>
        <w:tabs>
          <w:tab w:val="clear" w:pos="426"/>
        </w:tabs>
        <w:rPr>
          <w:color w:val="auto"/>
          <w:highlight w:val="none"/>
          <w:shd w:val="clear" w:color="auto" w:fill="auto"/>
        </w:rPr>
      </w:pPr>
      <w:r>
        <w:rPr>
          <w:rFonts w:hint="eastAsia"/>
          <w:color w:val="auto"/>
          <w:highlight w:val="none"/>
          <w:shd w:val="clear" w:color="auto" w:fill="auto"/>
        </w:rPr>
        <w:t>6．我方提供本保证担保后，受益人与被保证人对合同进行修订的，应当将修订后的合同原件送我方备案。</w:t>
      </w:r>
    </w:p>
    <w:p>
      <w:pPr>
        <w:tabs>
          <w:tab w:val="clear" w:pos="426"/>
        </w:tabs>
        <w:rPr>
          <w:color w:val="auto"/>
          <w:highlight w:val="none"/>
          <w:shd w:val="clear" w:color="auto" w:fill="auto"/>
        </w:rPr>
      </w:pPr>
      <w:r>
        <w:rPr>
          <w:rFonts w:hint="eastAsia"/>
          <w:color w:val="auto"/>
          <w:highlight w:val="none"/>
          <w:shd w:val="clear" w:color="auto" w:fill="auto"/>
        </w:rPr>
        <w:t>7．本保证担保的保证期间届满，或我方向受益人支付的索赔款已达本保证担保的最高担保金额，我方的保证责任免除。</w:t>
      </w:r>
    </w:p>
    <w:p>
      <w:pPr>
        <w:tabs>
          <w:tab w:val="clear" w:pos="426"/>
        </w:tabs>
        <w:rPr>
          <w:color w:val="auto"/>
          <w:highlight w:val="none"/>
          <w:shd w:val="clear" w:color="auto" w:fill="auto"/>
        </w:rPr>
      </w:pPr>
      <w:r>
        <w:rPr>
          <w:rFonts w:hint="eastAsia"/>
          <w:color w:val="auto"/>
          <w:highlight w:val="none"/>
          <w:shd w:val="clear" w:color="auto" w:fill="auto"/>
        </w:rPr>
        <w:t>8．本保证担保适用中华人民共和国法律。</w:t>
      </w:r>
    </w:p>
    <w:p>
      <w:pPr>
        <w:tabs>
          <w:tab w:val="clear" w:pos="426"/>
        </w:tabs>
        <w:rPr>
          <w:color w:val="auto"/>
          <w:highlight w:val="none"/>
          <w:shd w:val="clear" w:color="auto" w:fill="auto"/>
        </w:rPr>
      </w:pPr>
      <w:r>
        <w:rPr>
          <w:rFonts w:hint="eastAsia"/>
          <w:color w:val="auto"/>
          <w:highlight w:val="none"/>
          <w:shd w:val="clear" w:color="auto" w:fill="auto"/>
        </w:rPr>
        <w:t>9．本保证担保以中文文本为准，涂改无效。</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（本保函失效后，请将原件退回我方注销)</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保证人名称（公章)：</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法定代表人或委托代理人（签字)：</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单位地址：</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电话：</w:t>
      </w:r>
      <w:r>
        <w:rPr>
          <w:rFonts w:hint="eastAsia"/>
          <w:color w:val="auto"/>
          <w:highlight w:val="none"/>
          <w:u w:val="single"/>
          <w:shd w:val="clear" w:color="auto" w:fill="auto"/>
        </w:rPr>
        <w:t xml:space="preserve">                       </w:t>
      </w:r>
      <w:r>
        <w:rPr>
          <w:rFonts w:hint="eastAsia"/>
          <w:color w:val="auto"/>
          <w:highlight w:val="none"/>
          <w:shd w:val="clear" w:color="auto" w:fill="auto"/>
        </w:rPr>
        <w:t>传真：</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日期：</w:t>
      </w:r>
      <w:r>
        <w:rPr>
          <w:rFonts w:hint="eastAsia" w:ascii="仿宋_GB2312" w:eastAsia="仿宋_GB2312"/>
          <w:color w:val="auto"/>
          <w:szCs w:val="21"/>
          <w:highlight w:val="none"/>
          <w:u w:val="single"/>
          <w:shd w:val="clear" w:color="auto" w:fill="auto"/>
        </w:rPr>
        <w:t xml:space="preserve">                                                 </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说明：《履约担保》为中标后提交履约保函时所用，投标文件中无需提供《履约担保》。</w:t>
      </w:r>
    </w:p>
    <w:p>
      <w:pPr>
        <w:shd w:val="clear" w:color="auto" w:fill="auto"/>
        <w:tabs>
          <w:tab w:val="clear" w:pos="426"/>
        </w:tabs>
        <w:adjustRightInd/>
        <w:snapToGrid/>
        <w:spacing w:line="240" w:lineRule="auto"/>
        <w:jc w:val="left"/>
        <w:rPr>
          <w:color w:val="auto"/>
          <w:highlight w:val="none"/>
          <w:shd w:val="clear" w:color="auto" w:fill="auto"/>
        </w:rPr>
      </w:pPr>
      <w:r>
        <w:rPr>
          <w:color w:val="auto"/>
          <w:highlight w:val="none"/>
          <w:shd w:val="clear" w:color="auto" w:fill="auto"/>
        </w:rPr>
        <w:br w:type="page"/>
      </w:r>
    </w:p>
    <w:p>
      <w:pPr>
        <w:tabs>
          <w:tab w:val="clear" w:pos="426"/>
        </w:tabs>
        <w:rPr>
          <w:color w:val="auto"/>
          <w:highlight w:val="none"/>
          <w:shd w:val="clear" w:color="auto" w:fill="auto"/>
        </w:rPr>
      </w:pPr>
    </w:p>
    <w:p>
      <w:pPr>
        <w:tabs>
          <w:tab w:val="clear" w:pos="426"/>
        </w:tabs>
        <w:jc w:val="center"/>
        <w:rPr>
          <w:b/>
          <w:color w:val="auto"/>
          <w:sz w:val="24"/>
          <w:highlight w:val="none"/>
          <w:shd w:val="clear" w:color="auto" w:fill="auto"/>
        </w:rPr>
      </w:pPr>
      <w:r>
        <w:rPr>
          <w:rFonts w:hint="eastAsia"/>
          <w:b/>
          <w:color w:val="auto"/>
          <w:sz w:val="24"/>
          <w:highlight w:val="none"/>
          <w:shd w:val="clear" w:color="auto" w:fill="auto"/>
        </w:rPr>
        <w:t>四、政府采购履约情况反馈表</w:t>
      </w:r>
    </w:p>
    <w:p>
      <w:pPr>
        <w:tabs>
          <w:tab w:val="clear" w:pos="426"/>
        </w:tabs>
        <w:jc w:val="center"/>
        <w:rPr>
          <w:b/>
          <w:color w:val="auto"/>
          <w:sz w:val="24"/>
          <w:highlight w:val="none"/>
          <w:shd w:val="clear" w:color="auto" w:fill="auto"/>
        </w:rPr>
      </w:pPr>
    </w:p>
    <w:p>
      <w:pPr>
        <w:tabs>
          <w:tab w:val="clear" w:pos="426"/>
        </w:tabs>
        <w:rPr>
          <w:color w:val="auto"/>
          <w:highlight w:val="none"/>
          <w:u w:val="single"/>
          <w:shd w:val="clear" w:color="auto" w:fill="auto"/>
        </w:rPr>
      </w:pPr>
      <w:r>
        <w:rPr>
          <w:rFonts w:hint="eastAsia"/>
          <w:color w:val="auto"/>
          <w:highlight w:val="none"/>
          <w:shd w:val="clear" w:color="auto" w:fill="auto"/>
        </w:rPr>
        <w:t>采购单位名称：</w:t>
      </w:r>
      <w:r>
        <w:rPr>
          <w:rFonts w:hint="eastAsia"/>
          <w:color w:val="auto"/>
          <w:highlight w:val="none"/>
          <w:u w:val="single"/>
          <w:shd w:val="clear" w:color="auto" w:fill="auto"/>
        </w:rPr>
        <w:t xml:space="preserve">                                   </w:t>
      </w:r>
      <w:r>
        <w:rPr>
          <w:rFonts w:hint="eastAsia"/>
          <w:color w:val="auto"/>
          <w:highlight w:val="none"/>
          <w:shd w:val="clear" w:color="auto" w:fill="auto"/>
        </w:rPr>
        <w:t>联系人及电话：</w:t>
      </w:r>
      <w:r>
        <w:rPr>
          <w:rFonts w:hint="eastAsia"/>
          <w:color w:val="auto"/>
          <w:highlight w:val="none"/>
          <w:u w:val="single"/>
          <w:shd w:val="clear" w:color="auto" w:fill="auto"/>
        </w:rPr>
        <w:t xml:space="preserve">                            </w:t>
      </w:r>
    </w:p>
    <w:tbl>
      <w:tblPr>
        <w:tblStyle w:val="44"/>
        <w:tblW w:w="95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采购项目名称</w:t>
            </w:r>
          </w:p>
        </w:tc>
        <w:tc>
          <w:tcPr>
            <w:tcW w:w="2704" w:type="dxa"/>
            <w:vAlign w:val="center"/>
          </w:tcPr>
          <w:p>
            <w:pPr>
              <w:tabs>
                <w:tab w:val="clear" w:pos="426"/>
              </w:tabs>
              <w:spacing w:line="240" w:lineRule="auto"/>
              <w:rPr>
                <w:color w:val="auto"/>
                <w:highlight w:val="none"/>
                <w:shd w:val="clear" w:color="auto" w:fill="auto"/>
              </w:rPr>
            </w:pPr>
          </w:p>
        </w:tc>
        <w:tc>
          <w:tcPr>
            <w:tcW w:w="2125"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项目编号</w:t>
            </w:r>
          </w:p>
        </w:tc>
        <w:tc>
          <w:tcPr>
            <w:tcW w:w="2291" w:type="dxa"/>
            <w:vAlign w:val="center"/>
          </w:tcPr>
          <w:p>
            <w:pPr>
              <w:pStyle w:val="7"/>
              <w:tabs>
                <w:tab w:val="clear" w:pos="426"/>
              </w:tabs>
              <w:spacing w:line="240" w:lineRule="auto"/>
              <w:jc w:val="both"/>
              <w:rPr>
                <w:rFonts w:ascii="宋体" w:hAnsi="宋体" w:cs="宋体"/>
                <w:color w:val="auto"/>
                <w:kern w:val="0"/>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中标人名称</w:t>
            </w:r>
          </w:p>
        </w:tc>
        <w:tc>
          <w:tcPr>
            <w:tcW w:w="2704" w:type="dxa"/>
            <w:vAlign w:val="center"/>
          </w:tcPr>
          <w:p>
            <w:pPr>
              <w:tabs>
                <w:tab w:val="clear" w:pos="426"/>
              </w:tabs>
              <w:spacing w:line="240" w:lineRule="auto"/>
              <w:rPr>
                <w:color w:val="auto"/>
                <w:highlight w:val="none"/>
                <w:shd w:val="clear" w:color="auto" w:fill="auto"/>
              </w:rPr>
            </w:pPr>
          </w:p>
        </w:tc>
        <w:tc>
          <w:tcPr>
            <w:tcW w:w="2125"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供应商</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联系人及电话</w:t>
            </w:r>
          </w:p>
        </w:tc>
        <w:tc>
          <w:tcPr>
            <w:tcW w:w="2291" w:type="dxa"/>
            <w:vAlign w:val="center"/>
          </w:tcPr>
          <w:p>
            <w:pPr>
              <w:tabs>
                <w:tab w:val="clear" w:pos="426"/>
              </w:tabs>
              <w:spacing w:line="240" w:lineRule="auto"/>
              <w:rPr>
                <w:color w:val="auto"/>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中标金额</w:t>
            </w:r>
          </w:p>
        </w:tc>
        <w:tc>
          <w:tcPr>
            <w:tcW w:w="2704" w:type="dxa"/>
            <w:vAlign w:val="center"/>
          </w:tcPr>
          <w:p>
            <w:pPr>
              <w:tabs>
                <w:tab w:val="clear" w:pos="426"/>
              </w:tabs>
              <w:spacing w:line="240" w:lineRule="auto"/>
              <w:rPr>
                <w:color w:val="auto"/>
                <w:highlight w:val="none"/>
                <w:shd w:val="clear" w:color="auto" w:fill="auto"/>
              </w:rPr>
            </w:pPr>
          </w:p>
        </w:tc>
        <w:tc>
          <w:tcPr>
            <w:tcW w:w="2125"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合同履约时间</w:t>
            </w:r>
          </w:p>
        </w:tc>
        <w:tc>
          <w:tcPr>
            <w:tcW w:w="2291"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履约情况评价</w:t>
            </w:r>
          </w:p>
        </w:tc>
        <w:tc>
          <w:tcPr>
            <w:tcW w:w="1546" w:type="dxa"/>
            <w:gridSpan w:val="2"/>
            <w:tcBorders>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总体评价</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rPr>
                <w:color w:val="auto"/>
                <w:highlight w:val="none"/>
                <w:shd w:val="clear" w:color="auto" w:fill="auto"/>
              </w:rPr>
            </w:pPr>
          </w:p>
        </w:tc>
        <w:tc>
          <w:tcPr>
            <w:tcW w:w="773" w:type="dxa"/>
            <w:vMerge w:val="restart"/>
            <w:tcBorders>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质量方面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价格方面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服务方面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时间方面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环境保护</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其他</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评价内容为：                    </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具体情况说明</w:t>
            </w:r>
          </w:p>
        </w:tc>
        <w:tc>
          <w:tcPr>
            <w:tcW w:w="7893" w:type="dxa"/>
            <w:gridSpan w:val="4"/>
          </w:tcPr>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采购单位意见</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（公章）</w:t>
            </w:r>
          </w:p>
        </w:tc>
        <w:tc>
          <w:tcPr>
            <w:tcW w:w="7893" w:type="dxa"/>
            <w:gridSpan w:val="4"/>
            <w:vAlign w:val="center"/>
          </w:tcPr>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r>
              <w:rPr>
                <w:rFonts w:hint="eastAsia"/>
                <w:color w:val="auto"/>
                <w:highlight w:val="none"/>
                <w:shd w:val="clear" w:color="auto" w:fill="auto"/>
              </w:rPr>
              <w:t>日期：   年   月   日</w:t>
            </w:r>
          </w:p>
        </w:tc>
      </w:tr>
    </w:tbl>
    <w:p>
      <w:pPr>
        <w:tabs>
          <w:tab w:val="clear" w:pos="426"/>
        </w:tabs>
        <w:rPr>
          <w:color w:val="auto"/>
          <w:highlight w:val="none"/>
          <w:shd w:val="clear" w:color="auto" w:fill="auto"/>
        </w:rPr>
      </w:pPr>
      <w:r>
        <w:rPr>
          <w:rFonts w:hint="eastAsia"/>
          <w:color w:val="auto"/>
          <w:highlight w:val="none"/>
          <w:shd w:val="clear" w:color="auto" w:fill="auto"/>
        </w:rPr>
        <w:t>说明：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1、本表为采购单位向深圳市政府采购中心反映政府采购项目履约情况时所用；</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2、履约情况评价分为优、良、中、差四个等级，请在对应的框前打“√”，然后在“具体情况说明”一栏详细说明有关情况。</w:t>
      </w:r>
    </w:p>
    <w:p>
      <w:pPr>
        <w:pStyle w:val="33"/>
        <w:tabs>
          <w:tab w:val="clear" w:pos="426"/>
        </w:tabs>
        <w:rPr>
          <w:color w:val="auto"/>
          <w:highlight w:val="none"/>
          <w:shd w:val="clear" w:color="auto" w:fill="auto"/>
        </w:rPr>
      </w:pPr>
      <w:r>
        <w:rPr>
          <w:color w:val="auto"/>
          <w:highlight w:val="none"/>
          <w:shd w:val="clear" w:color="auto" w:fill="auto"/>
        </w:rPr>
        <w:br w:type="page"/>
      </w:r>
      <w:bookmarkStart w:id="47" w:name="_Toc3628662"/>
      <w:bookmarkStart w:id="48" w:name="_Toc29976"/>
      <w:r>
        <w:rPr>
          <w:rFonts w:hint="eastAsia"/>
          <w:color w:val="auto"/>
          <w:highlight w:val="none"/>
          <w:shd w:val="clear" w:color="auto" w:fill="auto"/>
        </w:rPr>
        <w:t>第五章 投标文件格式、附件</w:t>
      </w:r>
      <w:bookmarkEnd w:id="45"/>
      <w:bookmarkEnd w:id="46"/>
      <w:bookmarkEnd w:id="47"/>
      <w:bookmarkEnd w:id="48"/>
    </w:p>
    <w:p>
      <w:pPr>
        <w:tabs>
          <w:tab w:val="clear" w:pos="426"/>
        </w:tabs>
        <w:rPr>
          <w:color w:val="auto"/>
          <w:highlight w:val="none"/>
          <w:shd w:val="clear" w:color="auto" w:fill="auto"/>
        </w:rPr>
      </w:pPr>
      <w:r>
        <w:rPr>
          <w:rStyle w:val="66"/>
          <w:rFonts w:hint="eastAsia" w:ascii="宋体" w:eastAsia="宋体"/>
          <w:color w:val="auto"/>
          <w:sz w:val="24"/>
          <w:highlight w:val="none"/>
          <w:shd w:val="clear" w:color="auto" w:fill="auto"/>
        </w:rPr>
        <w:t>特别提醒：</w:t>
      </w:r>
      <w:r>
        <w:rPr>
          <w:rFonts w:hint="eastAsia"/>
          <w:color w:val="auto"/>
          <w:highlight w:val="none"/>
          <w:shd w:val="clear" w:color="auto" w:fill="auto"/>
        </w:rPr>
        <w:t>投标人在编辑投标文件时，应严格按照招标文件提供的格式进行编写，因未按要求编写导致投标文件不予受理、无效标或废标的，一切后果由供应商自行承担。</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投标文件组成：</w:t>
      </w:r>
    </w:p>
    <w:p>
      <w:pPr>
        <w:tabs>
          <w:tab w:val="clear" w:pos="426"/>
        </w:tabs>
        <w:rPr>
          <w:color w:val="auto"/>
          <w:highlight w:val="none"/>
          <w:shd w:val="clear" w:color="auto" w:fill="auto"/>
        </w:rPr>
      </w:pPr>
    </w:p>
    <w:p>
      <w:pPr>
        <w:tabs>
          <w:tab w:val="clear" w:pos="426"/>
        </w:tabs>
        <w:spacing w:line="240" w:lineRule="auto"/>
        <w:rPr>
          <w:color w:val="auto"/>
          <w:highlight w:val="none"/>
          <w:shd w:val="clear" w:color="auto" w:fill="auto"/>
        </w:rPr>
      </w:pPr>
      <w:r>
        <w:rPr>
          <w:rFonts w:hint="eastAsia"/>
          <w:color w:val="auto"/>
          <w:highlight w:val="none"/>
          <w:shd w:val="clear" w:color="auto" w:fill="auto"/>
        </w:rPr>
        <w:t>密封袋封条格式</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投标文件封面格式</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目录（目录格式自定）</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评标指引表</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投标函</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政府采购投标及履约承诺函</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法定代表人授权委托书、法定代表人证明书</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投标人基本情况表</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开标一览表（报价表）</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货物清单</w:t>
      </w:r>
    </w:p>
    <w:p>
      <w:pPr>
        <w:pStyle w:val="287"/>
        <w:numPr>
          <w:ilvl w:val="0"/>
          <w:numId w:val="27"/>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财务状况</w:t>
      </w:r>
    </w:p>
    <w:p>
      <w:pPr>
        <w:pStyle w:val="287"/>
        <w:numPr>
          <w:ilvl w:val="0"/>
          <w:numId w:val="27"/>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银行资信证明</w:t>
      </w:r>
    </w:p>
    <w:p>
      <w:pPr>
        <w:pStyle w:val="287"/>
        <w:numPr>
          <w:ilvl w:val="0"/>
          <w:numId w:val="27"/>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同类项目经验</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诚信档案</w:t>
      </w:r>
    </w:p>
    <w:p>
      <w:pPr>
        <w:pStyle w:val="287"/>
        <w:numPr>
          <w:ilvl w:val="0"/>
          <w:numId w:val="27"/>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lang w:val="zh-CN"/>
        </w:rPr>
        <w:t>产品性能</w:t>
      </w:r>
    </w:p>
    <w:p>
      <w:pPr>
        <w:pStyle w:val="287"/>
        <w:numPr>
          <w:ilvl w:val="0"/>
          <w:numId w:val="27"/>
        </w:numPr>
        <w:spacing w:line="240" w:lineRule="auto"/>
        <w:ind w:left="567" w:leftChars="270" w:firstLineChars="0"/>
        <w:rPr>
          <w:color w:val="auto"/>
          <w:highlight w:val="none"/>
          <w:shd w:val="clear" w:color="auto" w:fill="auto"/>
        </w:rPr>
      </w:pPr>
      <w:r>
        <w:rPr>
          <w:rFonts w:hint="eastAsia" w:ascii="宋体" w:hAnsi="宋体"/>
          <w:color w:val="auto"/>
          <w:kern w:val="0"/>
          <w:szCs w:val="21"/>
          <w:highlight w:val="none"/>
          <w:shd w:val="clear" w:color="auto" w:fill="auto"/>
          <w:lang w:val="zh-CN"/>
        </w:rPr>
        <w:t>系统业务需求理解与分析</w:t>
      </w:r>
    </w:p>
    <w:p>
      <w:pPr>
        <w:pStyle w:val="287"/>
        <w:numPr>
          <w:ilvl w:val="0"/>
          <w:numId w:val="27"/>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售后服务措施及实施方案</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商务要求偏离表</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中小企业声明函及残疾人福利性单位声明函（或省级以上监狱管理局、戒毒管理局（含新疆生产建设兵团）出具的属于监狱企业的证明文件）（可选）</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招标代理服务费承诺书</w:t>
      </w:r>
    </w:p>
    <w:p>
      <w:pPr>
        <w:pStyle w:val="287"/>
        <w:numPr>
          <w:ilvl w:val="0"/>
          <w:numId w:val="27"/>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招标文件要求的其他内容及投标人认为需要加以说明的其他内容</w:t>
      </w:r>
    </w:p>
    <w:p>
      <w:pPr>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密封袋封条格式</w:t>
      </w:r>
    </w:p>
    <w:p>
      <w:pPr>
        <w:tabs>
          <w:tab w:val="clear" w:pos="426"/>
        </w:tabs>
        <w:jc w:val="center"/>
        <w:rPr>
          <w:color w:val="auto"/>
          <w:sz w:val="44"/>
          <w:szCs w:val="44"/>
          <w:highlight w:val="none"/>
          <w:u w:val="single"/>
          <w:shd w:val="clear" w:color="auto" w:fill="auto"/>
        </w:rPr>
      </w:pPr>
    </w:p>
    <w:p>
      <w:pPr>
        <w:tabs>
          <w:tab w:val="clear" w:pos="426"/>
        </w:tabs>
        <w:jc w:val="center"/>
        <w:rPr>
          <w:color w:val="auto"/>
          <w:sz w:val="44"/>
          <w:szCs w:val="44"/>
          <w:highlight w:val="none"/>
          <w:shd w:val="clear" w:color="auto" w:fill="auto"/>
        </w:rPr>
      </w:pPr>
      <w:r>
        <w:rPr>
          <w:rFonts w:hint="eastAsia"/>
          <w:color w:val="auto"/>
          <w:sz w:val="44"/>
          <w:szCs w:val="44"/>
          <w:highlight w:val="none"/>
          <w:u w:val="single"/>
          <w:shd w:val="clear" w:color="auto" w:fill="auto"/>
          <w:lang w:eastAsia="zh-CN"/>
        </w:rPr>
        <w:t>标识标牌系统优化项目</w:t>
      </w:r>
      <w:r>
        <w:rPr>
          <w:rFonts w:hint="eastAsia"/>
          <w:color w:val="auto"/>
          <w:sz w:val="44"/>
          <w:szCs w:val="44"/>
          <w:highlight w:val="none"/>
          <w:shd w:val="clear" w:color="auto" w:fill="auto"/>
        </w:rPr>
        <w:t>项目</w:t>
      </w:r>
    </w:p>
    <w:p>
      <w:pPr>
        <w:tabs>
          <w:tab w:val="clear" w:pos="426"/>
        </w:tabs>
        <w:jc w:val="center"/>
        <w:rPr>
          <w:color w:val="auto"/>
          <w:highlight w:val="none"/>
          <w:shd w:val="clear" w:color="auto" w:fill="auto"/>
        </w:rPr>
      </w:pPr>
    </w:p>
    <w:p>
      <w:pPr>
        <w:tabs>
          <w:tab w:val="clear" w:pos="426"/>
        </w:tabs>
        <w:jc w:val="center"/>
        <w:rPr>
          <w:color w:val="auto"/>
          <w:highlight w:val="none"/>
          <w:shd w:val="clear" w:color="auto" w:fill="auto"/>
        </w:rPr>
      </w:pPr>
    </w:p>
    <w:p>
      <w:pPr>
        <w:tabs>
          <w:tab w:val="clear" w:pos="426"/>
        </w:tabs>
        <w:jc w:val="center"/>
        <w:rPr>
          <w:color w:val="auto"/>
          <w:sz w:val="52"/>
          <w:szCs w:val="52"/>
          <w:highlight w:val="none"/>
          <w:shd w:val="clear" w:color="auto" w:fill="auto"/>
        </w:rPr>
      </w:pPr>
      <w:r>
        <w:rPr>
          <w:rFonts w:hint="eastAsia"/>
          <w:color w:val="auto"/>
          <w:sz w:val="52"/>
          <w:szCs w:val="52"/>
          <w:highlight w:val="none"/>
          <w:shd w:val="clear" w:color="auto" w:fill="auto"/>
        </w:rPr>
        <w:t>□投标文件</w:t>
      </w:r>
    </w:p>
    <w:p>
      <w:pPr>
        <w:tabs>
          <w:tab w:val="clear" w:pos="426"/>
        </w:tabs>
        <w:jc w:val="center"/>
        <w:rPr>
          <w:color w:val="auto"/>
          <w:sz w:val="52"/>
          <w:szCs w:val="52"/>
          <w:highlight w:val="none"/>
          <w:shd w:val="clear" w:color="auto" w:fill="auto"/>
        </w:rPr>
      </w:pPr>
      <w:r>
        <w:rPr>
          <w:rFonts w:hint="eastAsia"/>
          <w:color w:val="auto"/>
          <w:sz w:val="52"/>
          <w:szCs w:val="52"/>
          <w:highlight w:val="none"/>
          <w:shd w:val="clear" w:color="auto" w:fill="auto"/>
        </w:rPr>
        <w:t>□开标信封</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ind w:left="708" w:leftChars="337" w:right="706" w:rightChars="336"/>
        <w:rPr>
          <w:color w:val="auto"/>
          <w:sz w:val="28"/>
          <w:szCs w:val="28"/>
          <w:highlight w:val="none"/>
          <w:shd w:val="clear" w:color="auto" w:fill="auto"/>
        </w:rPr>
      </w:pPr>
      <w:r>
        <w:rPr>
          <w:rFonts w:hint="eastAsia"/>
          <w:color w:val="auto"/>
          <w:sz w:val="28"/>
          <w:szCs w:val="28"/>
          <w:highlight w:val="none"/>
          <w:shd w:val="clear" w:color="auto" w:fill="auto"/>
        </w:rPr>
        <w:t>项目编号：</w:t>
      </w:r>
      <w:r>
        <w:rPr>
          <w:rFonts w:hint="eastAsia"/>
          <w:color w:val="auto"/>
          <w:sz w:val="28"/>
          <w:szCs w:val="28"/>
          <w:highlight w:val="none"/>
          <w:u w:val="single"/>
          <w:shd w:val="clear" w:color="auto" w:fill="auto"/>
        </w:rPr>
        <w:t xml:space="preserve">                                              </w:t>
      </w:r>
    </w:p>
    <w:p>
      <w:pPr>
        <w:tabs>
          <w:tab w:val="clear" w:pos="426"/>
        </w:tabs>
        <w:ind w:left="708" w:leftChars="337"/>
        <w:rPr>
          <w:color w:val="auto"/>
          <w:sz w:val="28"/>
          <w:szCs w:val="28"/>
          <w:highlight w:val="none"/>
          <w:shd w:val="clear" w:color="auto" w:fill="auto"/>
        </w:rPr>
      </w:pPr>
      <w:r>
        <w:rPr>
          <w:rFonts w:hint="eastAsia"/>
          <w:color w:val="auto"/>
          <w:sz w:val="28"/>
          <w:szCs w:val="28"/>
          <w:highlight w:val="none"/>
          <w:shd w:val="clear" w:color="auto" w:fill="auto"/>
        </w:rPr>
        <w:t>投标人名称（公章)：</w:t>
      </w:r>
      <w:r>
        <w:rPr>
          <w:rFonts w:hint="eastAsia"/>
          <w:color w:val="auto"/>
          <w:sz w:val="28"/>
          <w:szCs w:val="28"/>
          <w:highlight w:val="none"/>
          <w:u w:val="single"/>
          <w:shd w:val="clear" w:color="auto" w:fill="auto"/>
        </w:rPr>
        <w:t xml:space="preserve">                                     </w:t>
      </w:r>
    </w:p>
    <w:p>
      <w:pPr>
        <w:tabs>
          <w:tab w:val="clear" w:pos="426"/>
        </w:tabs>
        <w:ind w:left="708" w:leftChars="337"/>
        <w:rPr>
          <w:color w:val="auto"/>
          <w:sz w:val="28"/>
          <w:szCs w:val="28"/>
          <w:highlight w:val="none"/>
          <w:shd w:val="clear" w:color="auto" w:fill="auto"/>
        </w:rPr>
      </w:pPr>
      <w:r>
        <w:rPr>
          <w:rFonts w:hint="eastAsia"/>
          <w:color w:val="auto"/>
          <w:sz w:val="28"/>
          <w:szCs w:val="28"/>
          <w:highlight w:val="none"/>
          <w:shd w:val="clear" w:color="auto" w:fill="auto"/>
        </w:rPr>
        <w:t>投标人代表（签名）：</w:t>
      </w:r>
      <w:r>
        <w:rPr>
          <w:rFonts w:hint="eastAsia"/>
          <w:color w:val="auto"/>
          <w:sz w:val="28"/>
          <w:szCs w:val="28"/>
          <w:highlight w:val="none"/>
          <w:u w:val="single"/>
          <w:shd w:val="clear" w:color="auto" w:fill="auto"/>
        </w:rPr>
        <w:t xml:space="preserve">                                    </w:t>
      </w:r>
    </w:p>
    <w:p>
      <w:pPr>
        <w:tabs>
          <w:tab w:val="clear" w:pos="426"/>
        </w:tabs>
        <w:ind w:left="708" w:leftChars="337"/>
        <w:rPr>
          <w:color w:val="auto"/>
          <w:sz w:val="28"/>
          <w:szCs w:val="28"/>
          <w:highlight w:val="none"/>
          <w:shd w:val="clear" w:color="auto" w:fill="auto"/>
        </w:rPr>
      </w:pPr>
      <w:r>
        <w:rPr>
          <w:rFonts w:hint="eastAsia"/>
          <w:color w:val="auto"/>
          <w:sz w:val="28"/>
          <w:szCs w:val="28"/>
          <w:highlight w:val="none"/>
          <w:shd w:val="clear" w:color="auto" w:fill="auto"/>
        </w:rPr>
        <w:t>投标截止日期：</w:t>
      </w:r>
      <w:r>
        <w:rPr>
          <w:rFonts w:hint="eastAsia"/>
          <w:color w:val="auto"/>
          <w:sz w:val="28"/>
          <w:szCs w:val="28"/>
          <w:highlight w:val="none"/>
          <w:u w:val="single"/>
          <w:shd w:val="clear" w:color="auto" w:fill="auto"/>
        </w:rPr>
        <w:t xml:space="preserve">      年   月   日</w:t>
      </w:r>
      <w:r>
        <w:rPr>
          <w:color w:val="auto"/>
          <w:sz w:val="28"/>
          <w:szCs w:val="28"/>
          <w:highlight w:val="none"/>
          <w:u w:val="single"/>
          <w:shd w:val="clear" w:color="auto" w:fill="auto"/>
        </w:rPr>
        <w:t xml:space="preserve"> </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时 </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分</w:t>
      </w:r>
      <w:r>
        <w:rPr>
          <w:rFonts w:hint="eastAsia"/>
          <w:color w:val="auto"/>
          <w:sz w:val="28"/>
          <w:szCs w:val="28"/>
          <w:highlight w:val="none"/>
          <w:u w:val="single"/>
          <w:shd w:val="clear" w:color="auto" w:fill="auto"/>
        </w:rPr>
        <w:t>（</w:t>
      </w:r>
      <w:r>
        <w:rPr>
          <w:color w:val="auto"/>
          <w:sz w:val="28"/>
          <w:szCs w:val="28"/>
          <w:highlight w:val="none"/>
          <w:u w:val="single"/>
          <w:shd w:val="clear" w:color="auto" w:fill="auto"/>
        </w:rPr>
        <w:t>前不得开封</w:t>
      </w:r>
      <w:r>
        <w:rPr>
          <w:rFonts w:hint="eastAsia"/>
          <w:color w:val="auto"/>
          <w:sz w:val="28"/>
          <w:szCs w:val="28"/>
          <w:highlight w:val="none"/>
          <w:u w:val="single"/>
          <w:shd w:val="clear" w:color="auto" w:fill="auto"/>
        </w:rPr>
        <w:t>）</w:t>
      </w:r>
    </w:p>
    <w:p>
      <w:pPr>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投标文件封面格式</w:t>
      </w:r>
    </w:p>
    <w:p>
      <w:pPr>
        <w:tabs>
          <w:tab w:val="clear" w:pos="426"/>
        </w:tabs>
        <w:jc w:val="right"/>
        <w:rPr>
          <w:color w:val="auto"/>
          <w:sz w:val="44"/>
          <w:szCs w:val="44"/>
          <w:highlight w:val="none"/>
          <w:u w:val="single"/>
          <w:shd w:val="clear" w:color="auto" w:fill="auto"/>
        </w:rPr>
      </w:pPr>
      <w:r>
        <w:rPr>
          <w:rFonts w:hint="eastAsia"/>
          <w:color w:val="auto"/>
          <w:sz w:val="44"/>
          <w:szCs w:val="44"/>
          <w:highlight w:val="none"/>
          <w:u w:val="single"/>
          <w:shd w:val="clear" w:color="auto" w:fill="auto"/>
        </w:rPr>
        <w:t>正/副本</w:t>
      </w:r>
    </w:p>
    <w:p>
      <w:pPr>
        <w:tabs>
          <w:tab w:val="clear" w:pos="426"/>
        </w:tabs>
        <w:jc w:val="center"/>
        <w:rPr>
          <w:color w:val="auto"/>
          <w:sz w:val="44"/>
          <w:szCs w:val="44"/>
          <w:highlight w:val="none"/>
          <w:u w:val="single"/>
          <w:shd w:val="clear" w:color="auto" w:fill="auto"/>
        </w:rPr>
      </w:pPr>
    </w:p>
    <w:p>
      <w:pPr>
        <w:tabs>
          <w:tab w:val="clear" w:pos="426"/>
        </w:tabs>
        <w:jc w:val="center"/>
        <w:rPr>
          <w:color w:val="auto"/>
          <w:sz w:val="44"/>
          <w:szCs w:val="44"/>
          <w:highlight w:val="none"/>
          <w:shd w:val="clear" w:color="auto" w:fill="auto"/>
        </w:rPr>
      </w:pPr>
      <w:r>
        <w:rPr>
          <w:rFonts w:hint="eastAsia"/>
          <w:color w:val="auto"/>
          <w:sz w:val="44"/>
          <w:szCs w:val="44"/>
          <w:highlight w:val="none"/>
          <w:u w:val="single"/>
          <w:shd w:val="clear" w:color="auto" w:fill="auto"/>
          <w:lang w:eastAsia="zh-CN"/>
        </w:rPr>
        <w:t>标识标牌系统优化项目</w:t>
      </w:r>
      <w:r>
        <w:rPr>
          <w:rFonts w:hint="eastAsia"/>
          <w:color w:val="auto"/>
          <w:sz w:val="44"/>
          <w:szCs w:val="44"/>
          <w:highlight w:val="none"/>
          <w:shd w:val="clear" w:color="auto" w:fill="auto"/>
        </w:rPr>
        <w:t>项目</w:t>
      </w:r>
    </w:p>
    <w:p>
      <w:pPr>
        <w:tabs>
          <w:tab w:val="clear" w:pos="426"/>
        </w:tabs>
        <w:jc w:val="center"/>
        <w:rPr>
          <w:color w:val="auto"/>
          <w:highlight w:val="none"/>
          <w:shd w:val="clear" w:color="auto" w:fill="auto"/>
        </w:rPr>
      </w:pPr>
    </w:p>
    <w:p>
      <w:pPr>
        <w:tabs>
          <w:tab w:val="clear" w:pos="426"/>
        </w:tabs>
        <w:jc w:val="center"/>
        <w:rPr>
          <w:color w:val="auto"/>
          <w:highlight w:val="none"/>
          <w:shd w:val="clear" w:color="auto" w:fill="auto"/>
        </w:rPr>
      </w:pPr>
    </w:p>
    <w:p>
      <w:pPr>
        <w:tabs>
          <w:tab w:val="clear" w:pos="426"/>
        </w:tabs>
        <w:jc w:val="center"/>
        <w:rPr>
          <w:color w:val="auto"/>
          <w:sz w:val="52"/>
          <w:szCs w:val="52"/>
          <w:highlight w:val="none"/>
          <w:shd w:val="clear" w:color="auto" w:fill="auto"/>
        </w:rPr>
      </w:pPr>
      <w:r>
        <w:rPr>
          <w:rFonts w:hint="eastAsia"/>
          <w:color w:val="auto"/>
          <w:sz w:val="52"/>
          <w:szCs w:val="52"/>
          <w:highlight w:val="none"/>
          <w:shd w:val="clear" w:color="auto" w:fill="auto"/>
        </w:rPr>
        <w:t>投标文件</w:t>
      </w:r>
    </w:p>
    <w:p>
      <w:pPr>
        <w:tabs>
          <w:tab w:val="clear" w:pos="426"/>
        </w:tabs>
        <w:rPr>
          <w:color w:val="auto"/>
          <w:sz w:val="52"/>
          <w:szCs w:val="52"/>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项目编号：</w:t>
      </w:r>
      <w:r>
        <w:rPr>
          <w:rFonts w:hint="eastAsia"/>
          <w:color w:val="auto"/>
          <w:sz w:val="28"/>
          <w:szCs w:val="28"/>
          <w:highlight w:val="none"/>
          <w:u w:val="single"/>
          <w:shd w:val="clear" w:color="auto" w:fill="auto"/>
        </w:rPr>
        <w:t xml:space="preserve">                                   </w:t>
      </w: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投标人名称（公章)：</w:t>
      </w:r>
      <w:r>
        <w:rPr>
          <w:rFonts w:hint="eastAsia"/>
          <w:color w:val="auto"/>
          <w:sz w:val="28"/>
          <w:szCs w:val="28"/>
          <w:highlight w:val="none"/>
          <w:u w:val="single"/>
          <w:shd w:val="clear" w:color="auto" w:fill="auto"/>
        </w:rPr>
        <w:t xml:space="preserve">                          </w:t>
      </w: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投标人代表（签名）：</w:t>
      </w:r>
      <w:r>
        <w:rPr>
          <w:rFonts w:hint="eastAsia"/>
          <w:color w:val="auto"/>
          <w:sz w:val="28"/>
          <w:szCs w:val="28"/>
          <w:highlight w:val="none"/>
          <w:u w:val="single"/>
          <w:shd w:val="clear" w:color="auto" w:fill="auto"/>
        </w:rPr>
        <w:t xml:space="preserve">                         </w:t>
      </w: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投标日期：</w:t>
      </w:r>
      <w:r>
        <w:rPr>
          <w:rFonts w:hint="eastAsia"/>
          <w:color w:val="auto"/>
          <w:sz w:val="28"/>
          <w:szCs w:val="28"/>
          <w:highlight w:val="none"/>
          <w:u w:val="single"/>
          <w:shd w:val="clear" w:color="auto" w:fill="auto"/>
        </w:rPr>
        <w:t xml:space="preserve">                  年     月      日</w:t>
      </w:r>
    </w:p>
    <w:p>
      <w:pPr>
        <w:tabs>
          <w:tab w:val="clear" w:pos="426"/>
        </w:tabs>
        <w:rPr>
          <w:color w:val="auto"/>
          <w:highlight w:val="none"/>
          <w:shd w:val="clear" w:color="auto" w:fill="auto"/>
        </w:rPr>
      </w:pPr>
    </w:p>
    <w:p>
      <w:pPr>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投标文件目录（目录格式自定）</w:t>
      </w:r>
    </w:p>
    <w:p>
      <w:pPr>
        <w:tabs>
          <w:tab w:val="clear" w:pos="426"/>
        </w:tabs>
        <w:rPr>
          <w:color w:val="auto"/>
          <w:highlight w:val="none"/>
          <w:shd w:val="clear" w:color="auto" w:fill="auto"/>
        </w:rPr>
      </w:pPr>
      <w:r>
        <w:rPr>
          <w:rFonts w:hint="eastAsia"/>
          <w:color w:val="auto"/>
          <w:highlight w:val="none"/>
          <w:shd w:val="clear" w:color="auto" w:fill="auto"/>
        </w:rPr>
        <w:t>按照招标文件的要求编制投标文件相应内容，请标明各部分内容的页码。</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评标指引表</w:t>
      </w:r>
    </w:p>
    <w:p>
      <w:pPr>
        <w:tabs>
          <w:tab w:val="clear" w:pos="426"/>
        </w:tabs>
        <w:jc w:val="center"/>
        <w:rPr>
          <w:b/>
          <w:color w:val="auto"/>
          <w:highlight w:val="none"/>
          <w:shd w:val="clear" w:color="auto" w:fill="auto"/>
        </w:rPr>
      </w:pPr>
      <w:r>
        <w:rPr>
          <w:rFonts w:hint="eastAsia"/>
          <w:b/>
          <w:color w:val="auto"/>
          <w:highlight w:val="none"/>
          <w:shd w:val="clear" w:color="auto" w:fill="auto"/>
        </w:rPr>
        <w:t>（置于投标文件的首页）</w:t>
      </w:r>
    </w:p>
    <w:p>
      <w:pPr>
        <w:tabs>
          <w:tab w:val="clear" w:pos="426"/>
        </w:tabs>
        <w:ind w:firstLine="420" w:firstLineChars="200"/>
        <w:rPr>
          <w:color w:val="auto"/>
          <w:highlight w:val="none"/>
          <w:shd w:val="clear" w:color="auto" w:fill="auto"/>
        </w:rPr>
      </w:pPr>
      <w:r>
        <w:rPr>
          <w:rFonts w:hint="eastAsia"/>
          <w:color w:val="auto"/>
          <w:szCs w:val="21"/>
          <w:highlight w:val="none"/>
          <w:shd w:val="clear" w:color="auto" w:fill="auto"/>
        </w:rPr>
        <w:t>为方便参与该项目的评委专家的评标，快速找到评标事项与该项目投标文件所对应的位置，请投标人参照下表格式，编制本项目评标指引表。</w:t>
      </w:r>
    </w:p>
    <w:p>
      <w:pPr>
        <w:pStyle w:val="8"/>
        <w:tabs>
          <w:tab w:val="clear" w:pos="426"/>
        </w:tabs>
        <w:ind w:firstLine="0"/>
        <w:rPr>
          <w:color w:val="auto"/>
          <w:highlight w:val="none"/>
          <w:shd w:val="clear" w:color="auto" w:fill="auto"/>
        </w:rPr>
      </w:pPr>
      <w:r>
        <w:rPr>
          <w:rFonts w:hint="eastAsia"/>
          <w:color w:val="auto"/>
          <w:highlight w:val="none"/>
          <w:shd w:val="clear" w:color="auto" w:fill="auto"/>
        </w:rPr>
        <w:t>项目名称：</w:t>
      </w:r>
    </w:p>
    <w:p>
      <w:pPr>
        <w:pStyle w:val="8"/>
        <w:tabs>
          <w:tab w:val="clear" w:pos="426"/>
        </w:tabs>
        <w:ind w:firstLine="0"/>
        <w:rPr>
          <w:color w:val="auto"/>
          <w:highlight w:val="none"/>
          <w:shd w:val="clear" w:color="auto" w:fill="auto"/>
        </w:rPr>
      </w:pPr>
      <w:r>
        <w:rPr>
          <w:rFonts w:hint="eastAsia"/>
          <w:color w:val="auto"/>
          <w:highlight w:val="none"/>
          <w:shd w:val="clear" w:color="auto" w:fill="auto"/>
        </w:rPr>
        <w:t>项目编号：</w:t>
      </w:r>
    </w:p>
    <w:p>
      <w:pPr>
        <w:tabs>
          <w:tab w:val="clear" w:pos="426"/>
        </w:tabs>
        <w:jc w:val="center"/>
        <w:rPr>
          <w:b/>
          <w:color w:val="auto"/>
          <w:highlight w:val="none"/>
          <w:shd w:val="clear" w:color="auto" w:fill="auto"/>
        </w:rPr>
      </w:pPr>
      <w:r>
        <w:rPr>
          <w:rFonts w:hint="eastAsia"/>
          <w:b/>
          <w:color w:val="auto"/>
          <w:highlight w:val="none"/>
          <w:shd w:val="clear" w:color="auto" w:fill="auto"/>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4203"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资格性审查项目</w:t>
            </w: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证明文件</w:t>
            </w: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4203" w:type="dxa"/>
            <w:gridSpan w:val="2"/>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color w:val="auto"/>
                <w:highlight w:val="none"/>
                <w:shd w:val="clear" w:color="auto" w:fill="auto"/>
              </w:rPr>
              <w:t>投标人资质要求</w:t>
            </w: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营业执照</w:t>
            </w:r>
          </w:p>
        </w:tc>
        <w:tc>
          <w:tcPr>
            <w:tcW w:w="1397" w:type="dxa"/>
            <w:shd w:val="clear" w:color="auto" w:fill="auto"/>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w:t>
            </w:r>
          </w:p>
        </w:tc>
        <w:tc>
          <w:tcPr>
            <w:tcW w:w="1397" w:type="dxa"/>
            <w:shd w:val="clear" w:color="auto" w:fill="auto"/>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w:t>
            </w: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4203"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5943" w:type="dxa"/>
            <w:gridSpan w:val="3"/>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符合性审查项目</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未出现将一个包中的内容拆开投标；</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2</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投标文件及开标一览表按规定密封、签字、盖章</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3</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4</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按招标文件所提供的样式填写</w:t>
            </w:r>
            <w:r>
              <w:rPr>
                <w:color w:val="auto"/>
                <w:highlight w:val="none"/>
                <w:shd w:val="clear" w:color="auto" w:fill="auto"/>
              </w:rPr>
              <w:t>《</w:t>
            </w:r>
            <w:r>
              <w:rPr>
                <w:rFonts w:hint="eastAsia"/>
                <w:color w:val="auto"/>
                <w:highlight w:val="none"/>
                <w:shd w:val="clear" w:color="auto" w:fill="auto"/>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5</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6</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7</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不存在以下情形：</w:t>
            </w:r>
            <w:r>
              <w:rPr>
                <w:color w:val="auto"/>
                <w:szCs w:val="21"/>
                <w:highlight w:val="none"/>
                <w:shd w:val="clear" w:color="auto" w:fill="auto"/>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8</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9</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10</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投标文件载明的</w:t>
            </w:r>
            <w:r>
              <w:rPr>
                <w:rFonts w:hint="eastAsia"/>
                <w:color w:val="auto"/>
                <w:highlight w:val="none"/>
                <w:shd w:val="clear" w:color="auto" w:fill="auto"/>
                <w:lang w:eastAsia="zh-CN"/>
              </w:rPr>
              <w:t>保修期</w:t>
            </w:r>
            <w:r>
              <w:rPr>
                <w:rFonts w:hint="eastAsia"/>
                <w:color w:val="auto"/>
                <w:highlight w:val="none"/>
                <w:shd w:val="clear" w:color="auto" w:fill="auto"/>
              </w:rPr>
              <w:t>未低于招标文件规定的期限；</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11</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12</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13</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14</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不属于法律、法规规定的投标无效的其他情形。</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评分类别</w:t>
            </w:r>
          </w:p>
        </w:tc>
        <w:tc>
          <w:tcPr>
            <w:tcW w:w="5597"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评分项目</w:t>
            </w:r>
          </w:p>
        </w:tc>
        <w:tc>
          <w:tcPr>
            <w:tcW w:w="13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对应章节</w:t>
            </w: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价格部分</w:t>
            </w:r>
          </w:p>
        </w:tc>
        <w:tc>
          <w:tcPr>
            <w:tcW w:w="5597"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技术部分</w:t>
            </w:r>
          </w:p>
        </w:tc>
        <w:tc>
          <w:tcPr>
            <w:tcW w:w="5597" w:type="dxa"/>
            <w:gridSpan w:val="2"/>
            <w:shd w:val="clear" w:color="auto" w:fill="auto"/>
            <w:vAlign w:val="center"/>
          </w:tcPr>
          <w:p>
            <w:pPr>
              <w:tabs>
                <w:tab w:val="clear" w:pos="426"/>
              </w:tabs>
              <w:adjustRightInd/>
              <w:snapToGrid/>
              <w:spacing w:line="240" w:lineRule="auto"/>
              <w:jc w:val="center"/>
              <w:rPr>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商务部分</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bl>
    <w:p>
      <w:pPr>
        <w:tabs>
          <w:tab w:val="clear" w:pos="426"/>
        </w:tabs>
        <w:rPr>
          <w:color w:val="auto"/>
          <w:highlight w:val="none"/>
          <w:shd w:val="clear" w:color="auto" w:fill="auto"/>
        </w:rPr>
      </w:pPr>
      <w:r>
        <w:rPr>
          <w:rFonts w:hint="eastAsia"/>
          <w:color w:val="auto"/>
          <w:szCs w:val="21"/>
          <w:highlight w:val="none"/>
          <w:shd w:val="clear" w:color="auto" w:fill="auto"/>
        </w:rPr>
        <w:t>备注：对于“</w:t>
      </w:r>
      <w:r>
        <w:rPr>
          <w:rFonts w:hint="eastAsia"/>
          <w:b/>
          <w:color w:val="auto"/>
          <w:highlight w:val="none"/>
          <w:shd w:val="clear" w:color="auto" w:fill="auto"/>
        </w:rPr>
        <w:t>综合评分指引”</w:t>
      </w:r>
      <w:r>
        <w:rPr>
          <w:rFonts w:hint="eastAsia"/>
          <w:color w:val="auto"/>
          <w:szCs w:val="21"/>
          <w:highlight w:val="none"/>
          <w:shd w:val="clear" w:color="auto" w:fill="auto"/>
        </w:rPr>
        <w:t>请投标人按照</w:t>
      </w:r>
      <w:r>
        <w:rPr>
          <w:rFonts w:hint="eastAsia"/>
          <w:b/>
          <w:color w:val="auto"/>
          <w:szCs w:val="21"/>
          <w:highlight w:val="none"/>
          <w:shd w:val="clear" w:color="auto" w:fill="auto"/>
        </w:rPr>
        <w:t>评分细则表</w:t>
      </w:r>
      <w:r>
        <w:rPr>
          <w:rFonts w:hint="eastAsia"/>
          <w:color w:val="auto"/>
          <w:szCs w:val="21"/>
          <w:highlight w:val="none"/>
          <w:shd w:val="clear" w:color="auto" w:fill="auto"/>
        </w:rPr>
        <w:t>的评分要求，根据各评分项目以</w:t>
      </w:r>
      <w:r>
        <w:rPr>
          <w:rFonts w:hint="eastAsia"/>
          <w:b/>
          <w:color w:val="auto"/>
          <w:szCs w:val="21"/>
          <w:highlight w:val="none"/>
          <w:shd w:val="clear" w:color="auto" w:fill="auto"/>
        </w:rPr>
        <w:t>自上而下</w:t>
      </w:r>
      <w:r>
        <w:rPr>
          <w:rFonts w:hint="eastAsia"/>
          <w:color w:val="auto"/>
          <w:szCs w:val="21"/>
          <w:highlight w:val="none"/>
          <w:shd w:val="clear" w:color="auto" w:fill="auto"/>
        </w:rPr>
        <w:t>的顺序编制</w:t>
      </w:r>
      <w:r>
        <w:rPr>
          <w:rFonts w:hint="eastAsia"/>
          <w:color w:val="auto"/>
          <w:highlight w:val="none"/>
          <w:shd w:val="clear" w:color="auto" w:fill="auto"/>
        </w:rPr>
        <w:t>。因项目次序混乱而影响评标效率及评标结果者，投标人自负其责。</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rFonts w:ascii="黑体" w:eastAsia="黑体"/>
          <w:bCs/>
          <w:color w:val="auto"/>
          <w:sz w:val="28"/>
          <w:highlight w:val="none"/>
          <w:shd w:val="clear" w:color="auto" w:fill="auto"/>
        </w:rPr>
        <w:br w:type="page"/>
      </w:r>
      <w:r>
        <w:rPr>
          <w:rFonts w:hint="eastAsia"/>
          <w:b/>
          <w:color w:val="auto"/>
          <w:sz w:val="24"/>
          <w:highlight w:val="none"/>
          <w:shd w:val="clear" w:color="auto" w:fill="auto"/>
        </w:rPr>
        <w:t>投标函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49" w:name="_Toc201719122"/>
      <w:bookmarkStart w:id="50" w:name="_Toc201743120"/>
      <w:bookmarkStart w:id="51" w:name="_Toc201742865"/>
      <w:bookmarkStart w:id="52" w:name="_Toc201997950"/>
      <w:r>
        <w:rPr>
          <w:rFonts w:hint="eastAsia" w:cs="Times New Roman"/>
          <w:bCs/>
          <w:color w:val="auto"/>
          <w:kern w:val="2"/>
          <w:sz w:val="32"/>
          <w:szCs w:val="32"/>
          <w:highlight w:val="none"/>
          <w:shd w:val="clear" w:color="auto" w:fill="auto"/>
        </w:rPr>
        <w:t>投标函</w:t>
      </w:r>
      <w:bookmarkEnd w:id="49"/>
      <w:bookmarkEnd w:id="50"/>
      <w:bookmarkEnd w:id="51"/>
      <w:bookmarkEnd w:id="52"/>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r>
        <w:rPr>
          <w:rFonts w:hint="eastAsia"/>
          <w:color w:val="auto"/>
          <w:szCs w:val="21"/>
          <w:highlight w:val="none"/>
          <w:shd w:val="clear" w:color="auto" w:fill="auto"/>
        </w:rPr>
        <w:t>致：</w:t>
      </w:r>
      <w:r>
        <w:rPr>
          <w:rFonts w:hint="eastAsia"/>
          <w:color w:val="auto"/>
          <w:szCs w:val="21"/>
          <w:highlight w:val="none"/>
          <w:u w:val="single"/>
          <w:shd w:val="clear" w:color="auto" w:fill="auto"/>
        </w:rPr>
        <w:t xml:space="preserve">       （采购人名称)          </w:t>
      </w:r>
    </w:p>
    <w:p>
      <w:pPr>
        <w:spacing w:after="120" w:afterLines="50"/>
        <w:ind w:firstLine="420" w:firstLineChars="200"/>
        <w:rPr>
          <w:color w:val="auto"/>
          <w:szCs w:val="21"/>
          <w:highlight w:val="none"/>
          <w:shd w:val="clear" w:color="auto" w:fill="auto"/>
        </w:rPr>
      </w:pPr>
      <w:r>
        <w:rPr>
          <w:rFonts w:hint="eastAsia"/>
          <w:color w:val="auto"/>
          <w:szCs w:val="21"/>
          <w:highlight w:val="none"/>
          <w:shd w:val="clear" w:color="auto" w:fill="auto"/>
        </w:rPr>
        <w:t>1、根据已收到贵方的招标编号为</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的</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120" w:afterLines="50"/>
        <w:ind w:firstLine="420" w:firstLineChars="200"/>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color w:val="auto"/>
          <w:szCs w:val="21"/>
          <w:highlight w:val="none"/>
          <w:shd w:val="clear" w:color="auto" w:fill="auto"/>
        </w:rPr>
      </w:pPr>
      <w:r>
        <w:rPr>
          <w:rFonts w:hint="eastAsia"/>
          <w:color w:val="auto"/>
          <w:szCs w:val="21"/>
          <w:highlight w:val="none"/>
          <w:shd w:val="clear" w:color="auto" w:fill="auto"/>
        </w:rPr>
        <w:t>3、如果我方中标，我方将按照规定提交上述总价</w:t>
      </w:r>
      <w:r>
        <w:rPr>
          <w:rFonts w:hint="eastAsia"/>
          <w:color w:val="auto"/>
          <w:szCs w:val="21"/>
          <w:highlight w:val="none"/>
          <w:u w:val="single"/>
          <w:shd w:val="clear" w:color="auto" w:fill="auto"/>
        </w:rPr>
        <w:t xml:space="preserve">   /   </w:t>
      </w:r>
      <w:r>
        <w:rPr>
          <w:rFonts w:hint="eastAsia"/>
          <w:color w:val="auto"/>
          <w:szCs w:val="21"/>
          <w:highlight w:val="none"/>
          <w:shd w:val="clear" w:color="auto" w:fill="auto"/>
        </w:rPr>
        <w:t>％（或</w:t>
      </w:r>
      <w:r>
        <w:rPr>
          <w:rFonts w:hint="eastAsia"/>
          <w:color w:val="auto"/>
          <w:szCs w:val="21"/>
          <w:highlight w:val="none"/>
          <w:u w:val="single"/>
          <w:shd w:val="clear" w:color="auto" w:fill="auto"/>
        </w:rPr>
        <w:t xml:space="preserve"> /  </w:t>
      </w:r>
      <w:r>
        <w:rPr>
          <w:rFonts w:hint="eastAsia"/>
          <w:color w:val="auto"/>
          <w:szCs w:val="21"/>
          <w:highlight w:val="none"/>
          <w:shd w:val="clear" w:color="auto" w:fill="auto"/>
        </w:rPr>
        <w:t>万元）作为履约担保（可提供保函或现金）。</w:t>
      </w:r>
    </w:p>
    <w:p>
      <w:pPr>
        <w:spacing w:after="120" w:afterLines="50"/>
        <w:ind w:firstLine="411" w:firstLineChars="196"/>
        <w:rPr>
          <w:color w:val="auto"/>
          <w:szCs w:val="21"/>
          <w:highlight w:val="none"/>
          <w:shd w:val="clear" w:color="auto" w:fill="auto"/>
        </w:rPr>
      </w:pPr>
      <w:r>
        <w:rPr>
          <w:rFonts w:hint="eastAsia"/>
          <w:color w:val="auto"/>
          <w:szCs w:val="21"/>
          <w:highlight w:val="none"/>
          <w:shd w:val="clear" w:color="auto" w:fill="auto"/>
        </w:rPr>
        <w:t>4、我方同意所递交的投标文件在“对通用条款的补充内容”中的投标有效期内有效，在此期间内我方的投标有可能中标，我方将受此约束。如果在投标有效期内撤回其投标，</w:t>
      </w:r>
      <w:r>
        <w:rPr>
          <w:rFonts w:hint="eastAsia"/>
          <w:color w:val="auto"/>
          <w:szCs w:val="21"/>
          <w:highlight w:val="none"/>
          <w:shd w:val="clear" w:color="auto" w:fill="auto"/>
          <w:lang w:eastAsia="zh-CN"/>
        </w:rPr>
        <w:t>招标人有权上报主管部门</w:t>
      </w:r>
      <w:r>
        <w:rPr>
          <w:rFonts w:hint="eastAsia"/>
          <w:color w:val="auto"/>
          <w:szCs w:val="21"/>
          <w:highlight w:val="none"/>
          <w:shd w:val="clear" w:color="auto" w:fill="auto"/>
        </w:rPr>
        <w:t>。</w:t>
      </w:r>
    </w:p>
    <w:p>
      <w:pPr>
        <w:spacing w:after="120" w:afterLines="50"/>
        <w:ind w:firstLine="411" w:firstLineChars="196"/>
        <w:rPr>
          <w:color w:val="auto"/>
          <w:szCs w:val="21"/>
          <w:highlight w:val="none"/>
          <w:shd w:val="clear" w:color="auto" w:fill="auto"/>
        </w:rPr>
      </w:pPr>
      <w:r>
        <w:rPr>
          <w:rFonts w:hint="eastAsia"/>
          <w:color w:val="auto"/>
          <w:szCs w:val="21"/>
          <w:highlight w:val="none"/>
          <w:shd w:val="clear" w:color="auto" w:fill="auto"/>
        </w:rPr>
        <w:t>5、除非另外达成协议并生效，贵方的中标通知书和本投标文件将构成约束我们双方的合同。</w:t>
      </w:r>
    </w:p>
    <w:p>
      <w:pPr>
        <w:spacing w:after="120" w:afterLines="50"/>
        <w:ind w:firstLine="411" w:firstLineChars="196"/>
        <w:rPr>
          <w:color w:val="auto"/>
          <w:szCs w:val="21"/>
          <w:highlight w:val="none"/>
          <w:shd w:val="clear" w:color="auto" w:fill="auto"/>
        </w:rPr>
      </w:pPr>
      <w:r>
        <w:rPr>
          <w:rFonts w:hint="eastAsia"/>
          <w:color w:val="auto"/>
          <w:szCs w:val="21"/>
          <w:highlight w:val="none"/>
          <w:shd w:val="clear" w:color="auto" w:fill="auto"/>
          <w:lang w:val="en-US" w:eastAsia="zh-CN"/>
        </w:rPr>
        <w:t>6</w:t>
      </w:r>
      <w:r>
        <w:rPr>
          <w:rFonts w:hint="eastAsia"/>
          <w:color w:val="auto"/>
          <w:szCs w:val="21"/>
          <w:highlight w:val="none"/>
          <w:shd w:val="clear" w:color="auto" w:fill="auto"/>
        </w:rPr>
        <w:t>、我方理解贵方将不受必须接受你们所收到的最低标价或其它任何投标文件的约束。</w:t>
      </w:r>
    </w:p>
    <w:p>
      <w:pPr>
        <w:tabs>
          <w:tab w:val="clear" w:pos="426"/>
        </w:tabs>
        <w:spacing w:line="300" w:lineRule="auto"/>
        <w:ind w:left="0" w:leftChars="0" w:firstLine="420" w:firstLineChars="200"/>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7、我方承诺将完全按照本项目招标文件第三章列明的</w:t>
      </w:r>
      <w:r>
        <w:rPr>
          <w:rFonts w:hint="eastAsia"/>
          <w:b/>
          <w:bCs/>
          <w:color w:val="auto"/>
          <w:szCs w:val="21"/>
          <w:highlight w:val="none"/>
          <w:shd w:val="clear" w:color="auto" w:fill="auto"/>
          <w:lang w:val="en-US" w:eastAsia="zh-CN"/>
        </w:rPr>
        <w:t>技术要求、商务要求、管理要求</w:t>
      </w:r>
      <w:r>
        <w:rPr>
          <w:rFonts w:hint="eastAsia"/>
          <w:color w:val="auto"/>
          <w:szCs w:val="21"/>
          <w:highlight w:val="none"/>
          <w:shd w:val="clear" w:color="auto" w:fill="auto"/>
          <w:lang w:val="en-US" w:eastAsia="zh-CN"/>
        </w:rPr>
        <w:t>完成本项目的全部供货及安装工作，直至采购单位验收合格。</w:t>
      </w:r>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r>
        <w:rPr>
          <w:rFonts w:hint="eastAsia"/>
          <w:color w:val="auto"/>
          <w:szCs w:val="21"/>
          <w:highlight w:val="none"/>
          <w:shd w:val="clear" w:color="auto" w:fill="auto"/>
        </w:rPr>
        <w:t>地址：</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电话：</w:t>
      </w:r>
      <w:r>
        <w:rPr>
          <w:rFonts w:hint="eastAsia"/>
          <w:color w:val="auto"/>
          <w:szCs w:val="21"/>
          <w:highlight w:val="none"/>
          <w:u w:val="single"/>
          <w:shd w:val="clear" w:color="auto" w:fill="auto"/>
        </w:rPr>
        <w:t xml:space="preserve">                        </w:t>
      </w:r>
    </w:p>
    <w:p>
      <w:pPr>
        <w:tabs>
          <w:tab w:val="clear" w:pos="426"/>
        </w:tabs>
        <w:spacing w:line="300" w:lineRule="auto"/>
        <w:rPr>
          <w:color w:val="auto"/>
          <w:szCs w:val="21"/>
          <w:highlight w:val="none"/>
          <w:u w:val="single"/>
          <w:shd w:val="clear" w:color="auto" w:fill="auto"/>
        </w:rPr>
      </w:pPr>
      <w:r>
        <w:rPr>
          <w:rFonts w:hint="eastAsia"/>
          <w:color w:val="auto"/>
          <w:szCs w:val="21"/>
          <w:highlight w:val="none"/>
          <w:shd w:val="clear" w:color="auto" w:fill="auto"/>
        </w:rPr>
        <w:t>投标人名称（公章）：</w:t>
      </w:r>
      <w:r>
        <w:rPr>
          <w:rFonts w:hint="eastAsia"/>
          <w:color w:val="auto"/>
          <w:szCs w:val="21"/>
          <w:highlight w:val="none"/>
          <w:u w:val="single"/>
          <w:shd w:val="clear" w:color="auto" w:fill="auto"/>
        </w:rPr>
        <w:t xml:space="preserve">                                             </w:t>
      </w:r>
    </w:p>
    <w:p>
      <w:pPr>
        <w:tabs>
          <w:tab w:val="clear" w:pos="426"/>
        </w:tabs>
        <w:spacing w:line="300" w:lineRule="auto"/>
        <w:rPr>
          <w:color w:val="auto"/>
          <w:szCs w:val="21"/>
          <w:highlight w:val="none"/>
          <w:u w:val="single"/>
          <w:shd w:val="clear" w:color="auto" w:fill="auto"/>
        </w:rPr>
      </w:pPr>
      <w:r>
        <w:rPr>
          <w:rFonts w:hint="eastAsia"/>
          <w:color w:val="auto"/>
          <w:szCs w:val="21"/>
          <w:highlight w:val="none"/>
          <w:shd w:val="clear" w:color="auto" w:fill="auto"/>
        </w:rPr>
        <w:t xml:space="preserve">投标人代表（签字)： </w:t>
      </w:r>
      <w:r>
        <w:rPr>
          <w:rFonts w:hint="eastAsia"/>
          <w:color w:val="auto"/>
          <w:szCs w:val="21"/>
          <w:highlight w:val="none"/>
          <w:u w:val="single"/>
          <w:shd w:val="clear" w:color="auto" w:fill="auto"/>
        </w:rPr>
        <w:t xml:space="preserve">                                             </w:t>
      </w:r>
    </w:p>
    <w:p>
      <w:pPr>
        <w:tabs>
          <w:tab w:val="clear" w:pos="426"/>
        </w:tabs>
        <w:spacing w:line="300" w:lineRule="auto"/>
        <w:rPr>
          <w:color w:val="auto"/>
          <w:szCs w:val="21"/>
          <w:highlight w:val="none"/>
          <w:u w:val="single"/>
          <w:shd w:val="clear" w:color="auto" w:fill="auto"/>
        </w:rPr>
      </w:pPr>
      <w:r>
        <w:rPr>
          <w:rFonts w:hint="eastAsia"/>
          <w:color w:val="auto"/>
          <w:szCs w:val="21"/>
          <w:highlight w:val="none"/>
          <w:shd w:val="clear" w:color="auto" w:fill="auto"/>
        </w:rPr>
        <w:t>日期：</w:t>
      </w:r>
      <w:r>
        <w:rPr>
          <w:rFonts w:hint="eastAsia"/>
          <w:color w:val="auto"/>
          <w:szCs w:val="21"/>
          <w:highlight w:val="none"/>
          <w:u w:val="single"/>
          <w:shd w:val="clear" w:color="auto" w:fill="auto"/>
        </w:rPr>
        <w:t xml:space="preserve">                                                           </w:t>
      </w:r>
    </w:p>
    <w:p>
      <w:pPr>
        <w:tabs>
          <w:tab w:val="clear" w:pos="426"/>
        </w:tabs>
        <w:spacing w:line="300" w:lineRule="auto"/>
        <w:rPr>
          <w:color w:val="auto"/>
          <w:highlight w:val="none"/>
          <w:shd w:val="clear" w:color="auto" w:fill="auto"/>
        </w:rPr>
      </w:pPr>
    </w:p>
    <w:p>
      <w:pPr>
        <w:tabs>
          <w:tab w:val="clear" w:pos="426"/>
        </w:tabs>
        <w:spacing w:line="300" w:lineRule="auto"/>
        <w:rPr>
          <w:color w:val="auto"/>
          <w:highlight w:val="none"/>
          <w:shd w:val="clear" w:color="auto" w:fill="auto"/>
        </w:rPr>
      </w:pPr>
    </w:p>
    <w:p>
      <w:pPr>
        <w:tabs>
          <w:tab w:val="clear" w:pos="426"/>
        </w:tabs>
        <w:spacing w:line="300" w:lineRule="auto"/>
        <w:ind w:firstLine="420" w:firstLineChars="200"/>
        <w:rPr>
          <w:color w:val="auto"/>
          <w:highlight w:val="none"/>
          <w:shd w:val="clear" w:color="auto" w:fill="auto"/>
        </w:rPr>
      </w:pPr>
      <w:r>
        <w:rPr>
          <w:color w:val="auto"/>
          <w:highlight w:val="none"/>
          <w:shd w:val="clear" w:color="auto" w:fill="auto"/>
        </w:rPr>
        <w:br w:type="page"/>
      </w:r>
    </w:p>
    <w:p>
      <w:pPr>
        <w:tabs>
          <w:tab w:val="clear" w:pos="426"/>
        </w:tabs>
        <w:spacing w:line="300" w:lineRule="auto"/>
        <w:rPr>
          <w:color w:val="auto"/>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rPr>
        <w:t>政府采购投标及履约承诺函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政府采购投标及履约承诺函</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深圳市深水水务咨询有限公司：</w:t>
      </w:r>
    </w:p>
    <w:p>
      <w:pPr>
        <w:tabs>
          <w:tab w:val="clear" w:pos="426"/>
        </w:tabs>
        <w:spacing w:before="120" w:beforeLines="50" w:line="240" w:lineRule="auto"/>
        <w:ind w:firstLine="424" w:firstLineChars="202"/>
        <w:rPr>
          <w:color w:val="auto"/>
          <w:highlight w:val="none"/>
          <w:shd w:val="clear" w:color="auto" w:fill="auto"/>
        </w:rPr>
      </w:pPr>
      <w:r>
        <w:rPr>
          <w:rFonts w:hint="eastAsia"/>
          <w:color w:val="auto"/>
          <w:highlight w:val="none"/>
          <w:shd w:val="clear" w:color="auto" w:fill="auto"/>
        </w:rPr>
        <w:t>关于贵公司</w:t>
      </w:r>
      <w:r>
        <w:rPr>
          <w:rFonts w:hint="eastAsia"/>
          <w:color w:val="auto"/>
          <w:highlight w:val="none"/>
          <w:u w:val="single"/>
          <w:shd w:val="clear" w:color="auto" w:fill="auto"/>
        </w:rPr>
        <w:t xml:space="preserve">      </w:t>
      </w:r>
      <w:r>
        <w:rPr>
          <w:rFonts w:hint="eastAsia"/>
          <w:color w:val="auto"/>
          <w:highlight w:val="none"/>
          <w:shd w:val="clear" w:color="auto" w:fill="auto"/>
        </w:rPr>
        <w:t>年</w:t>
      </w:r>
      <w:r>
        <w:rPr>
          <w:rFonts w:hint="eastAsia"/>
          <w:color w:val="auto"/>
          <w:highlight w:val="none"/>
          <w:u w:val="single"/>
          <w:shd w:val="clear" w:color="auto" w:fill="auto"/>
        </w:rPr>
        <w:t xml:space="preserve">    </w:t>
      </w:r>
      <w:r>
        <w:rPr>
          <w:rFonts w:hint="eastAsia"/>
          <w:color w:val="auto"/>
          <w:highlight w:val="none"/>
          <w:shd w:val="clear" w:color="auto" w:fill="auto"/>
        </w:rPr>
        <w:t>月</w:t>
      </w:r>
      <w:r>
        <w:rPr>
          <w:rFonts w:hint="eastAsia"/>
          <w:color w:val="auto"/>
          <w:highlight w:val="none"/>
          <w:u w:val="single"/>
          <w:shd w:val="clear" w:color="auto" w:fill="auto"/>
        </w:rPr>
        <w:t xml:space="preserve">    </w:t>
      </w:r>
      <w:r>
        <w:rPr>
          <w:rFonts w:hint="eastAsia"/>
          <w:color w:val="auto"/>
          <w:highlight w:val="none"/>
          <w:shd w:val="clear" w:color="auto" w:fill="auto"/>
        </w:rPr>
        <w:t>日发布</w:t>
      </w:r>
      <w:r>
        <w:rPr>
          <w:color w:val="auto"/>
          <w:highlight w:val="none"/>
          <w:u w:val="single"/>
          <w:shd w:val="clear" w:color="auto" w:fill="auto"/>
        </w:rPr>
        <w:t xml:space="preserve">  </w:t>
      </w:r>
      <w:r>
        <w:rPr>
          <w:rFonts w:hint="eastAsia"/>
          <w:color w:val="auto"/>
          <w:szCs w:val="21"/>
          <w:highlight w:val="none"/>
          <w:u w:val="single"/>
          <w:shd w:val="clear" w:color="auto" w:fill="auto"/>
        </w:rPr>
        <w:t xml:space="preserve">（项目名称) </w:t>
      </w:r>
      <w:r>
        <w:rPr>
          <w:color w:val="auto"/>
          <w:highlight w:val="none"/>
          <w:u w:val="single"/>
          <w:shd w:val="clear" w:color="auto" w:fill="auto"/>
        </w:rPr>
        <w:t xml:space="preserve"> </w:t>
      </w:r>
      <w:r>
        <w:rPr>
          <w:rFonts w:hint="eastAsia"/>
          <w:color w:val="auto"/>
          <w:highlight w:val="none"/>
          <w:shd w:val="clear" w:color="auto" w:fill="auto"/>
        </w:rPr>
        <w:t>项目（项目编号：</w:t>
      </w:r>
      <w:r>
        <w:rPr>
          <w:rFonts w:hint="eastAsia"/>
          <w:color w:val="auto"/>
          <w:highlight w:val="none"/>
          <w:u w:val="single"/>
          <w:shd w:val="clear" w:color="auto" w:fill="auto"/>
        </w:rPr>
        <w:t xml:space="preserve">  （项目编号）  </w:t>
      </w:r>
      <w:r>
        <w:rPr>
          <w:rFonts w:hint="eastAsia"/>
          <w:color w:val="auto"/>
          <w:highlight w:val="none"/>
          <w:shd w:val="clear" w:color="auto" w:fill="auto"/>
        </w:rPr>
        <w:t>）的采购公告，本公司（企业）愿意参加投标，并声明：</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1.我公司本招标项目所提供的货物或服务未侵犯知识产权。</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2.我公司参与本项目投标前三年内，在经营活动中没有重大违法记录。</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3.我公司参与本项目政府采购活动时不存在被有关部门禁止参与政府采购活动且在有效期内的情况。</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4.我公司具备《中华人民共和国政府采购法》第二十二条规定的资质。</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5.我公司未被列入失信被执行人、重大税收违法案件当事人名单、政府采购严重违法失信行为记录名单</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auto"/>
          <w:highlight w:val="none"/>
          <w:shd w:val="clear" w:color="auto" w:fill="auto"/>
        </w:rPr>
        <w:t>作；若我公司未按上述要求履约，我公司愿意接受主管部门的处理处罚。</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10.我公司承诺不非法转包、分包。</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以上承诺，如有违反，愿依照国家相关法律处理，并承担由此给采购人带来的损失。</w:t>
      </w:r>
    </w:p>
    <w:p>
      <w:pPr>
        <w:tabs>
          <w:tab w:val="clear" w:pos="426"/>
        </w:tabs>
        <w:spacing w:line="240" w:lineRule="auto"/>
        <w:ind w:firstLine="420"/>
        <w:rPr>
          <w:color w:val="auto"/>
          <w:highlight w:val="none"/>
          <w:shd w:val="clear" w:color="auto" w:fill="auto"/>
        </w:rPr>
      </w:pPr>
      <w:r>
        <w:rPr>
          <w:rFonts w:hint="eastAsia"/>
          <w:color w:val="auto"/>
          <w:highlight w:val="none"/>
          <w:shd w:val="clear" w:color="auto" w:fill="auto"/>
        </w:rPr>
        <w:t>特此声明！</w:t>
      </w:r>
    </w:p>
    <w:p>
      <w:pPr>
        <w:tabs>
          <w:tab w:val="clear" w:pos="426"/>
        </w:tabs>
        <w:spacing w:line="240" w:lineRule="auto"/>
        <w:ind w:firstLine="420"/>
        <w:rPr>
          <w:color w:val="auto"/>
          <w:highlight w:val="none"/>
          <w:shd w:val="clear" w:color="auto" w:fill="auto"/>
        </w:rPr>
      </w:pPr>
    </w:p>
    <w:p>
      <w:pPr>
        <w:tabs>
          <w:tab w:val="clear" w:pos="426"/>
        </w:tabs>
        <w:ind w:firstLine="420"/>
        <w:rPr>
          <w:color w:val="auto"/>
          <w:highlight w:val="none"/>
          <w:shd w:val="clear" w:color="auto" w:fill="auto"/>
        </w:rPr>
      </w:pPr>
    </w:p>
    <w:p>
      <w:pPr>
        <w:tabs>
          <w:tab w:val="clear" w:pos="426"/>
        </w:tabs>
        <w:ind w:firstLine="420"/>
        <w:rPr>
          <w:color w:val="auto"/>
          <w:highlight w:val="none"/>
          <w:shd w:val="clear" w:color="auto" w:fill="auto"/>
        </w:rPr>
      </w:pPr>
    </w:p>
    <w:p>
      <w:pPr>
        <w:tabs>
          <w:tab w:val="clear" w:pos="426"/>
        </w:tabs>
        <w:ind w:firstLine="420"/>
        <w:rPr>
          <w:color w:val="auto"/>
          <w:highlight w:val="none"/>
          <w:u w:val="single"/>
          <w:shd w:val="clear" w:color="auto" w:fill="auto"/>
        </w:rPr>
      </w:pPr>
      <w:r>
        <w:rPr>
          <w:rFonts w:hint="eastAsia"/>
          <w:color w:val="auto"/>
          <w:highlight w:val="none"/>
          <w:shd w:val="clear" w:color="auto" w:fill="auto"/>
        </w:rPr>
        <w:t>单位名称：</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法定代表人或投标人授权代表（签名或盖章）：</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单位地址：</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单位公章：</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邮政编码：</w:t>
      </w:r>
      <w:r>
        <w:rPr>
          <w:rFonts w:hint="eastAsia"/>
          <w:color w:val="auto"/>
          <w:highlight w:val="none"/>
          <w:u w:val="single"/>
          <w:shd w:val="clear" w:color="auto" w:fill="auto"/>
        </w:rPr>
        <w:t xml:space="preserve">                             </w:t>
      </w:r>
      <w:r>
        <w:rPr>
          <w:rFonts w:hint="eastAsia"/>
          <w:color w:val="auto"/>
          <w:highlight w:val="none"/>
          <w:shd w:val="clear" w:color="auto" w:fill="auto"/>
        </w:rPr>
        <w:t>日期：</w:t>
      </w:r>
      <w:r>
        <w:rPr>
          <w:rFonts w:hint="eastAsia"/>
          <w:color w:val="auto"/>
          <w:highlight w:val="none"/>
          <w:u w:val="single"/>
          <w:shd w:val="clear" w:color="auto" w:fill="auto"/>
        </w:rPr>
        <w:t xml:space="preserve">                          </w:t>
      </w:r>
    </w:p>
    <w:p>
      <w:pPr>
        <w:tabs>
          <w:tab w:val="clear" w:pos="426"/>
        </w:tabs>
        <w:ind w:firstLine="420" w:firstLineChars="200"/>
        <w:rPr>
          <w:color w:val="auto"/>
          <w:highlight w:val="none"/>
          <w:u w:val="single"/>
          <w:shd w:val="clear" w:color="auto" w:fill="auto"/>
        </w:rPr>
      </w:pPr>
      <w:r>
        <w:rPr>
          <w:rFonts w:hint="eastAsia"/>
          <w:color w:val="auto"/>
          <w:highlight w:val="none"/>
          <w:shd w:val="clear" w:color="auto" w:fill="auto"/>
        </w:rPr>
        <w:t>联系电话：</w:t>
      </w:r>
      <w:r>
        <w:rPr>
          <w:rFonts w:hint="eastAsia"/>
          <w:color w:val="auto"/>
          <w:highlight w:val="none"/>
          <w:u w:val="single"/>
          <w:shd w:val="clear" w:color="auto" w:fill="auto"/>
        </w:rPr>
        <w:t xml:space="preserve">                               </w:t>
      </w:r>
      <w:bookmarkStart w:id="53" w:name="_Toc275865607"/>
      <w:bookmarkStart w:id="54" w:name="_Toc52165081"/>
      <w:bookmarkStart w:id="55" w:name="_Toc50737297"/>
      <w:bookmarkStart w:id="56" w:name="_Toc480754205"/>
      <w:bookmarkStart w:id="57" w:name="_Toc50737329"/>
      <w:bookmarkStart w:id="58" w:name="_Toc50736477"/>
      <w:bookmarkStart w:id="59" w:name="_Toc50737328"/>
      <w:bookmarkStart w:id="60" w:name="_Toc50737296"/>
      <w:bookmarkStart w:id="61" w:name="_Toc50691034"/>
      <w:bookmarkStart w:id="62" w:name="_Toc52165080"/>
      <w:bookmarkStart w:id="63" w:name="_Toc50736476"/>
      <w:r>
        <w:rPr>
          <w:rFonts w:hint="eastAsia"/>
          <w:color w:val="auto"/>
          <w:highlight w:val="none"/>
          <w:u w:val="single"/>
          <w:shd w:val="clear" w:color="auto" w:fill="auto"/>
        </w:rPr>
        <w:t xml:space="preserve">                              </w:t>
      </w:r>
    </w:p>
    <w:p>
      <w:pPr>
        <w:tabs>
          <w:tab w:val="clear" w:pos="426"/>
        </w:tabs>
        <w:rPr>
          <w:color w:val="auto"/>
          <w:highlight w:val="none"/>
          <w:u w:val="singl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法定代表人授权委托书</w:t>
      </w:r>
      <w:bookmarkEnd w:id="53"/>
      <w:bookmarkEnd w:id="54"/>
      <w:bookmarkEnd w:id="55"/>
      <w:bookmarkEnd w:id="56"/>
      <w:bookmarkEnd w:id="57"/>
      <w:bookmarkEnd w:id="58"/>
    </w:p>
    <w:p>
      <w:pPr>
        <w:pStyle w:val="24"/>
        <w:tabs>
          <w:tab w:val="clear" w:pos="426"/>
        </w:tabs>
        <w:ind w:firstLine="420" w:firstLineChars="200"/>
        <w:rPr>
          <w:color w:val="auto"/>
          <w:highlight w:val="none"/>
          <w:shd w:val="clear" w:color="auto" w:fill="auto"/>
        </w:rPr>
      </w:pPr>
    </w:p>
    <w:p>
      <w:pPr>
        <w:pStyle w:val="24"/>
        <w:tabs>
          <w:tab w:val="clear" w:pos="426"/>
        </w:tabs>
        <w:ind w:firstLine="420" w:firstLineChars="200"/>
        <w:rPr>
          <w:color w:val="auto"/>
          <w:highlight w:val="none"/>
          <w:shd w:val="clear" w:color="auto" w:fill="auto"/>
        </w:rPr>
      </w:pPr>
      <w:r>
        <w:rPr>
          <w:rFonts w:hint="eastAsia"/>
          <w:color w:val="auto"/>
          <w:highlight w:val="none"/>
          <w:shd w:val="clear" w:color="auto" w:fill="auto"/>
        </w:rPr>
        <w:t>本授权委托书声明：注册于</w:t>
      </w:r>
      <w:r>
        <w:rPr>
          <w:rFonts w:hint="eastAsia"/>
          <w:color w:val="auto"/>
          <w:highlight w:val="none"/>
          <w:u w:val="single"/>
          <w:shd w:val="clear" w:color="auto" w:fill="auto"/>
        </w:rPr>
        <w:t xml:space="preserve"> （投标人地址）  </w:t>
      </w:r>
      <w:r>
        <w:rPr>
          <w:rFonts w:hint="eastAsia"/>
          <w:color w:val="auto"/>
          <w:highlight w:val="none"/>
          <w:shd w:val="clear" w:color="auto" w:fill="auto"/>
        </w:rPr>
        <w:t>的</w:t>
      </w:r>
      <w:r>
        <w:rPr>
          <w:rFonts w:hint="eastAsia"/>
          <w:color w:val="auto"/>
          <w:highlight w:val="none"/>
          <w:u w:val="single"/>
          <w:shd w:val="clear" w:color="auto" w:fill="auto"/>
        </w:rPr>
        <w:t xml:space="preserve">  （投标人名称）    </w:t>
      </w:r>
      <w:r>
        <w:rPr>
          <w:rFonts w:hint="eastAsia"/>
          <w:color w:val="auto"/>
          <w:highlight w:val="none"/>
          <w:shd w:val="clear" w:color="auto" w:fill="auto"/>
        </w:rPr>
        <w:t>在下面签名的</w:t>
      </w:r>
      <w:r>
        <w:rPr>
          <w:rFonts w:hint="eastAsia"/>
          <w:color w:val="auto"/>
          <w:highlight w:val="none"/>
          <w:u w:val="single"/>
          <w:shd w:val="clear" w:color="auto" w:fill="auto"/>
        </w:rPr>
        <w:t>（法定代表人姓名、职务）</w:t>
      </w:r>
      <w:r>
        <w:rPr>
          <w:rFonts w:hint="eastAsia"/>
          <w:color w:val="auto"/>
          <w:highlight w:val="none"/>
          <w:shd w:val="clear" w:color="auto" w:fill="auto"/>
        </w:rPr>
        <w:t>在此授权</w:t>
      </w:r>
      <w:r>
        <w:rPr>
          <w:rFonts w:hint="eastAsia"/>
          <w:color w:val="auto"/>
          <w:highlight w:val="none"/>
          <w:u w:val="single"/>
          <w:shd w:val="clear" w:color="auto" w:fill="auto"/>
        </w:rPr>
        <w:t>（被授权人姓名、职务）</w:t>
      </w:r>
      <w:r>
        <w:rPr>
          <w:rFonts w:hint="eastAsia"/>
          <w:color w:val="auto"/>
          <w:highlight w:val="none"/>
          <w:shd w:val="clear" w:color="auto" w:fill="auto"/>
        </w:rPr>
        <w:t>作为我公司的合法代理人，就</w:t>
      </w:r>
      <w:r>
        <w:rPr>
          <w:rFonts w:hint="eastAsia"/>
          <w:color w:val="auto"/>
          <w:highlight w:val="none"/>
          <w:u w:val="single"/>
          <w:shd w:val="clear" w:color="auto" w:fill="auto"/>
        </w:rPr>
        <w:t>（项目名称、项目编号</w:t>
      </w:r>
      <w:r>
        <w:rPr>
          <w:rFonts w:hint="eastAsia"/>
          <w:color w:val="auto"/>
          <w:highlight w:val="none"/>
          <w:shd w:val="clear" w:color="auto" w:fill="auto"/>
        </w:rPr>
        <w:t>）的招投标活动，采购合同的签订、执行、完成和售后服务，作为投标人代表以我方的名义处理一切与之有关的事务。</w:t>
      </w:r>
    </w:p>
    <w:p>
      <w:pPr>
        <w:pStyle w:val="24"/>
        <w:tabs>
          <w:tab w:val="clear" w:pos="426"/>
        </w:tabs>
        <w:ind w:firstLine="420" w:firstLineChars="200"/>
        <w:rPr>
          <w:color w:val="auto"/>
          <w:highlight w:val="none"/>
          <w:shd w:val="clear" w:color="auto" w:fill="auto"/>
        </w:rPr>
      </w:pPr>
      <w:r>
        <w:rPr>
          <w:rFonts w:hint="eastAsia"/>
          <w:color w:val="auto"/>
          <w:highlight w:val="none"/>
          <w:shd w:val="clear" w:color="auto" w:fill="auto"/>
        </w:rPr>
        <w:t>被授权人（投标人授权代表）无转委托权限。</w:t>
      </w:r>
    </w:p>
    <w:p>
      <w:pPr>
        <w:tabs>
          <w:tab w:val="clear" w:pos="426"/>
        </w:tabs>
        <w:ind w:firstLine="420" w:firstLineChars="200"/>
        <w:rPr>
          <w:color w:val="auto"/>
          <w:szCs w:val="21"/>
          <w:highlight w:val="none"/>
          <w:shd w:val="clear" w:color="auto" w:fill="auto"/>
        </w:rPr>
      </w:pPr>
      <w:r>
        <w:rPr>
          <w:rFonts w:hint="eastAsia"/>
          <w:color w:val="auto"/>
          <w:szCs w:val="21"/>
          <w:highlight w:val="none"/>
          <w:shd w:val="clear" w:color="auto" w:fill="auto"/>
        </w:rPr>
        <w:t>本授权书自法定代表人签字之日起生效，特此声明。</w:t>
      </w:r>
    </w:p>
    <w:p>
      <w:pPr>
        <w:tabs>
          <w:tab w:val="clear" w:pos="426"/>
        </w:tabs>
        <w:ind w:firstLine="422" w:firstLineChars="200"/>
        <w:rPr>
          <w:b/>
          <w:color w:val="auto"/>
          <w:szCs w:val="21"/>
          <w:highlight w:val="none"/>
          <w:shd w:val="clear" w:color="auto" w:fill="auto"/>
        </w:rPr>
      </w:pPr>
      <w:r>
        <w:rPr>
          <w:rFonts w:hint="eastAsia"/>
          <w:b/>
          <w:color w:val="auto"/>
          <w:szCs w:val="21"/>
          <w:highlight w:val="none"/>
          <w:shd w:val="clear" w:color="auto" w:fill="auto"/>
        </w:rPr>
        <w:t>随附《法定代表人证明》</w:t>
      </w:r>
    </w:p>
    <w:p>
      <w:pPr>
        <w:tabs>
          <w:tab w:val="clear" w:pos="426"/>
        </w:tabs>
        <w:ind w:firstLine="422" w:firstLineChars="200"/>
        <w:rPr>
          <w:b/>
          <w:color w:val="auto"/>
          <w:szCs w:val="21"/>
          <w:highlight w:val="none"/>
          <w:shd w:val="clear" w:color="auto" w:fill="auto"/>
        </w:rPr>
      </w:pPr>
    </w:p>
    <w:p>
      <w:pPr>
        <w:tabs>
          <w:tab w:val="clear" w:pos="426"/>
        </w:tabs>
        <w:ind w:firstLine="422" w:firstLineChars="200"/>
        <w:rPr>
          <w:b/>
          <w:color w:val="auto"/>
          <w:szCs w:val="21"/>
          <w:highlight w:val="none"/>
          <w:shd w:val="clear" w:color="auto" w:fill="auto"/>
        </w:rPr>
      </w:pPr>
    </w:p>
    <w:p>
      <w:pPr>
        <w:tabs>
          <w:tab w:val="clear" w:pos="426"/>
        </w:tabs>
        <w:ind w:firstLine="422" w:firstLineChars="200"/>
        <w:rPr>
          <w:b/>
          <w:color w:val="auto"/>
          <w:szCs w:val="21"/>
          <w:highlight w:val="none"/>
          <w:shd w:val="clear" w:color="auto" w:fill="auto"/>
        </w:rPr>
      </w:pPr>
    </w:p>
    <w:p>
      <w:pPr>
        <w:tabs>
          <w:tab w:val="clear" w:pos="426"/>
        </w:tabs>
        <w:ind w:firstLine="424" w:firstLineChars="202"/>
        <w:rPr>
          <w:color w:val="auto"/>
          <w:szCs w:val="21"/>
          <w:highlight w:val="none"/>
          <w:u w:val="single"/>
          <w:shd w:val="clear" w:color="auto" w:fill="auto"/>
        </w:rPr>
      </w:pPr>
      <w:r>
        <w:rPr>
          <w:rFonts w:hint="eastAsia"/>
          <w:color w:val="auto"/>
          <w:szCs w:val="21"/>
          <w:highlight w:val="none"/>
          <w:shd w:val="clear" w:color="auto" w:fill="auto"/>
        </w:rPr>
        <w:t>投标人名称（单位盖</w:t>
      </w:r>
      <w:r>
        <w:rPr>
          <w:rFonts w:hint="eastAsia"/>
          <w:color w:val="auto"/>
          <w:spacing w:val="4"/>
          <w:szCs w:val="21"/>
          <w:highlight w:val="none"/>
          <w:shd w:val="clear" w:color="auto" w:fill="auto"/>
        </w:rPr>
        <w:t>公章</w:t>
      </w:r>
      <w:r>
        <w:rPr>
          <w:rFonts w:hint="eastAsia"/>
          <w:color w:val="auto"/>
          <w:szCs w:val="21"/>
          <w:highlight w:val="none"/>
          <w:shd w:val="clear" w:color="auto" w:fill="auto"/>
        </w:rPr>
        <w:t>）：</w:t>
      </w:r>
      <w:r>
        <w:rPr>
          <w:rFonts w:hint="eastAsia"/>
          <w:color w:val="auto"/>
          <w:szCs w:val="21"/>
          <w:highlight w:val="none"/>
          <w:u w:val="single"/>
          <w:shd w:val="clear" w:color="auto" w:fill="auto"/>
        </w:rPr>
        <w:t xml:space="preserve">                                                     </w:t>
      </w:r>
    </w:p>
    <w:p>
      <w:pPr>
        <w:tabs>
          <w:tab w:val="clear" w:pos="426"/>
        </w:tabs>
        <w:ind w:firstLine="424" w:firstLineChars="202"/>
        <w:rPr>
          <w:color w:val="auto"/>
          <w:szCs w:val="21"/>
          <w:highlight w:val="none"/>
          <w:u w:val="single"/>
          <w:shd w:val="clear" w:color="auto" w:fill="auto"/>
        </w:rPr>
      </w:pPr>
      <w:r>
        <w:rPr>
          <w:rFonts w:hint="eastAsia"/>
          <w:color w:val="auto"/>
          <w:szCs w:val="21"/>
          <w:highlight w:val="none"/>
          <w:shd w:val="clear" w:color="auto" w:fill="auto"/>
        </w:rPr>
        <w:t>地      址：</w:t>
      </w:r>
      <w:r>
        <w:rPr>
          <w:rFonts w:hint="eastAsia"/>
          <w:color w:val="auto"/>
          <w:szCs w:val="21"/>
          <w:highlight w:val="none"/>
          <w:u w:val="single"/>
          <w:shd w:val="clear" w:color="auto" w:fill="auto"/>
        </w:rPr>
        <w:t xml:space="preserve">                                                                   </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法定代表人（签字或盖章）：</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签字日期：</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年</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日</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被授权人（投标人授权代表）（签字或盖章）：</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tabs>
          <w:tab w:val="clear" w:pos="426"/>
        </w:tabs>
        <w:ind w:firstLine="424" w:firstLineChars="202"/>
        <w:rPr>
          <w:color w:val="auto"/>
          <w:szCs w:val="21"/>
          <w:highlight w:val="none"/>
          <w:shd w:val="clear" w:color="auto" w:fill="auto"/>
        </w:rPr>
      </w:pP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附：被授权人身份证复印件：</w:t>
      </w:r>
    </w:p>
    <w:p>
      <w:pPr>
        <w:tabs>
          <w:tab w:val="clear" w:pos="426"/>
        </w:tabs>
        <w:ind w:firstLine="424" w:firstLineChars="202"/>
        <w:rPr>
          <w:color w:val="auto"/>
          <w:szCs w:val="21"/>
          <w:highlight w:val="none"/>
          <w:shd w:val="clear" w:color="auto" w:fill="auto"/>
        </w:rPr>
      </w:pPr>
    </w:p>
    <w:bookmarkEnd w:id="59"/>
    <w:bookmarkEnd w:id="60"/>
    <w:bookmarkEnd w:id="61"/>
    <w:bookmarkEnd w:id="62"/>
    <w:bookmarkEnd w:id="63"/>
    <w:p>
      <w:pPr>
        <w:tabs>
          <w:tab w:val="clear" w:pos="426"/>
        </w:tabs>
        <w:spacing w:line="300" w:lineRule="auto"/>
        <w:jc w:val="center"/>
        <w:rPr>
          <w:color w:val="auto"/>
          <w:highlight w:val="none"/>
          <w:shd w:val="clear" w:color="auto" w:fill="auto"/>
        </w:rPr>
      </w:pPr>
      <w:r>
        <w:rPr>
          <w:color w:val="auto"/>
          <w:highlight w:val="none"/>
          <w:shd w:val="clear" w:color="auto" w:fill="auto"/>
        </w:rPr>
        <w:br w:type="page"/>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法定代表人证明书</w:t>
      </w:r>
    </w:p>
    <w:p>
      <w:pPr>
        <w:tabs>
          <w:tab w:val="clear" w:pos="426"/>
        </w:tabs>
        <w:spacing w:line="480" w:lineRule="auto"/>
        <w:ind w:firstLine="424" w:firstLineChars="202"/>
        <w:rPr>
          <w:color w:val="auto"/>
          <w:highlight w:val="none"/>
          <w:u w:val="single"/>
          <w:shd w:val="clear" w:color="auto" w:fill="auto"/>
        </w:rPr>
      </w:pPr>
    </w:p>
    <w:p>
      <w:pPr>
        <w:tabs>
          <w:tab w:val="clear" w:pos="426"/>
        </w:tabs>
        <w:spacing w:line="480" w:lineRule="auto"/>
        <w:ind w:firstLine="424" w:firstLineChars="202"/>
        <w:rPr>
          <w:color w:val="auto"/>
          <w:highlight w:val="none"/>
          <w:shd w:val="clear" w:color="auto" w:fill="auto"/>
        </w:rPr>
      </w:pPr>
      <w:r>
        <w:rPr>
          <w:rFonts w:hint="eastAsia"/>
          <w:color w:val="auto"/>
          <w:highlight w:val="none"/>
          <w:u w:val="single"/>
          <w:shd w:val="clear" w:color="auto" w:fill="auto"/>
        </w:rPr>
        <w:t>__________</w:t>
      </w:r>
      <w:r>
        <w:rPr>
          <w:rFonts w:hint="eastAsia"/>
          <w:color w:val="auto"/>
          <w:highlight w:val="none"/>
          <w:shd w:val="clear" w:color="auto" w:fill="auto"/>
        </w:rPr>
        <w:t>同志，现任我单位</w:t>
      </w:r>
      <w:r>
        <w:rPr>
          <w:color w:val="auto"/>
          <w:highlight w:val="none"/>
          <w:u w:val="single"/>
          <w:shd w:val="clear" w:color="auto" w:fill="auto"/>
        </w:rPr>
        <w:t xml:space="preserve">         </w:t>
      </w:r>
      <w:r>
        <w:rPr>
          <w:rFonts w:hint="eastAsia"/>
          <w:color w:val="auto"/>
          <w:highlight w:val="none"/>
          <w:shd w:val="clear" w:color="auto" w:fill="auto"/>
        </w:rPr>
        <w:t>职务，为法定代表人，特此证明。</w:t>
      </w:r>
    </w:p>
    <w:p>
      <w:pPr>
        <w:tabs>
          <w:tab w:val="clear" w:pos="426"/>
        </w:tabs>
        <w:spacing w:line="480" w:lineRule="auto"/>
        <w:ind w:firstLine="424" w:firstLineChars="202"/>
        <w:rPr>
          <w:color w:val="auto"/>
          <w:highlight w:val="none"/>
          <w:shd w:val="clear" w:color="auto" w:fill="auto"/>
        </w:rPr>
      </w:pPr>
      <w:r>
        <w:rPr>
          <w:rFonts w:hint="eastAsia"/>
          <w:color w:val="auto"/>
          <w:highlight w:val="none"/>
          <w:shd w:val="clear" w:color="auto" w:fill="auto"/>
        </w:rPr>
        <w:t>本证明书自签发之日起生效，有效期与本公司投标文件中标注的投标有效期相同。</w:t>
      </w:r>
    </w:p>
    <w:p>
      <w:pPr>
        <w:tabs>
          <w:tab w:val="clear" w:pos="426"/>
        </w:tabs>
        <w:spacing w:line="480" w:lineRule="auto"/>
        <w:ind w:firstLine="424" w:firstLineChars="202"/>
        <w:rPr>
          <w:color w:val="auto"/>
          <w:highlight w:val="none"/>
          <w:shd w:val="clear" w:color="auto" w:fill="auto"/>
        </w:rPr>
      </w:pPr>
      <w:r>
        <w:rPr>
          <w:rFonts w:hint="eastAsia"/>
          <w:color w:val="auto"/>
          <w:highlight w:val="none"/>
          <w:shd w:val="clear" w:color="auto" w:fill="auto"/>
        </w:rPr>
        <w:t>附：</w:t>
      </w:r>
    </w:p>
    <w:p>
      <w:pPr>
        <w:tabs>
          <w:tab w:val="clear" w:pos="426"/>
        </w:tabs>
        <w:spacing w:line="480" w:lineRule="auto"/>
        <w:ind w:firstLine="424" w:firstLineChars="202"/>
        <w:rPr>
          <w:color w:val="auto"/>
          <w:highlight w:val="none"/>
          <w:shd w:val="clear" w:color="auto" w:fill="auto"/>
        </w:rPr>
      </w:pPr>
      <w:r>
        <w:rPr>
          <w:rFonts w:hint="eastAsia"/>
          <w:color w:val="auto"/>
          <w:highlight w:val="none"/>
          <w:shd w:val="clear" w:color="auto" w:fill="auto"/>
        </w:rPr>
        <w:t>营业执照（注册号）：</w:t>
      </w:r>
      <w:r>
        <w:rPr>
          <w:rFonts w:hint="eastAsia"/>
          <w:color w:val="auto"/>
          <w:highlight w:val="none"/>
          <w:u w:val="single"/>
          <w:shd w:val="clear" w:color="auto" w:fill="auto"/>
        </w:rPr>
        <w:t xml:space="preserve">                                               </w:t>
      </w:r>
    </w:p>
    <w:p>
      <w:pPr>
        <w:tabs>
          <w:tab w:val="clear" w:pos="426"/>
        </w:tabs>
        <w:spacing w:line="480" w:lineRule="auto"/>
        <w:ind w:firstLine="424" w:firstLineChars="202"/>
        <w:rPr>
          <w:color w:val="auto"/>
          <w:highlight w:val="none"/>
          <w:u w:val="single"/>
          <w:shd w:val="clear" w:color="auto" w:fill="auto"/>
        </w:rPr>
      </w:pPr>
      <w:r>
        <w:rPr>
          <w:rFonts w:hint="eastAsia"/>
          <w:color w:val="auto"/>
          <w:highlight w:val="none"/>
          <w:shd w:val="clear" w:color="auto" w:fill="auto"/>
        </w:rPr>
        <w:t>经济性质：</w:t>
      </w:r>
      <w:r>
        <w:rPr>
          <w:rFonts w:hint="eastAsia"/>
          <w:color w:val="auto"/>
          <w:highlight w:val="none"/>
          <w:u w:val="single"/>
          <w:shd w:val="clear" w:color="auto" w:fill="auto"/>
        </w:rPr>
        <w:t xml:space="preserve">                                                         </w:t>
      </w:r>
    </w:p>
    <w:p>
      <w:pPr>
        <w:tabs>
          <w:tab w:val="clear" w:pos="426"/>
        </w:tabs>
        <w:spacing w:line="480" w:lineRule="auto"/>
        <w:ind w:firstLine="424" w:firstLineChars="202"/>
        <w:rPr>
          <w:color w:val="auto"/>
          <w:highlight w:val="none"/>
          <w:u w:val="single"/>
          <w:shd w:val="clear" w:color="auto" w:fill="auto"/>
        </w:rPr>
      </w:pPr>
      <w:r>
        <w:rPr>
          <w:rFonts w:hint="eastAsia"/>
          <w:color w:val="auto"/>
          <w:highlight w:val="none"/>
          <w:shd w:val="clear" w:color="auto" w:fill="auto"/>
        </w:rPr>
        <w:t>主营（产）：</w:t>
      </w:r>
      <w:r>
        <w:rPr>
          <w:rFonts w:hint="eastAsia"/>
          <w:color w:val="auto"/>
          <w:highlight w:val="none"/>
          <w:u w:val="single"/>
          <w:shd w:val="clear" w:color="auto" w:fill="auto"/>
        </w:rPr>
        <w:t xml:space="preserve">                                                       </w:t>
      </w:r>
    </w:p>
    <w:p>
      <w:pPr>
        <w:tabs>
          <w:tab w:val="clear" w:pos="426"/>
        </w:tabs>
        <w:spacing w:line="480" w:lineRule="auto"/>
        <w:ind w:firstLine="424" w:firstLineChars="202"/>
        <w:rPr>
          <w:color w:val="auto"/>
          <w:highlight w:val="none"/>
          <w:u w:val="single"/>
          <w:shd w:val="clear" w:color="auto" w:fill="auto"/>
        </w:rPr>
      </w:pPr>
      <w:r>
        <w:rPr>
          <w:rFonts w:hint="eastAsia"/>
          <w:color w:val="auto"/>
          <w:highlight w:val="none"/>
          <w:shd w:val="clear" w:color="auto" w:fill="auto"/>
        </w:rPr>
        <w:t>兼营（产）：</w:t>
      </w:r>
      <w:r>
        <w:rPr>
          <w:rFonts w:hint="eastAsia"/>
          <w:color w:val="auto"/>
          <w:highlight w:val="none"/>
          <w:u w:val="single"/>
          <w:shd w:val="clear" w:color="auto" w:fill="auto"/>
        </w:rPr>
        <w:t xml:space="preserve">                                                       </w:t>
      </w:r>
    </w:p>
    <w:p>
      <w:pPr>
        <w:tabs>
          <w:tab w:val="clear" w:pos="426"/>
        </w:tabs>
        <w:ind w:firstLine="424" w:firstLineChars="202"/>
        <w:rPr>
          <w:color w:val="auto"/>
          <w:highlight w:val="none"/>
          <w:shd w:val="clear" w:color="auto" w:fill="auto"/>
        </w:rPr>
      </w:pP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附：法定代表人身份证复印件：</w:t>
      </w:r>
    </w:p>
    <w:p>
      <w:pPr>
        <w:tabs>
          <w:tab w:val="clear" w:pos="426"/>
        </w:tabs>
        <w:ind w:firstLine="424" w:firstLineChars="202"/>
        <w:rPr>
          <w:color w:val="auto"/>
          <w:szCs w:val="21"/>
          <w:highlight w:val="none"/>
          <w:shd w:val="clear" w:color="auto" w:fill="auto"/>
        </w:rPr>
      </w:pPr>
    </w:p>
    <w:p>
      <w:pPr>
        <w:tabs>
          <w:tab w:val="clear" w:pos="426"/>
        </w:tabs>
        <w:ind w:firstLine="424" w:firstLineChars="202"/>
        <w:rPr>
          <w:color w:val="auto"/>
          <w:szCs w:val="21"/>
          <w:highlight w:val="none"/>
          <w:shd w:val="clear" w:color="auto" w:fill="auto"/>
        </w:rPr>
      </w:pPr>
    </w:p>
    <w:p>
      <w:pPr>
        <w:tabs>
          <w:tab w:val="clear" w:pos="426"/>
        </w:tabs>
        <w:ind w:firstLine="424" w:firstLineChars="202"/>
        <w:rPr>
          <w:color w:val="auto"/>
          <w:szCs w:val="21"/>
          <w:highlight w:val="none"/>
          <w:shd w:val="clear" w:color="auto" w:fill="auto"/>
        </w:rPr>
      </w:pPr>
    </w:p>
    <w:p>
      <w:pPr>
        <w:tabs>
          <w:tab w:val="clear" w:pos="426"/>
        </w:tabs>
        <w:spacing w:line="500" w:lineRule="exact"/>
        <w:ind w:left="3826" w:leftChars="1822"/>
        <w:rPr>
          <w:color w:val="auto"/>
          <w:highlight w:val="none"/>
          <w:u w:val="single"/>
          <w:shd w:val="clear" w:color="auto" w:fill="auto"/>
        </w:rPr>
      </w:pPr>
      <w:r>
        <w:rPr>
          <w:rFonts w:hint="eastAsia"/>
          <w:color w:val="auto"/>
          <w:highlight w:val="none"/>
          <w:shd w:val="clear" w:color="auto" w:fill="auto"/>
        </w:rPr>
        <w:t>投标人名称（单位盖</w:t>
      </w:r>
      <w:r>
        <w:rPr>
          <w:rFonts w:hint="eastAsia"/>
          <w:color w:val="auto"/>
          <w:spacing w:val="4"/>
          <w:highlight w:val="none"/>
          <w:shd w:val="clear" w:color="auto" w:fill="auto"/>
        </w:rPr>
        <w:t>公章</w:t>
      </w:r>
      <w:r>
        <w:rPr>
          <w:rFonts w:hint="eastAsia"/>
          <w:color w:val="auto"/>
          <w:highlight w:val="none"/>
          <w:shd w:val="clear" w:color="auto" w:fill="auto"/>
        </w:rPr>
        <w:t>）：</w:t>
      </w:r>
      <w:r>
        <w:rPr>
          <w:rFonts w:hint="eastAsia"/>
          <w:color w:val="auto"/>
          <w:highlight w:val="none"/>
          <w:u w:val="single"/>
          <w:shd w:val="clear" w:color="auto" w:fill="auto"/>
        </w:rPr>
        <w:t xml:space="preserve">                     </w:t>
      </w:r>
    </w:p>
    <w:p>
      <w:pPr>
        <w:tabs>
          <w:tab w:val="clear" w:pos="426"/>
        </w:tabs>
        <w:spacing w:line="500" w:lineRule="exact"/>
        <w:ind w:left="3826" w:leftChars="1822"/>
        <w:rPr>
          <w:color w:val="auto"/>
          <w:highlight w:val="none"/>
          <w:u w:val="single"/>
          <w:shd w:val="clear" w:color="auto" w:fill="auto"/>
        </w:rPr>
      </w:pPr>
      <w:r>
        <w:rPr>
          <w:rFonts w:hint="eastAsia"/>
          <w:color w:val="auto"/>
          <w:highlight w:val="none"/>
          <w:shd w:val="clear" w:color="auto" w:fill="auto"/>
        </w:rPr>
        <w:t>地址：</w:t>
      </w:r>
      <w:r>
        <w:rPr>
          <w:rFonts w:hint="eastAsia"/>
          <w:color w:val="auto"/>
          <w:highlight w:val="none"/>
          <w:u w:val="single"/>
          <w:shd w:val="clear" w:color="auto" w:fill="auto"/>
        </w:rPr>
        <w:t xml:space="preserve">                                           </w:t>
      </w:r>
    </w:p>
    <w:p>
      <w:pPr>
        <w:tabs>
          <w:tab w:val="clear" w:pos="426"/>
        </w:tabs>
        <w:spacing w:line="500" w:lineRule="exact"/>
        <w:ind w:left="3826" w:leftChars="1822"/>
        <w:rPr>
          <w:color w:val="auto"/>
          <w:highlight w:val="none"/>
          <w:u w:val="single"/>
          <w:shd w:val="clear" w:color="auto" w:fill="auto"/>
        </w:rPr>
      </w:pPr>
      <w:r>
        <w:rPr>
          <w:rFonts w:hint="eastAsia"/>
          <w:color w:val="auto"/>
          <w:highlight w:val="none"/>
          <w:shd w:val="clear" w:color="auto" w:fill="auto"/>
        </w:rPr>
        <w:t>签发日期：</w:t>
      </w:r>
      <w:r>
        <w:rPr>
          <w:rFonts w:hint="eastAsia"/>
          <w:color w:val="auto"/>
          <w:highlight w:val="none"/>
          <w:u w:val="single"/>
          <w:shd w:val="clear" w:color="auto" w:fill="auto"/>
        </w:rPr>
        <w:t xml:space="preserve">                                       </w:t>
      </w:r>
    </w:p>
    <w:p>
      <w:pPr>
        <w:tabs>
          <w:tab w:val="clear" w:pos="426"/>
        </w:tabs>
        <w:spacing w:line="500" w:lineRule="exact"/>
        <w:ind w:left="3826" w:leftChars="1822"/>
        <w:rPr>
          <w:b/>
          <w:bCs/>
          <w:color w:val="auto"/>
          <w:highlight w:val="none"/>
          <w:u w:val="singl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投标人基本情况表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64" w:name="_Toc275865616"/>
      <w:bookmarkStart w:id="65" w:name="_Toc173553182"/>
      <w:bookmarkStart w:id="66" w:name="_Toc480789478"/>
      <w:bookmarkStart w:id="67" w:name="_Toc480754207"/>
      <w:bookmarkStart w:id="68" w:name="_Toc480755928"/>
      <w:bookmarkStart w:id="69" w:name="_Toc480756074"/>
      <w:r>
        <w:rPr>
          <w:rFonts w:hint="eastAsia" w:cs="Times New Roman"/>
          <w:bCs/>
          <w:color w:val="auto"/>
          <w:kern w:val="2"/>
          <w:sz w:val="32"/>
          <w:szCs w:val="32"/>
          <w:highlight w:val="none"/>
          <w:shd w:val="clear" w:color="auto" w:fill="auto"/>
        </w:rPr>
        <w:t>投标人基本情况表</w:t>
      </w:r>
      <w:bookmarkEnd w:id="64"/>
      <w:bookmarkEnd w:id="65"/>
      <w:bookmarkEnd w:id="66"/>
      <w:bookmarkEnd w:id="67"/>
      <w:bookmarkEnd w:id="68"/>
      <w:bookmarkEnd w:id="69"/>
    </w:p>
    <w:p>
      <w:pPr>
        <w:widowControl w:val="0"/>
        <w:shd w:val="clear" w:color="auto" w:fill="auto"/>
        <w:tabs>
          <w:tab w:val="clear" w:pos="426"/>
        </w:tabs>
        <w:adjustRightInd/>
        <w:snapToGrid/>
        <w:rPr>
          <w:rFonts w:cs="Arial"/>
          <w:b/>
          <w:color w:val="auto"/>
          <w:szCs w:val="21"/>
          <w:highlight w:val="none"/>
          <w:shd w:val="clear" w:color="auto" w:fill="auto"/>
        </w:rPr>
      </w:pPr>
      <w:r>
        <w:rPr>
          <w:rFonts w:hint="eastAsia" w:cs="Arial"/>
          <w:b/>
          <w:color w:val="auto"/>
          <w:szCs w:val="21"/>
          <w:highlight w:val="none"/>
          <w:shd w:val="clear" w:color="auto" w:fill="auto"/>
        </w:rPr>
        <w:t>一、</w:t>
      </w:r>
      <w:r>
        <w:rPr>
          <w:rFonts w:cs="Arial"/>
          <w:b/>
          <w:color w:val="auto"/>
          <w:szCs w:val="21"/>
          <w:highlight w:val="none"/>
          <w:shd w:val="clear" w:color="auto" w:fill="auto"/>
        </w:rPr>
        <w:t>公司基本情况</w:t>
      </w:r>
    </w:p>
    <w:p>
      <w:pPr>
        <w:widowControl w:val="0"/>
        <w:numPr>
          <w:ilvl w:val="1"/>
          <w:numId w:val="29"/>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公司名称：</w:t>
      </w:r>
      <w:r>
        <w:rPr>
          <w:rFonts w:cs="Arial"/>
          <w:color w:val="auto"/>
          <w:szCs w:val="21"/>
          <w:highlight w:val="none"/>
          <w:u w:val="single"/>
          <w:shd w:val="clear" w:color="auto" w:fill="auto"/>
        </w:rPr>
        <w:t xml:space="preserve">                              </w:t>
      </w:r>
      <w:r>
        <w:rPr>
          <w:rFonts w:cs="Arial"/>
          <w:color w:val="auto"/>
          <w:szCs w:val="21"/>
          <w:highlight w:val="none"/>
          <w:shd w:val="clear" w:color="auto" w:fill="auto"/>
        </w:rPr>
        <w:t xml:space="preserve">  电话号码：</w:t>
      </w:r>
      <w:r>
        <w:rPr>
          <w:rFonts w:cs="Arial"/>
          <w:color w:val="auto"/>
          <w:szCs w:val="21"/>
          <w:highlight w:val="none"/>
          <w:u w:val="single"/>
          <w:shd w:val="clear" w:color="auto" w:fill="auto"/>
        </w:rPr>
        <w:t xml:space="preserve">                            </w:t>
      </w:r>
    </w:p>
    <w:p>
      <w:pPr>
        <w:widowControl w:val="0"/>
        <w:numPr>
          <w:ilvl w:val="1"/>
          <w:numId w:val="29"/>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地    址：</w:t>
      </w:r>
      <w:r>
        <w:rPr>
          <w:rFonts w:cs="Arial"/>
          <w:color w:val="auto"/>
          <w:szCs w:val="21"/>
          <w:highlight w:val="none"/>
          <w:u w:val="single"/>
          <w:shd w:val="clear" w:color="auto" w:fill="auto"/>
        </w:rPr>
        <w:t xml:space="preserve">                              </w:t>
      </w:r>
      <w:r>
        <w:rPr>
          <w:rFonts w:cs="Arial"/>
          <w:color w:val="auto"/>
          <w:szCs w:val="21"/>
          <w:highlight w:val="none"/>
          <w:shd w:val="clear" w:color="auto" w:fill="auto"/>
        </w:rPr>
        <w:t xml:space="preserve">  传    真：</w:t>
      </w:r>
      <w:r>
        <w:rPr>
          <w:rFonts w:cs="Arial"/>
          <w:color w:val="auto"/>
          <w:szCs w:val="21"/>
          <w:highlight w:val="none"/>
          <w:u w:val="single"/>
          <w:shd w:val="clear" w:color="auto" w:fill="auto"/>
        </w:rPr>
        <w:t xml:space="preserve">                             </w:t>
      </w:r>
    </w:p>
    <w:p>
      <w:pPr>
        <w:widowControl w:val="0"/>
        <w:numPr>
          <w:ilvl w:val="1"/>
          <w:numId w:val="29"/>
        </w:numPr>
        <w:shd w:val="clear" w:color="auto" w:fill="auto"/>
        <w:tabs>
          <w:tab w:val="clear" w:pos="426"/>
        </w:tabs>
        <w:adjustRightInd/>
        <w:snapToGrid/>
        <w:ind w:left="0" w:firstLine="426"/>
        <w:rPr>
          <w:rFonts w:cs="Arial"/>
          <w:color w:val="auto"/>
          <w:szCs w:val="21"/>
          <w:highlight w:val="none"/>
          <w:u w:val="single"/>
          <w:shd w:val="clear" w:color="auto" w:fill="auto"/>
        </w:rPr>
      </w:pPr>
      <w:r>
        <w:rPr>
          <w:rFonts w:cs="Arial"/>
          <w:color w:val="auto"/>
          <w:szCs w:val="21"/>
          <w:highlight w:val="none"/>
          <w:shd w:val="clear" w:color="auto" w:fill="auto"/>
        </w:rPr>
        <w:t>注册资金：</w:t>
      </w:r>
      <w:r>
        <w:rPr>
          <w:rFonts w:cs="Arial"/>
          <w:color w:val="auto"/>
          <w:szCs w:val="21"/>
          <w:highlight w:val="none"/>
          <w:u w:val="single"/>
          <w:shd w:val="clear" w:color="auto" w:fill="auto"/>
        </w:rPr>
        <w:t xml:space="preserve">                              </w:t>
      </w:r>
      <w:r>
        <w:rPr>
          <w:rFonts w:cs="Arial"/>
          <w:color w:val="auto"/>
          <w:szCs w:val="21"/>
          <w:highlight w:val="none"/>
          <w:shd w:val="clear" w:color="auto" w:fill="auto"/>
        </w:rPr>
        <w:t xml:space="preserve">  经济性质：</w:t>
      </w:r>
      <w:r>
        <w:rPr>
          <w:rFonts w:cs="Arial"/>
          <w:color w:val="auto"/>
          <w:szCs w:val="21"/>
          <w:highlight w:val="none"/>
          <w:u w:val="single"/>
          <w:shd w:val="clear" w:color="auto" w:fill="auto"/>
        </w:rPr>
        <w:t xml:space="preserve">      </w:t>
      </w:r>
      <w:r>
        <w:rPr>
          <w:rFonts w:hint="eastAsia" w:cs="Arial"/>
          <w:color w:val="auto"/>
          <w:szCs w:val="21"/>
          <w:highlight w:val="none"/>
          <w:u w:val="single"/>
          <w:shd w:val="clear" w:color="auto" w:fill="auto"/>
        </w:rPr>
        <w:t xml:space="preserve">                   </w:t>
      </w:r>
      <w:r>
        <w:rPr>
          <w:rFonts w:cs="Arial"/>
          <w:color w:val="auto"/>
          <w:szCs w:val="21"/>
          <w:highlight w:val="none"/>
          <w:u w:val="single"/>
          <w:shd w:val="clear" w:color="auto" w:fill="auto"/>
        </w:rPr>
        <w:t xml:space="preserve">    </w:t>
      </w:r>
    </w:p>
    <w:p>
      <w:pPr>
        <w:widowControl w:val="0"/>
        <w:numPr>
          <w:ilvl w:val="1"/>
          <w:numId w:val="29"/>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公司开户银行名称及账号：</w:t>
      </w:r>
      <w:r>
        <w:rPr>
          <w:rFonts w:hint="eastAsia" w:cs="Arial"/>
          <w:color w:val="auto"/>
          <w:szCs w:val="21"/>
          <w:highlight w:val="none"/>
          <w:u w:val="single"/>
          <w:shd w:val="clear" w:color="auto" w:fill="auto"/>
        </w:rPr>
        <w:t xml:space="preserve">                                                         </w:t>
      </w:r>
    </w:p>
    <w:p>
      <w:pPr>
        <w:widowControl w:val="0"/>
        <w:numPr>
          <w:ilvl w:val="1"/>
          <w:numId w:val="29"/>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营业注册执照号：</w:t>
      </w:r>
      <w:r>
        <w:rPr>
          <w:rFonts w:hint="eastAsia" w:cs="Arial"/>
          <w:color w:val="auto"/>
          <w:szCs w:val="21"/>
          <w:highlight w:val="none"/>
          <w:u w:val="single"/>
          <w:shd w:val="clear" w:color="auto" w:fill="auto"/>
        </w:rPr>
        <w:t xml:space="preserve">                                                                  </w:t>
      </w:r>
    </w:p>
    <w:p>
      <w:pPr>
        <w:widowControl w:val="0"/>
        <w:numPr>
          <w:ilvl w:val="1"/>
          <w:numId w:val="29"/>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公司简介</w:t>
      </w:r>
    </w:p>
    <w:p>
      <w:pPr>
        <w:tabs>
          <w:tab w:val="clear" w:pos="426"/>
        </w:tabs>
        <w:ind w:firstLine="426"/>
        <w:rPr>
          <w:color w:val="auto"/>
          <w:highlight w:val="none"/>
          <w:shd w:val="clear" w:color="auto" w:fill="auto"/>
        </w:rPr>
      </w:pPr>
      <w:r>
        <w:rPr>
          <w:rFonts w:hint="eastAsia"/>
          <w:color w:val="auto"/>
          <w:highlight w:val="none"/>
          <w:shd w:val="clear" w:color="auto" w:fill="auto"/>
        </w:rPr>
        <w:t>文字描述：</w:t>
      </w:r>
      <w:r>
        <w:rPr>
          <w:rFonts w:hint="eastAsia"/>
          <w:bCs/>
          <w:color w:val="auto"/>
          <w:szCs w:val="21"/>
          <w:highlight w:val="none"/>
          <w:shd w:val="clear" w:color="auto" w:fill="auto"/>
          <w:lang w:val="en-GB"/>
        </w:rPr>
        <w:t>发展历程、经营规模及服务理念</w:t>
      </w:r>
      <w:r>
        <w:rPr>
          <w:rFonts w:hint="eastAsia"/>
          <w:color w:val="auto"/>
          <w:highlight w:val="none"/>
          <w:shd w:val="clear" w:color="auto" w:fill="auto"/>
        </w:rPr>
        <w:t>、技术力量、财务状况、</w:t>
      </w:r>
      <w:r>
        <w:rPr>
          <w:color w:val="auto"/>
          <w:highlight w:val="none"/>
          <w:shd w:val="clear" w:color="auto" w:fill="auto"/>
        </w:rPr>
        <w:t>管理水平</w:t>
      </w:r>
      <w:r>
        <w:rPr>
          <w:rFonts w:hint="eastAsia"/>
          <w:color w:val="auto"/>
          <w:highlight w:val="none"/>
          <w:shd w:val="clear" w:color="auto" w:fill="auto"/>
        </w:rPr>
        <w:t>等方面进行阐述；</w:t>
      </w:r>
    </w:p>
    <w:p>
      <w:pPr>
        <w:tabs>
          <w:tab w:val="clear" w:pos="426"/>
        </w:tabs>
        <w:ind w:firstLine="426"/>
        <w:rPr>
          <w:rFonts w:cs="Arial"/>
          <w:color w:val="auto"/>
          <w:szCs w:val="21"/>
          <w:highlight w:val="none"/>
          <w:shd w:val="clear" w:color="auto" w:fill="auto"/>
        </w:rPr>
      </w:pPr>
      <w:r>
        <w:rPr>
          <w:rFonts w:hint="eastAsia"/>
          <w:color w:val="auto"/>
          <w:highlight w:val="none"/>
          <w:shd w:val="clear" w:color="auto" w:fill="auto"/>
        </w:rPr>
        <w:t>图片描述：</w:t>
      </w:r>
      <w:r>
        <w:rPr>
          <w:rFonts w:hint="eastAsia"/>
          <w:bCs/>
          <w:color w:val="auto"/>
          <w:szCs w:val="21"/>
          <w:highlight w:val="none"/>
          <w:shd w:val="clear" w:color="auto" w:fill="auto"/>
          <w:lang w:val="en-GB"/>
        </w:rPr>
        <w:t>经营场所、主要或关键产品介绍、生产场所及服务流程等。</w:t>
      </w:r>
    </w:p>
    <w:p>
      <w:pPr>
        <w:widowControl w:val="0"/>
        <w:shd w:val="clear" w:color="auto" w:fill="auto"/>
        <w:tabs>
          <w:tab w:val="clear" w:pos="426"/>
        </w:tabs>
        <w:adjustRightInd/>
        <w:snapToGrid/>
        <w:rPr>
          <w:rFonts w:cs="Arial"/>
          <w:b/>
          <w:color w:val="auto"/>
          <w:szCs w:val="21"/>
          <w:highlight w:val="none"/>
          <w:shd w:val="clear" w:color="auto" w:fill="auto"/>
        </w:rPr>
      </w:pPr>
      <w:r>
        <w:rPr>
          <w:rFonts w:hint="eastAsia" w:cs="Arial"/>
          <w:b/>
          <w:color w:val="auto"/>
          <w:szCs w:val="21"/>
          <w:highlight w:val="none"/>
          <w:shd w:val="clear" w:color="auto" w:fill="auto"/>
        </w:rPr>
        <w:t>二、供应商资格证明文件</w:t>
      </w:r>
    </w:p>
    <w:p>
      <w:pPr>
        <w:tabs>
          <w:tab w:val="clear" w:pos="426"/>
        </w:tabs>
        <w:spacing w:before="120" w:beforeLines="50"/>
        <w:ind w:firstLine="424" w:firstLineChars="201"/>
        <w:rPr>
          <w:b/>
          <w:color w:val="auto"/>
          <w:highlight w:val="none"/>
          <w:shd w:val="clear" w:color="auto" w:fill="auto"/>
        </w:rPr>
      </w:pPr>
      <w:r>
        <w:rPr>
          <w:rFonts w:hint="eastAsia"/>
          <w:b/>
          <w:color w:val="auto"/>
          <w:highlight w:val="none"/>
          <w:shd w:val="clear" w:color="auto" w:fill="auto"/>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color w:val="auto"/>
          <w:szCs w:val="21"/>
          <w:highlight w:val="none"/>
          <w:shd w:val="clear" w:color="auto" w:fill="auto"/>
        </w:rPr>
      </w:pPr>
      <w:r>
        <w:rPr>
          <w:rFonts w:hint="eastAsia" w:cs="Arial"/>
          <w:b/>
          <w:color w:val="auto"/>
          <w:szCs w:val="21"/>
          <w:highlight w:val="none"/>
          <w:shd w:val="clear" w:color="auto" w:fill="auto"/>
        </w:rPr>
        <w:t>三、</w:t>
      </w:r>
      <w:r>
        <w:rPr>
          <w:rFonts w:cs="Arial"/>
          <w:b/>
          <w:color w:val="auto"/>
          <w:szCs w:val="21"/>
          <w:highlight w:val="none"/>
          <w:shd w:val="clear" w:color="auto" w:fill="auto"/>
        </w:rPr>
        <w:t>如联合体投标，投标人还必须提供《联合体投标协议》（格式自定）。</w:t>
      </w:r>
    </w:p>
    <w:p>
      <w:pPr>
        <w:tabs>
          <w:tab w:val="clear" w:pos="426"/>
        </w:tabs>
        <w:spacing w:line="500" w:lineRule="exact"/>
        <w:ind w:left="424" w:leftChars="202"/>
        <w:rPr>
          <w:color w:val="auto"/>
          <w:spacing w:val="4"/>
          <w:highlight w:val="none"/>
          <w:shd w:val="clear" w:color="auto" w:fill="auto"/>
        </w:rPr>
      </w:pPr>
    </w:p>
    <w:p>
      <w:pPr>
        <w:tabs>
          <w:tab w:val="clear" w:pos="426"/>
        </w:tabs>
        <w:spacing w:line="500" w:lineRule="exact"/>
        <w:ind w:left="424" w:leftChars="202"/>
        <w:rPr>
          <w:color w:val="auto"/>
          <w:spacing w:val="4"/>
          <w:highlight w:val="none"/>
          <w:shd w:val="clear" w:color="auto" w:fill="auto"/>
        </w:rPr>
      </w:pPr>
    </w:p>
    <w:p>
      <w:pPr>
        <w:tabs>
          <w:tab w:val="clear" w:pos="426"/>
        </w:tabs>
        <w:spacing w:line="500" w:lineRule="exact"/>
        <w:ind w:left="424" w:leftChars="202"/>
        <w:rPr>
          <w:color w:val="auto"/>
          <w:spacing w:val="4"/>
          <w:highlight w:val="none"/>
          <w:shd w:val="clear" w:color="auto" w:fill="auto"/>
        </w:rPr>
      </w:pPr>
    </w:p>
    <w:p>
      <w:pPr>
        <w:tabs>
          <w:tab w:val="clear" w:pos="426"/>
        </w:tabs>
        <w:spacing w:line="500" w:lineRule="exact"/>
        <w:ind w:left="424" w:leftChars="202"/>
        <w:rPr>
          <w:color w:val="auto"/>
          <w:highlight w:val="none"/>
          <w:u w:val="single"/>
          <w:shd w:val="clear" w:color="auto" w:fill="auto"/>
        </w:rPr>
      </w:pPr>
      <w:r>
        <w:rPr>
          <w:rFonts w:hint="eastAsia"/>
          <w:color w:val="auto"/>
          <w:spacing w:val="4"/>
          <w:highlight w:val="none"/>
          <w:shd w:val="clear" w:color="auto" w:fill="auto"/>
        </w:rPr>
        <w:t>投标人名称（</w:t>
      </w:r>
      <w:r>
        <w:rPr>
          <w:rFonts w:hint="eastAsia"/>
          <w:color w:val="auto"/>
          <w:highlight w:val="none"/>
          <w:shd w:val="clear" w:color="auto" w:fill="auto"/>
        </w:rPr>
        <w:t>单位盖</w:t>
      </w:r>
      <w:r>
        <w:rPr>
          <w:rFonts w:hint="eastAsia"/>
          <w:color w:val="auto"/>
          <w:spacing w:val="4"/>
          <w:highlight w:val="none"/>
          <w:shd w:val="clear" w:color="auto" w:fill="auto"/>
        </w:rPr>
        <w:t>公章）：</w:t>
      </w:r>
      <w:r>
        <w:rPr>
          <w:rFonts w:hint="eastAsia"/>
          <w:color w:val="auto"/>
          <w:spacing w:val="4"/>
          <w:highlight w:val="none"/>
          <w:u w:val="single"/>
          <w:shd w:val="clear" w:color="auto" w:fill="auto"/>
        </w:rPr>
        <w:t xml:space="preserve">                              </w:t>
      </w:r>
    </w:p>
    <w:p>
      <w:pPr>
        <w:tabs>
          <w:tab w:val="clear" w:pos="426"/>
        </w:tabs>
        <w:spacing w:line="520" w:lineRule="exact"/>
        <w:ind w:left="424" w:leftChars="202"/>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520" w:lineRule="exact"/>
        <w:ind w:left="424" w:leftChars="202"/>
        <w:rPr>
          <w:color w:val="auto"/>
          <w:spacing w:val="4"/>
          <w:highlight w:val="none"/>
          <w:shd w:val="clear" w:color="auto" w:fill="auto"/>
        </w:rPr>
      </w:pP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520" w:lineRule="exact"/>
        <w:ind w:left="424" w:leftChars="202"/>
        <w:rPr>
          <w:rFonts w:ascii="黑体" w:eastAsia="黑体"/>
          <w:b/>
          <w:bCs/>
          <w:color w:val="auto"/>
          <w:sz w:val="28"/>
          <w:highlight w:val="none"/>
          <w:shd w:val="clear" w:color="auto" w:fill="auto"/>
        </w:rPr>
      </w:pPr>
      <w:r>
        <w:rPr>
          <w:rFonts w:hint="eastAsia"/>
          <w:color w:val="auto"/>
          <w:spacing w:val="4"/>
          <w:highlight w:val="none"/>
          <w:shd w:val="clear" w:color="auto" w:fill="auto"/>
        </w:rPr>
        <w:t>日期</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520" w:lineRule="exact"/>
        <w:ind w:left="424" w:leftChars="202"/>
        <w:rPr>
          <w:rFonts w:ascii="黑体" w:eastAsia="黑体"/>
          <w:b/>
          <w:bCs/>
          <w:color w:val="auto"/>
          <w:sz w:val="28"/>
          <w:highlight w:val="none"/>
          <w:shd w:val="clear" w:color="auto" w:fill="auto"/>
        </w:rPr>
      </w:pPr>
    </w:p>
    <w:p>
      <w:pPr>
        <w:tabs>
          <w:tab w:val="clear" w:pos="426"/>
        </w:tabs>
        <w:spacing w:line="520" w:lineRule="exact"/>
        <w:ind w:left="424" w:leftChars="202"/>
        <w:rPr>
          <w:rFonts w:ascii="黑体" w:eastAsia="黑体"/>
          <w:b/>
          <w:bCs/>
          <w:color w:val="auto"/>
          <w:sz w:val="28"/>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开标一览表(报价表)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70" w:name="_Toc480754208"/>
      <w:bookmarkStart w:id="71" w:name="_Toc480755929"/>
      <w:bookmarkStart w:id="72" w:name="_Toc480789479"/>
      <w:bookmarkStart w:id="73" w:name="_Toc480756075"/>
      <w:r>
        <w:rPr>
          <w:rFonts w:hint="eastAsia" w:cs="Times New Roman"/>
          <w:bCs/>
          <w:color w:val="auto"/>
          <w:kern w:val="2"/>
          <w:sz w:val="32"/>
          <w:szCs w:val="32"/>
          <w:highlight w:val="none"/>
          <w:shd w:val="clear" w:color="auto" w:fill="auto"/>
        </w:rPr>
        <w:t>开标一览表(报价表)</w:t>
      </w:r>
      <w:bookmarkEnd w:id="70"/>
      <w:bookmarkEnd w:id="71"/>
      <w:bookmarkEnd w:id="72"/>
      <w:bookmarkEnd w:id="73"/>
    </w:p>
    <w:p>
      <w:pPr>
        <w:tabs>
          <w:tab w:val="clear" w:pos="426"/>
        </w:tabs>
        <w:jc w:val="left"/>
        <w:rPr>
          <w:color w:val="auto"/>
          <w:highlight w:val="none"/>
          <w:shd w:val="clear" w:color="auto" w:fill="auto"/>
        </w:rPr>
      </w:pPr>
    </w:p>
    <w:p>
      <w:pPr>
        <w:tabs>
          <w:tab w:val="clear" w:pos="426"/>
        </w:tabs>
        <w:jc w:val="left"/>
        <w:rPr>
          <w:color w:val="auto"/>
          <w:sz w:val="24"/>
          <w:highlight w:val="none"/>
          <w:u w:val="single"/>
          <w:shd w:val="clear" w:color="auto" w:fill="auto"/>
        </w:rPr>
      </w:pPr>
      <w:r>
        <w:rPr>
          <w:rFonts w:hint="eastAsia"/>
          <w:color w:val="auto"/>
          <w:highlight w:val="none"/>
          <w:shd w:val="clear" w:color="auto" w:fill="auto"/>
        </w:rPr>
        <w:t>项目名称：</w:t>
      </w:r>
      <w:r>
        <w:rPr>
          <w:rFonts w:hint="eastAsia"/>
          <w:color w:val="auto"/>
          <w:highlight w:val="none"/>
          <w:u w:val="single"/>
          <w:shd w:val="clear" w:color="auto" w:fill="auto"/>
        </w:rPr>
        <w:t xml:space="preserve">                                          </w:t>
      </w:r>
      <w:r>
        <w:rPr>
          <w:rFonts w:hint="eastAsia"/>
          <w:color w:val="auto"/>
          <w:highlight w:val="none"/>
          <w:shd w:val="clear" w:color="auto" w:fill="auto"/>
        </w:rPr>
        <w:t>项目编号：</w:t>
      </w:r>
      <w:r>
        <w:rPr>
          <w:rFonts w:hint="eastAsia"/>
          <w:color w:val="auto"/>
          <w:highlight w:val="none"/>
          <w:u w:val="single"/>
          <w:shd w:val="clear" w:color="auto" w:fill="auto"/>
        </w:rPr>
        <w:t xml:space="preserve">                         </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序号</w:t>
            </w:r>
          </w:p>
        </w:tc>
        <w:tc>
          <w:tcPr>
            <w:tcW w:w="175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项目名称</w:t>
            </w:r>
          </w:p>
        </w:tc>
        <w:tc>
          <w:tcPr>
            <w:tcW w:w="117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设备名称</w:t>
            </w:r>
          </w:p>
        </w:tc>
        <w:tc>
          <w:tcPr>
            <w:tcW w:w="91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型号</w:t>
            </w:r>
          </w:p>
        </w:tc>
        <w:tc>
          <w:tcPr>
            <w:tcW w:w="104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数量</w:t>
            </w:r>
          </w:p>
        </w:tc>
        <w:tc>
          <w:tcPr>
            <w:tcW w:w="1742"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投标总价</w:t>
            </w:r>
          </w:p>
        </w:tc>
        <w:tc>
          <w:tcPr>
            <w:tcW w:w="1179"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交货期</w:t>
            </w:r>
          </w:p>
        </w:tc>
        <w:tc>
          <w:tcPr>
            <w:tcW w:w="91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color w:val="auto"/>
                <w:szCs w:val="21"/>
                <w:highlight w:val="none"/>
                <w:shd w:val="clear" w:color="auto" w:fill="auto"/>
              </w:rPr>
            </w:pPr>
          </w:p>
        </w:tc>
        <w:tc>
          <w:tcPr>
            <w:tcW w:w="1757" w:type="dxa"/>
            <w:shd w:val="clear" w:color="auto" w:fill="auto"/>
            <w:vAlign w:val="center"/>
          </w:tcPr>
          <w:p>
            <w:pPr>
              <w:tabs>
                <w:tab w:val="clear" w:pos="426"/>
              </w:tabs>
              <w:jc w:val="center"/>
              <w:rPr>
                <w:color w:val="auto"/>
                <w:szCs w:val="21"/>
                <w:highlight w:val="none"/>
                <w:shd w:val="clear" w:color="auto" w:fill="auto"/>
              </w:rPr>
            </w:pPr>
          </w:p>
        </w:tc>
        <w:tc>
          <w:tcPr>
            <w:tcW w:w="1177" w:type="dxa"/>
            <w:shd w:val="clear" w:color="auto" w:fill="auto"/>
            <w:vAlign w:val="center"/>
          </w:tcPr>
          <w:p>
            <w:pPr>
              <w:tabs>
                <w:tab w:val="clear" w:pos="426"/>
              </w:tabs>
              <w:jc w:val="center"/>
              <w:rPr>
                <w:bCs/>
                <w:color w:val="auto"/>
                <w:szCs w:val="21"/>
                <w:highlight w:val="none"/>
                <w:u w:val="single"/>
                <w:shd w:val="clear" w:color="auto" w:fill="auto"/>
              </w:rPr>
            </w:pPr>
          </w:p>
        </w:tc>
        <w:tc>
          <w:tcPr>
            <w:tcW w:w="917" w:type="dxa"/>
            <w:shd w:val="clear" w:color="auto" w:fill="auto"/>
            <w:vAlign w:val="center"/>
          </w:tcPr>
          <w:p>
            <w:pPr>
              <w:tabs>
                <w:tab w:val="clear" w:pos="426"/>
              </w:tabs>
              <w:jc w:val="center"/>
              <w:rPr>
                <w:b/>
                <w:color w:val="auto"/>
                <w:szCs w:val="21"/>
                <w:highlight w:val="none"/>
                <w:shd w:val="clear" w:color="auto" w:fill="auto"/>
              </w:rPr>
            </w:pPr>
          </w:p>
        </w:tc>
        <w:tc>
          <w:tcPr>
            <w:tcW w:w="1047" w:type="dxa"/>
            <w:shd w:val="clear" w:color="auto" w:fill="auto"/>
            <w:vAlign w:val="center"/>
          </w:tcPr>
          <w:p>
            <w:pPr>
              <w:tabs>
                <w:tab w:val="clear" w:pos="426"/>
              </w:tabs>
              <w:jc w:val="center"/>
              <w:rPr>
                <w:b/>
                <w:color w:val="auto"/>
                <w:szCs w:val="21"/>
                <w:highlight w:val="none"/>
                <w:shd w:val="clear" w:color="auto" w:fill="auto"/>
              </w:rPr>
            </w:pPr>
          </w:p>
        </w:tc>
        <w:tc>
          <w:tcPr>
            <w:tcW w:w="1742" w:type="dxa"/>
            <w:shd w:val="clear" w:color="auto" w:fill="auto"/>
            <w:vAlign w:val="center"/>
          </w:tcPr>
          <w:p>
            <w:pPr>
              <w:tabs>
                <w:tab w:val="clear" w:pos="426"/>
              </w:tabs>
              <w:jc w:val="center"/>
              <w:rPr>
                <w:b/>
                <w:color w:val="auto"/>
                <w:szCs w:val="21"/>
                <w:highlight w:val="none"/>
                <w:shd w:val="clear" w:color="auto" w:fill="auto"/>
              </w:rPr>
            </w:pPr>
          </w:p>
        </w:tc>
        <w:tc>
          <w:tcPr>
            <w:tcW w:w="1179" w:type="dxa"/>
            <w:shd w:val="clear" w:color="auto" w:fill="auto"/>
            <w:vAlign w:val="center"/>
          </w:tcPr>
          <w:p>
            <w:pPr>
              <w:tabs>
                <w:tab w:val="clear" w:pos="426"/>
              </w:tabs>
              <w:jc w:val="center"/>
              <w:rPr>
                <w:b/>
                <w:color w:val="auto"/>
                <w:szCs w:val="21"/>
                <w:highlight w:val="none"/>
                <w:shd w:val="clear" w:color="auto" w:fill="auto"/>
              </w:rPr>
            </w:pPr>
          </w:p>
        </w:tc>
        <w:tc>
          <w:tcPr>
            <w:tcW w:w="917" w:type="dxa"/>
            <w:shd w:val="clear" w:color="auto" w:fill="auto"/>
            <w:vAlign w:val="center"/>
          </w:tcPr>
          <w:p>
            <w:pPr>
              <w:tabs>
                <w:tab w:val="clear" w:pos="426"/>
              </w:tabs>
              <w:jc w:val="center"/>
              <w:rPr>
                <w:b/>
                <w:color w:val="auto"/>
                <w:szCs w:val="21"/>
                <w:highlight w:val="none"/>
                <w:shd w:val="clear" w:color="auto" w:fill="auto"/>
              </w:rPr>
            </w:pPr>
          </w:p>
        </w:tc>
      </w:tr>
    </w:tbl>
    <w:p>
      <w:pPr>
        <w:tabs>
          <w:tab w:val="clear" w:pos="426"/>
        </w:tabs>
        <w:spacing w:line="500" w:lineRule="exact"/>
        <w:rPr>
          <w:color w:val="auto"/>
          <w:spacing w:val="4"/>
          <w:highlight w:val="none"/>
          <w:shd w:val="clear" w:color="auto" w:fill="auto"/>
        </w:rPr>
      </w:pPr>
    </w:p>
    <w:p>
      <w:pPr>
        <w:tabs>
          <w:tab w:val="clear" w:pos="426"/>
        </w:tabs>
        <w:spacing w:line="500" w:lineRule="exact"/>
        <w:rPr>
          <w:color w:val="auto"/>
          <w:highlight w:val="none"/>
          <w:u w:val="single"/>
          <w:shd w:val="clear" w:color="auto" w:fill="auto"/>
        </w:rPr>
      </w:pPr>
      <w:r>
        <w:rPr>
          <w:rFonts w:hint="eastAsia"/>
          <w:color w:val="auto"/>
          <w:spacing w:val="4"/>
          <w:highlight w:val="none"/>
          <w:shd w:val="clear" w:color="auto" w:fill="auto"/>
        </w:rPr>
        <w:t>投标人名称（</w:t>
      </w:r>
      <w:r>
        <w:rPr>
          <w:rFonts w:hint="eastAsia"/>
          <w:color w:val="auto"/>
          <w:highlight w:val="none"/>
          <w:shd w:val="clear" w:color="auto" w:fill="auto"/>
        </w:rPr>
        <w:t>单位盖</w:t>
      </w:r>
      <w:r>
        <w:rPr>
          <w:rFonts w:hint="eastAsia"/>
          <w:color w:val="auto"/>
          <w:spacing w:val="4"/>
          <w:highlight w:val="none"/>
          <w:shd w:val="clear" w:color="auto" w:fill="auto"/>
        </w:rPr>
        <w:t>公章）：</w:t>
      </w:r>
      <w:r>
        <w:rPr>
          <w:rFonts w:hint="eastAsia"/>
          <w:color w:val="auto"/>
          <w:spacing w:val="4"/>
          <w:highlight w:val="none"/>
          <w:u w:val="single"/>
          <w:shd w:val="clear" w:color="auto" w:fill="auto"/>
        </w:rPr>
        <w:t xml:space="preserve">                                                          </w:t>
      </w:r>
    </w:p>
    <w:p>
      <w:pPr>
        <w:tabs>
          <w:tab w:val="clear" w:pos="426"/>
        </w:tabs>
        <w:spacing w:line="520" w:lineRule="exact"/>
        <w:rPr>
          <w:color w:val="auto"/>
          <w:highlight w:val="none"/>
          <w:shd w:val="clear" w:color="auto" w:fill="auto"/>
        </w:rPr>
      </w:pPr>
    </w:p>
    <w:p>
      <w:pPr>
        <w:tabs>
          <w:tab w:val="clear" w:pos="426"/>
        </w:tabs>
        <w:spacing w:line="520" w:lineRule="exact"/>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日期</w:t>
      </w:r>
      <w:r>
        <w:rPr>
          <w:color w:val="auto"/>
          <w:spacing w:val="4"/>
          <w:highlight w:val="none"/>
          <w:u w:val="single"/>
          <w:shd w:val="clear" w:color="auto" w:fill="auto"/>
        </w:rPr>
        <w:t xml:space="preserve">         </w:t>
      </w:r>
    </w:p>
    <w:p>
      <w:pPr>
        <w:tabs>
          <w:tab w:val="clear" w:pos="426"/>
        </w:tabs>
        <w:spacing w:line="400" w:lineRule="exact"/>
        <w:rPr>
          <w:b/>
          <w:bCs/>
          <w:color w:val="auto"/>
          <w:szCs w:val="21"/>
          <w:highlight w:val="none"/>
          <w:shd w:val="clear" w:color="auto" w:fill="auto"/>
        </w:rPr>
      </w:pPr>
      <w:r>
        <w:rPr>
          <w:rFonts w:hint="eastAsia"/>
          <w:b/>
          <w:bCs/>
          <w:color w:val="auto"/>
          <w:szCs w:val="21"/>
          <w:highlight w:val="none"/>
          <w:shd w:val="clear" w:color="auto" w:fill="auto"/>
        </w:rPr>
        <w:t>备注：</w:t>
      </w:r>
    </w:p>
    <w:p>
      <w:pPr>
        <w:widowControl w:val="0"/>
        <w:numPr>
          <w:ilvl w:val="1"/>
          <w:numId w:val="30"/>
        </w:numPr>
        <w:shd w:val="clear" w:color="auto" w:fill="auto"/>
        <w:tabs>
          <w:tab w:val="clear" w:pos="426"/>
        </w:tabs>
        <w:adjustRightInd/>
        <w:ind w:left="0" w:firstLine="424" w:firstLineChars="201"/>
        <w:rPr>
          <w:b/>
          <w:bCs/>
          <w:color w:val="auto"/>
          <w:szCs w:val="21"/>
          <w:highlight w:val="none"/>
          <w:shd w:val="clear" w:color="auto" w:fill="auto"/>
        </w:rPr>
      </w:pPr>
      <w:r>
        <w:rPr>
          <w:b/>
          <w:color w:val="auto"/>
          <w:highlight w:val="none"/>
          <w:shd w:val="clear" w:color="auto" w:fill="auto"/>
        </w:rPr>
        <w:t>此表</w:t>
      </w:r>
      <w:r>
        <w:rPr>
          <w:rFonts w:hint="eastAsia"/>
          <w:b/>
          <w:color w:val="auto"/>
          <w:highlight w:val="none"/>
          <w:shd w:val="clear" w:color="auto" w:fill="auto"/>
        </w:rPr>
        <w:t>为投标文件的组成部分，</w:t>
      </w:r>
      <w:r>
        <w:rPr>
          <w:b/>
          <w:color w:val="auto"/>
          <w:highlight w:val="none"/>
          <w:shd w:val="clear" w:color="auto" w:fill="auto"/>
        </w:rPr>
        <w:t>须附在正、副本的投标文件中，并另封装一份于开标信封中</w:t>
      </w:r>
      <w:r>
        <w:rPr>
          <w:rFonts w:hint="eastAsia"/>
          <w:b/>
          <w:color w:val="auto"/>
          <w:highlight w:val="none"/>
          <w:shd w:val="clear" w:color="auto" w:fill="auto"/>
        </w:rPr>
        <w:t>（信封中须同时提供法定代表人证明书、法定代表人授权委托书、被授权人身份证复印件）。</w:t>
      </w:r>
    </w:p>
    <w:p>
      <w:pPr>
        <w:widowControl w:val="0"/>
        <w:numPr>
          <w:ilvl w:val="1"/>
          <w:numId w:val="30"/>
        </w:numPr>
        <w:shd w:val="clear" w:color="auto" w:fill="auto"/>
        <w:tabs>
          <w:tab w:val="clear" w:pos="426"/>
        </w:tabs>
        <w:adjustRightInd/>
        <w:ind w:left="0" w:firstLine="424" w:firstLineChars="201"/>
        <w:rPr>
          <w:b/>
          <w:bCs/>
          <w:color w:val="auto"/>
          <w:szCs w:val="21"/>
          <w:highlight w:val="none"/>
          <w:shd w:val="clear" w:color="auto" w:fill="auto"/>
        </w:rPr>
      </w:pPr>
      <w:r>
        <w:rPr>
          <w:rFonts w:hint="eastAsia"/>
          <w:b/>
          <w:color w:val="auto"/>
          <w:highlight w:val="none"/>
          <w:shd w:val="clear" w:color="auto" w:fill="auto"/>
        </w:rPr>
        <w:t>此表内投标报价为最终价，开标信封及投标文件内不得含有任何对本报价进行修改的其他说明或资料，否则为无效投标</w:t>
      </w:r>
      <w:r>
        <w:rPr>
          <w:rFonts w:hint="eastAsia"/>
          <w:b/>
          <w:bCs/>
          <w:color w:val="auto"/>
          <w:szCs w:val="21"/>
          <w:highlight w:val="none"/>
          <w:shd w:val="clear" w:color="auto" w:fill="auto"/>
        </w:rPr>
        <w:t>。</w:t>
      </w:r>
    </w:p>
    <w:p>
      <w:pPr>
        <w:widowControl w:val="0"/>
        <w:shd w:val="clear" w:color="auto" w:fill="auto"/>
        <w:tabs>
          <w:tab w:val="clear" w:pos="426"/>
        </w:tabs>
        <w:adjustRightInd/>
        <w:rPr>
          <w:b/>
          <w:bCs/>
          <w:color w:val="auto"/>
          <w:szCs w:val="21"/>
          <w:highlight w:val="none"/>
          <w:shd w:val="clear" w:color="auto" w:fill="auto"/>
        </w:rPr>
      </w:pPr>
    </w:p>
    <w:p>
      <w:pPr>
        <w:widowControl w:val="0"/>
        <w:shd w:val="clear" w:color="auto" w:fill="auto"/>
        <w:tabs>
          <w:tab w:val="clear" w:pos="426"/>
        </w:tabs>
        <w:adjustRightInd/>
        <w:rPr>
          <w:b/>
          <w:bCs/>
          <w:color w:val="auto"/>
          <w:szCs w:val="21"/>
          <w:highlight w:val="none"/>
          <w:shd w:val="clear" w:color="auto" w:fill="auto"/>
        </w:rPr>
      </w:pPr>
    </w:p>
    <w:p>
      <w:pPr>
        <w:widowControl w:val="0"/>
        <w:shd w:val="clear" w:color="auto" w:fill="auto"/>
        <w:tabs>
          <w:tab w:val="clear" w:pos="426"/>
        </w:tabs>
        <w:adjustRightInd/>
        <w:rPr>
          <w:b/>
          <w:bCs/>
          <w:color w:val="auto"/>
          <w:szCs w:val="21"/>
          <w:highlight w:val="none"/>
          <w:shd w:val="clear" w:color="auto" w:fill="auto"/>
        </w:rPr>
      </w:pPr>
    </w:p>
    <w:p>
      <w:pPr>
        <w:widowControl w:val="0"/>
        <w:shd w:val="clear" w:color="auto" w:fill="auto"/>
        <w:tabs>
          <w:tab w:val="clear" w:pos="426"/>
        </w:tabs>
        <w:adjustRightInd/>
        <w:rPr>
          <w:b/>
          <w:bCs/>
          <w:color w:val="auto"/>
          <w:szCs w:val="21"/>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b/>
          <w:color w:val="auto"/>
          <w:highlight w:val="none"/>
          <w:shd w:val="clear" w:color="auto" w:fill="auto"/>
        </w:rPr>
        <w:br w:type="page"/>
      </w:r>
      <w:r>
        <w:rPr>
          <w:rFonts w:hint="eastAsia"/>
          <w:b/>
          <w:color w:val="auto"/>
          <w:highlight w:val="none"/>
          <w:shd w:val="clear" w:color="auto" w:fill="auto"/>
          <w:lang w:eastAsia="zh-CN"/>
        </w:rPr>
        <w:t>货物清单明细表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74" w:name="_Toc480789483"/>
      <w:bookmarkStart w:id="75" w:name="_Toc480756079"/>
      <w:bookmarkStart w:id="76" w:name="_Toc480754212"/>
      <w:bookmarkStart w:id="77" w:name="_Toc480755933"/>
      <w:r>
        <w:rPr>
          <w:rFonts w:hint="eastAsia" w:cs="Times New Roman"/>
          <w:bCs/>
          <w:color w:val="auto"/>
          <w:kern w:val="2"/>
          <w:sz w:val="32"/>
          <w:szCs w:val="32"/>
          <w:highlight w:val="none"/>
          <w:shd w:val="clear" w:color="auto" w:fill="auto"/>
        </w:rPr>
        <w:t>货物清单</w:t>
      </w:r>
      <w:r>
        <w:rPr>
          <w:rFonts w:hint="eastAsia" w:cs="Times New Roman"/>
          <w:bCs/>
          <w:color w:val="auto"/>
          <w:kern w:val="2"/>
          <w:sz w:val="32"/>
          <w:szCs w:val="32"/>
          <w:highlight w:val="none"/>
          <w:shd w:val="clear" w:color="auto" w:fill="auto"/>
          <w:lang w:eastAsia="zh-CN"/>
        </w:rPr>
        <w:t>明细</w:t>
      </w:r>
      <w:r>
        <w:rPr>
          <w:rFonts w:hint="eastAsia" w:cs="Times New Roman"/>
          <w:bCs/>
          <w:color w:val="auto"/>
          <w:kern w:val="2"/>
          <w:sz w:val="32"/>
          <w:szCs w:val="32"/>
          <w:highlight w:val="none"/>
          <w:shd w:val="clear" w:color="auto" w:fill="auto"/>
        </w:rPr>
        <w:t>表</w:t>
      </w:r>
      <w:bookmarkEnd w:id="74"/>
      <w:bookmarkEnd w:id="75"/>
      <w:bookmarkEnd w:id="76"/>
      <w:bookmarkEnd w:id="77"/>
    </w:p>
    <w:p>
      <w:pPr>
        <w:tabs>
          <w:tab w:val="clear" w:pos="426"/>
        </w:tabs>
        <w:rPr>
          <w:rFonts w:cs="Arial"/>
          <w:bCs/>
          <w:color w:val="auto"/>
          <w:szCs w:val="21"/>
          <w:highlight w:val="none"/>
          <w:shd w:val="clear" w:color="auto" w:fill="auto"/>
        </w:rPr>
      </w:pPr>
    </w:p>
    <w:p>
      <w:pPr>
        <w:tabs>
          <w:tab w:val="clear" w:pos="426"/>
        </w:tabs>
        <w:rPr>
          <w:rFonts w:cs="Arial"/>
          <w:bCs/>
          <w:color w:val="auto"/>
          <w:szCs w:val="21"/>
          <w:highlight w:val="none"/>
          <w:shd w:val="clear" w:color="auto" w:fill="auto"/>
        </w:rPr>
      </w:pPr>
      <w:r>
        <w:rPr>
          <w:rFonts w:hint="eastAsia" w:cs="Arial"/>
          <w:bCs/>
          <w:color w:val="auto"/>
          <w:szCs w:val="21"/>
          <w:highlight w:val="none"/>
          <w:shd w:val="clear" w:color="auto" w:fill="auto"/>
        </w:rPr>
        <w:t>项目名称：</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项目编号：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包号：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 xml:space="preserve"> </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序号</w:t>
            </w:r>
          </w:p>
        </w:tc>
        <w:tc>
          <w:tcPr>
            <w:tcW w:w="1993"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货物名称</w:t>
            </w:r>
          </w:p>
        </w:tc>
        <w:tc>
          <w:tcPr>
            <w:tcW w:w="1647"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规格及型号</w:t>
            </w:r>
          </w:p>
        </w:tc>
        <w:tc>
          <w:tcPr>
            <w:tcW w:w="824" w:type="dxa"/>
            <w:vAlign w:val="center"/>
          </w:tcPr>
          <w:p>
            <w:pPr>
              <w:spacing w:line="240" w:lineRule="auto"/>
              <w:jc w:val="center"/>
              <w:rPr>
                <w:b/>
                <w:color w:val="auto"/>
                <w:szCs w:val="21"/>
                <w:highlight w:val="none"/>
                <w:shd w:val="clear" w:color="auto" w:fill="auto"/>
              </w:rPr>
            </w:pPr>
            <w:r>
              <w:rPr>
                <w:rFonts w:hint="eastAsia"/>
                <w:b w:val="0"/>
                <w:bCs/>
                <w:color w:val="auto"/>
                <w:szCs w:val="21"/>
                <w:highlight w:val="none"/>
                <w:shd w:val="clear" w:color="auto" w:fill="auto"/>
              </w:rPr>
              <w:t>产地</w:t>
            </w:r>
          </w:p>
        </w:tc>
        <w:tc>
          <w:tcPr>
            <w:tcW w:w="824"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品牌</w:t>
            </w:r>
          </w:p>
        </w:tc>
        <w:tc>
          <w:tcPr>
            <w:tcW w:w="824"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数量</w:t>
            </w:r>
          </w:p>
        </w:tc>
        <w:tc>
          <w:tcPr>
            <w:tcW w:w="825"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单位</w:t>
            </w:r>
          </w:p>
        </w:tc>
        <w:tc>
          <w:tcPr>
            <w:tcW w:w="984" w:type="dxa"/>
            <w:vAlign w:val="center"/>
          </w:tcPr>
          <w:p>
            <w:pPr>
              <w:tabs>
                <w:tab w:val="clear" w:pos="426"/>
              </w:tabs>
              <w:spacing w:line="240" w:lineRule="auto"/>
              <w:jc w:val="center"/>
              <w:rPr>
                <w:rFonts w:cs="Arial"/>
                <w:bCs/>
                <w:color w:val="auto"/>
                <w:szCs w:val="21"/>
                <w:highlight w:val="none"/>
                <w:shd w:val="clear" w:color="auto" w:fill="auto"/>
              </w:rPr>
            </w:pPr>
            <w:r>
              <w:rPr>
                <w:rFonts w:hint="eastAsia" w:cs="Arial"/>
                <w:bCs/>
                <w:color w:val="auto"/>
                <w:szCs w:val="21"/>
                <w:highlight w:val="none"/>
                <w:shd w:val="clear" w:color="auto" w:fill="auto"/>
              </w:rPr>
              <w:t>交货期</w:t>
            </w:r>
          </w:p>
        </w:tc>
        <w:tc>
          <w:tcPr>
            <w:tcW w:w="953" w:type="dxa"/>
            <w:vAlign w:val="center"/>
          </w:tcPr>
          <w:p>
            <w:pPr>
              <w:tabs>
                <w:tab w:val="clear" w:pos="426"/>
              </w:tabs>
              <w:spacing w:line="240" w:lineRule="auto"/>
              <w:jc w:val="center"/>
              <w:rPr>
                <w:rFonts w:cs="Arial"/>
                <w:bCs/>
                <w:color w:val="auto"/>
                <w:szCs w:val="21"/>
                <w:highlight w:val="none"/>
                <w:shd w:val="clear" w:color="auto" w:fill="auto"/>
              </w:rPr>
            </w:pPr>
            <w:r>
              <w:rPr>
                <w:rFonts w:hint="eastAsia" w:cs="Arial"/>
                <w:bCs/>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1</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2</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3</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bl>
    <w:p>
      <w:pPr>
        <w:tabs>
          <w:tab w:val="clear" w:pos="426"/>
        </w:tabs>
        <w:rPr>
          <w:rFonts w:cs="Arial"/>
          <w:bCs/>
          <w:color w:val="auto"/>
          <w:szCs w:val="21"/>
          <w:highlight w:val="none"/>
          <w:shd w:val="clear" w:color="auto" w:fill="auto"/>
        </w:rPr>
      </w:pPr>
      <w:r>
        <w:rPr>
          <w:rFonts w:hint="eastAsia" w:cs="Arial"/>
          <w:bCs/>
          <w:color w:val="auto"/>
          <w:szCs w:val="21"/>
          <w:highlight w:val="none"/>
          <w:shd w:val="clear" w:color="auto" w:fill="auto"/>
        </w:rPr>
        <w:t>备注：“产地”是指该产品的实际生产加工地，而非品牌总公司所在地。</w:t>
      </w:r>
    </w:p>
    <w:p>
      <w:pPr>
        <w:pStyle w:val="2"/>
        <w:rPr>
          <w:color w:val="auto"/>
          <w:highlight w:val="none"/>
          <w:shd w:val="clear" w:color="auto" w:fill="auto"/>
        </w:rPr>
      </w:pPr>
    </w:p>
    <w:p>
      <w:pPr>
        <w:tabs>
          <w:tab w:val="clear" w:pos="426"/>
        </w:tabs>
        <w:spacing w:line="500" w:lineRule="exact"/>
        <w:rPr>
          <w:color w:val="auto"/>
          <w:highlight w:val="none"/>
          <w:u w:val="single"/>
          <w:shd w:val="clear" w:color="auto" w:fill="auto"/>
        </w:rPr>
      </w:pPr>
      <w:r>
        <w:rPr>
          <w:rFonts w:hint="eastAsia"/>
          <w:color w:val="auto"/>
          <w:spacing w:val="4"/>
          <w:highlight w:val="none"/>
          <w:shd w:val="clear" w:color="auto" w:fill="auto"/>
        </w:rPr>
        <w:t>投标人名称（</w:t>
      </w:r>
      <w:r>
        <w:rPr>
          <w:rFonts w:hint="eastAsia"/>
          <w:color w:val="auto"/>
          <w:highlight w:val="none"/>
          <w:shd w:val="clear" w:color="auto" w:fill="auto"/>
        </w:rPr>
        <w:t>单位盖</w:t>
      </w:r>
      <w:r>
        <w:rPr>
          <w:rFonts w:hint="eastAsia"/>
          <w:color w:val="auto"/>
          <w:spacing w:val="4"/>
          <w:highlight w:val="none"/>
          <w:shd w:val="clear" w:color="auto" w:fill="auto"/>
        </w:rPr>
        <w:t>公章）：</w:t>
      </w:r>
      <w:r>
        <w:rPr>
          <w:rFonts w:hint="eastAsia"/>
          <w:color w:val="auto"/>
          <w:spacing w:val="4"/>
          <w:highlight w:val="none"/>
          <w:u w:val="single"/>
          <w:shd w:val="clear" w:color="auto" w:fill="auto"/>
        </w:rPr>
        <w:t xml:space="preserve">                                                          </w:t>
      </w:r>
    </w:p>
    <w:p>
      <w:pPr>
        <w:tabs>
          <w:tab w:val="clear" w:pos="426"/>
        </w:tabs>
        <w:spacing w:line="520" w:lineRule="exact"/>
        <w:rPr>
          <w:color w:val="auto"/>
          <w:highlight w:val="none"/>
          <w:shd w:val="clear" w:color="auto" w:fill="auto"/>
        </w:rPr>
      </w:pPr>
    </w:p>
    <w:p>
      <w:pPr>
        <w:tabs>
          <w:tab w:val="clear" w:pos="426"/>
        </w:tabs>
        <w:spacing w:line="520" w:lineRule="exact"/>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日期</w:t>
      </w:r>
      <w:r>
        <w:rPr>
          <w:color w:val="auto"/>
          <w:spacing w:val="4"/>
          <w:highlight w:val="none"/>
          <w:u w:val="single"/>
          <w:shd w:val="clear" w:color="auto" w:fill="auto"/>
        </w:rPr>
        <w:t xml:space="preserve">         </w:t>
      </w:r>
    </w:p>
    <w:p>
      <w:pPr>
        <w:numPr>
          <w:ilvl w:val="0"/>
          <w:numId w:val="28"/>
        </w:numPr>
        <w:adjustRightInd/>
        <w:snapToGrid/>
        <w:spacing w:before="280" w:after="290" w:line="377" w:lineRule="auto"/>
        <w:outlineLvl w:val="2"/>
        <w:rPr>
          <w:b/>
          <w:color w:val="auto"/>
          <w:sz w:val="24"/>
          <w:highlight w:val="none"/>
          <w:shd w:val="clear" w:color="auto" w:fill="auto"/>
        </w:rPr>
        <w:sectPr>
          <w:pgSz w:w="11906" w:h="16838"/>
          <w:pgMar w:top="1134" w:right="1134" w:bottom="1134" w:left="1838" w:header="851" w:footer="992" w:gutter="0"/>
          <w:pgNumType w:fmt="decimal"/>
          <w:cols w:space="720" w:num="1"/>
          <w:titlePg/>
          <w:docGrid w:linePitch="462" w:charSpace="0"/>
        </w:sectPr>
      </w:pPr>
    </w:p>
    <w:p>
      <w:pPr>
        <w:numPr>
          <w:ilvl w:val="0"/>
          <w:numId w:val="28"/>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lang w:eastAsia="zh-CN"/>
        </w:rPr>
        <w:t>分项报价表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货物清单</w:t>
      </w:r>
      <w:r>
        <w:rPr>
          <w:rFonts w:hint="eastAsia" w:cs="Times New Roman"/>
          <w:bCs/>
          <w:color w:val="auto"/>
          <w:kern w:val="2"/>
          <w:sz w:val="32"/>
          <w:szCs w:val="32"/>
          <w:highlight w:val="none"/>
          <w:shd w:val="clear" w:color="auto" w:fill="auto"/>
          <w:lang w:eastAsia="zh-CN"/>
        </w:rPr>
        <w:t>明细</w:t>
      </w:r>
      <w:r>
        <w:rPr>
          <w:rFonts w:hint="eastAsia" w:cs="Times New Roman"/>
          <w:bCs/>
          <w:color w:val="auto"/>
          <w:kern w:val="2"/>
          <w:sz w:val="32"/>
          <w:szCs w:val="32"/>
          <w:highlight w:val="none"/>
          <w:shd w:val="clear" w:color="auto" w:fill="auto"/>
        </w:rPr>
        <w:t>表</w:t>
      </w:r>
    </w:p>
    <w:p>
      <w:pPr>
        <w:tabs>
          <w:tab w:val="clear" w:pos="426"/>
        </w:tabs>
        <w:rPr>
          <w:rFonts w:cs="Arial"/>
          <w:bCs/>
          <w:color w:val="auto"/>
          <w:szCs w:val="21"/>
          <w:highlight w:val="none"/>
          <w:shd w:val="clear" w:color="auto" w:fill="auto"/>
        </w:rPr>
      </w:pPr>
    </w:p>
    <w:p>
      <w:pPr>
        <w:tabs>
          <w:tab w:val="clear" w:pos="426"/>
        </w:tabs>
        <w:rPr>
          <w:rFonts w:cs="Arial"/>
          <w:bCs/>
          <w:color w:val="auto"/>
          <w:szCs w:val="21"/>
          <w:highlight w:val="none"/>
          <w:shd w:val="clear" w:color="auto" w:fill="auto"/>
        </w:rPr>
      </w:pPr>
      <w:r>
        <w:rPr>
          <w:rFonts w:hint="eastAsia" w:cs="Arial"/>
          <w:bCs/>
          <w:color w:val="auto"/>
          <w:szCs w:val="21"/>
          <w:highlight w:val="none"/>
          <w:shd w:val="clear" w:color="auto" w:fill="auto"/>
        </w:rPr>
        <w:t>项目名称：</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项目编号：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包号：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 xml:space="preserve"> </w:t>
      </w:r>
    </w:p>
    <w:tbl>
      <w:tblPr>
        <w:tblStyle w:val="44"/>
        <w:tblW w:w="812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4"/>
        <w:gridCol w:w="2288"/>
        <w:gridCol w:w="1523"/>
        <w:gridCol w:w="1131"/>
        <w:gridCol w:w="71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2288" w:type="dxa"/>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1523" w:type="dxa"/>
            <w:vAlign w:val="center"/>
          </w:tcPr>
          <w:p>
            <w:pPr>
              <w:widowControl/>
              <w:jc w:val="center"/>
              <w:textAlignment w:val="center"/>
              <w:rPr>
                <w:rFonts w:hint="eastAsia" w:ascii="宋体" w:hAnsi="宋体" w:eastAsia="宋体" w:cs="宋体"/>
                <w:b/>
                <w:color w:val="000000"/>
                <w:sz w:val="22"/>
                <w:szCs w:val="22"/>
                <w:lang w:eastAsia="zh-CN"/>
              </w:rPr>
            </w:pPr>
            <w:r>
              <w:rPr>
                <w:rFonts w:hint="eastAsia" w:cs="宋体"/>
                <w:b/>
                <w:color w:val="000000"/>
                <w:kern w:val="0"/>
                <w:sz w:val="22"/>
                <w:szCs w:val="22"/>
                <w:lang w:eastAsia="zh-CN"/>
              </w:rPr>
              <w:t>单价（元）</w:t>
            </w:r>
          </w:p>
        </w:tc>
        <w:tc>
          <w:tcPr>
            <w:tcW w:w="1131" w:type="dxa"/>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715" w:type="dxa"/>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719" w:type="dxa"/>
            <w:vAlign w:val="center"/>
          </w:tcPr>
          <w:p>
            <w:pPr>
              <w:widowControl/>
              <w:jc w:val="center"/>
              <w:textAlignment w:val="center"/>
              <w:rPr>
                <w:rFonts w:hint="eastAsia" w:ascii="宋体" w:hAnsi="宋体" w:eastAsia="宋体" w:cs="宋体"/>
                <w:b/>
                <w:color w:val="000000"/>
                <w:kern w:val="0"/>
                <w:sz w:val="22"/>
                <w:szCs w:val="22"/>
                <w:lang w:eastAsia="zh-CN"/>
              </w:rPr>
            </w:pPr>
            <w:r>
              <w:rPr>
                <w:rFonts w:hint="eastAsia" w:cs="宋体"/>
                <w:b/>
                <w:color w:val="000000"/>
                <w:kern w:val="0"/>
                <w:sz w:val="22"/>
                <w:szCs w:val="22"/>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8120" w:type="dxa"/>
            <w:gridSpan w:val="6"/>
            <w:vAlign w:val="center"/>
          </w:tcPr>
          <w:p>
            <w:pPr>
              <w:widowControl/>
              <w:jc w:val="left"/>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一、室外标识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楼宇名称标识(1)</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楼宇名称标识(2)</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288" w:type="dxa"/>
            <w:vAlign w:val="center"/>
          </w:tcPr>
          <w:p>
            <w:pPr>
              <w:widowControl/>
              <w:jc w:val="center"/>
              <w:textAlignment w:val="center"/>
              <w:rPr>
                <w:rFonts w:ascii="宋体" w:hAnsi="宋体" w:cs="宋体"/>
                <w:color w:val="000000"/>
                <w:sz w:val="22"/>
                <w:szCs w:val="22"/>
              </w:rPr>
            </w:pPr>
            <w:r>
              <w:rPr>
                <w:rStyle w:val="301"/>
                <w:rFonts w:hint="default"/>
                <w:sz w:val="22"/>
                <w:szCs w:val="22"/>
              </w:rPr>
              <w:t>楼宇名称标识</w:t>
            </w:r>
            <w:r>
              <w:rPr>
                <w:rFonts w:hint="default" w:ascii="宋体" w:hAnsi="宋体" w:cs="宋体"/>
                <w:color w:val="000000"/>
                <w:kern w:val="0"/>
                <w:sz w:val="22"/>
                <w:szCs w:val="22"/>
              </w:rPr>
              <w:t>(3</w:t>
            </w:r>
            <w:r>
              <w:rPr>
                <w:rFonts w:hint="eastAsia" w:ascii="宋体" w:hAnsi="宋体" w:cs="宋体"/>
                <w:color w:val="000000"/>
                <w:kern w:val="0"/>
                <w:sz w:val="22"/>
                <w:szCs w:val="22"/>
              </w:rPr>
              <w:t>)</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rPr>
        <w:tc>
          <w:tcPr>
            <w:tcW w:w="744" w:type="dxa"/>
            <w:vAlign w:val="center"/>
          </w:tcPr>
          <w:p>
            <w:pPr>
              <w:widowControl/>
              <w:jc w:val="center"/>
              <w:textAlignment w:val="center"/>
              <w:rPr>
                <w:rStyle w:val="301"/>
                <w:rFonts w:hint="default"/>
                <w:sz w:val="22"/>
                <w:szCs w:val="22"/>
              </w:rPr>
            </w:pPr>
            <w:r>
              <w:rPr>
                <w:rStyle w:val="301"/>
                <w:rFonts w:hint="eastAsia"/>
                <w:sz w:val="22"/>
                <w:szCs w:val="22"/>
              </w:rPr>
              <w:t>4</w:t>
            </w:r>
          </w:p>
        </w:tc>
        <w:tc>
          <w:tcPr>
            <w:tcW w:w="2288" w:type="dxa"/>
            <w:vAlign w:val="center"/>
          </w:tcPr>
          <w:p>
            <w:pPr>
              <w:widowControl/>
              <w:jc w:val="center"/>
              <w:textAlignment w:val="center"/>
              <w:rPr>
                <w:rStyle w:val="301"/>
                <w:rFonts w:hint="default"/>
                <w:sz w:val="22"/>
                <w:szCs w:val="22"/>
              </w:rPr>
            </w:pPr>
            <w:r>
              <w:rPr>
                <w:rStyle w:val="301"/>
                <w:rFonts w:hint="default"/>
                <w:sz w:val="22"/>
                <w:szCs w:val="22"/>
              </w:rPr>
              <w:t>楼宇名称标识(4)</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楼宇名称标识(5)</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楼宇名称标识(6)</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楼宇名称标识(7)</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多向指示标识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户外宣传栏标识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288"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户外宣传栏标识不锈钢烤漆立柱</w:t>
            </w:r>
          </w:p>
        </w:tc>
        <w:tc>
          <w:tcPr>
            <w:tcW w:w="1523" w:type="dxa"/>
            <w:vAlign w:val="center"/>
          </w:tcPr>
          <w:p>
            <w:pPr>
              <w:widowControl/>
              <w:jc w:val="center"/>
              <w:textAlignment w:val="center"/>
              <w:rPr>
                <w:rFonts w:hint="eastAsia" w:ascii="宋体" w:hAnsi="宋体" w:cs="宋体"/>
                <w:color w:val="000000"/>
                <w:kern w:val="0"/>
                <w:sz w:val="22"/>
                <w:szCs w:val="22"/>
              </w:rPr>
            </w:pPr>
          </w:p>
        </w:tc>
        <w:tc>
          <w:tcPr>
            <w:tcW w:w="1131"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71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根</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6401" w:type="dxa"/>
            <w:gridSpan w:val="5"/>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b/>
                <w:color w:val="000000"/>
                <w:kern w:val="0"/>
                <w:sz w:val="22"/>
                <w:szCs w:val="22"/>
                <w:lang w:val="en-US" w:eastAsia="zh-CN"/>
              </w:rPr>
              <w:t>二、室内标识</w:t>
            </w:r>
          </w:p>
        </w:tc>
        <w:tc>
          <w:tcPr>
            <w:tcW w:w="1719" w:type="dxa"/>
            <w:vAlign w:val="center"/>
          </w:tcPr>
          <w:p>
            <w:pPr>
              <w:widowControl/>
              <w:jc w:val="left"/>
              <w:textAlignment w:val="center"/>
              <w:rPr>
                <w:rFonts w:hint="eastAsia" w:ascii="宋体" w:hAnsi="宋体" w:cs="宋体"/>
                <w:b/>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药房编号标识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区域平面图</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2288"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规划平面图标识</w:t>
            </w:r>
          </w:p>
        </w:tc>
        <w:tc>
          <w:tcPr>
            <w:tcW w:w="1523" w:type="dxa"/>
            <w:vAlign w:val="center"/>
          </w:tcPr>
          <w:p>
            <w:pPr>
              <w:widowControl/>
              <w:jc w:val="center"/>
              <w:textAlignment w:val="center"/>
              <w:rPr>
                <w:rFonts w:hint="eastAsia" w:ascii="宋体" w:hAnsi="宋体" w:cs="宋体"/>
                <w:color w:val="000000"/>
                <w:kern w:val="0"/>
                <w:sz w:val="22"/>
                <w:szCs w:val="22"/>
              </w:rPr>
            </w:pPr>
          </w:p>
        </w:tc>
        <w:tc>
          <w:tcPr>
            <w:tcW w:w="1131"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715"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2288"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规划平面图标识不锈钢椭圆形基座</w:t>
            </w:r>
          </w:p>
        </w:tc>
        <w:tc>
          <w:tcPr>
            <w:tcW w:w="1523" w:type="dxa"/>
            <w:vAlign w:val="center"/>
          </w:tcPr>
          <w:p>
            <w:pPr>
              <w:widowControl/>
              <w:jc w:val="left"/>
              <w:textAlignment w:val="center"/>
              <w:rPr>
                <w:rFonts w:hint="eastAsia" w:ascii="宋体" w:hAnsi="宋体" w:cs="宋体"/>
                <w:color w:val="000000"/>
                <w:kern w:val="0"/>
                <w:sz w:val="22"/>
                <w:szCs w:val="22"/>
              </w:rPr>
            </w:pPr>
          </w:p>
        </w:tc>
        <w:tc>
          <w:tcPr>
            <w:tcW w:w="1131"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715"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15</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医护人员一览表</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16</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吊挂式指示标识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17</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区域定位标识（1）</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18</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区域定位标识（2）</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19</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诊室编号标识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门牌、病房编号标识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21</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贴墙式指引标识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715"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套</w:t>
            </w:r>
          </w:p>
        </w:tc>
        <w:tc>
          <w:tcPr>
            <w:tcW w:w="1719" w:type="dxa"/>
            <w:vAlign w:val="center"/>
          </w:tcPr>
          <w:p>
            <w:pPr>
              <w:widowControl/>
              <w:jc w:val="center"/>
              <w:textAlignment w:val="center"/>
              <w:rPr>
                <w:rFonts w:hint="eastAsia" w:ascii="宋体" w:hAnsi="宋体" w:cs="宋体"/>
                <w:color w:val="00000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22</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制度牌标识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23</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门头区域定位标识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24</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电梯门头区域定位标识</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25</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洗手间标识1</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26</w:t>
            </w:r>
          </w:p>
        </w:tc>
        <w:tc>
          <w:tcPr>
            <w:tcW w:w="228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洗手间标识2</w:t>
            </w:r>
          </w:p>
        </w:tc>
        <w:tc>
          <w:tcPr>
            <w:tcW w:w="1523" w:type="dxa"/>
            <w:vAlign w:val="center"/>
          </w:tcPr>
          <w:p>
            <w:pPr>
              <w:widowControl/>
              <w:jc w:val="center"/>
              <w:textAlignment w:val="center"/>
              <w:rPr>
                <w:rFonts w:ascii="宋体" w:hAnsi="宋体" w:cs="宋体"/>
                <w:color w:val="000000"/>
                <w:sz w:val="22"/>
                <w:szCs w:val="22"/>
              </w:rPr>
            </w:pPr>
          </w:p>
        </w:tc>
        <w:tc>
          <w:tcPr>
            <w:tcW w:w="1131"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719" w:type="dxa"/>
            <w:vAlign w:val="center"/>
          </w:tcPr>
          <w:p>
            <w:pPr>
              <w:widowControl/>
              <w:jc w:val="center"/>
              <w:textAlignment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2288"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其他拆除</w:t>
            </w:r>
          </w:p>
        </w:tc>
        <w:tc>
          <w:tcPr>
            <w:tcW w:w="1523" w:type="dxa"/>
            <w:vAlign w:val="center"/>
          </w:tcPr>
          <w:p>
            <w:pPr>
              <w:widowControl/>
              <w:jc w:val="center"/>
              <w:textAlignment w:val="center"/>
              <w:rPr>
                <w:rFonts w:hint="eastAsia" w:ascii="宋体" w:hAnsi="宋体" w:cs="宋体"/>
                <w:color w:val="000000"/>
                <w:kern w:val="0"/>
                <w:sz w:val="22"/>
                <w:szCs w:val="22"/>
              </w:rPr>
            </w:pPr>
          </w:p>
        </w:tc>
        <w:tc>
          <w:tcPr>
            <w:tcW w:w="1131" w:type="dxa"/>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715" w:type="dxa"/>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1719" w:type="dxa"/>
            <w:vAlign w:val="center"/>
          </w:tcPr>
          <w:p>
            <w:pPr>
              <w:widowControl/>
              <w:jc w:val="center"/>
              <w:textAlignment w:val="center"/>
              <w:rPr>
                <w:rFonts w:hint="eastAsia" w:ascii="宋体" w:hAnsi="宋体" w:cs="宋体"/>
                <w:color w:val="00000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2288"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墙面</w:t>
            </w:r>
            <w:r>
              <w:rPr>
                <w:rFonts w:hint="eastAsia" w:ascii="宋体" w:hAnsi="宋体" w:cs="宋体"/>
                <w:color w:val="000000"/>
                <w:kern w:val="0"/>
                <w:sz w:val="22"/>
                <w:szCs w:val="22"/>
                <w:lang w:eastAsia="zh-CN"/>
              </w:rPr>
              <w:t>局部</w:t>
            </w:r>
            <w:r>
              <w:rPr>
                <w:rFonts w:hint="eastAsia" w:ascii="宋体" w:hAnsi="宋体" w:cs="宋体"/>
                <w:color w:val="000000"/>
                <w:kern w:val="0"/>
                <w:sz w:val="22"/>
                <w:szCs w:val="22"/>
              </w:rPr>
              <w:t>修补维修</w:t>
            </w:r>
          </w:p>
        </w:tc>
        <w:tc>
          <w:tcPr>
            <w:tcW w:w="1523" w:type="dxa"/>
            <w:vAlign w:val="center"/>
          </w:tcPr>
          <w:p>
            <w:pPr>
              <w:widowControl/>
              <w:jc w:val="center"/>
              <w:textAlignment w:val="center"/>
              <w:rPr>
                <w:rFonts w:hint="eastAsia" w:ascii="宋体" w:hAnsi="宋体" w:cs="宋体"/>
                <w:color w:val="000000"/>
                <w:kern w:val="0"/>
                <w:sz w:val="22"/>
                <w:szCs w:val="22"/>
              </w:rPr>
            </w:pPr>
          </w:p>
        </w:tc>
        <w:tc>
          <w:tcPr>
            <w:tcW w:w="1131"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820</w:t>
            </w:r>
          </w:p>
        </w:tc>
        <w:tc>
          <w:tcPr>
            <w:tcW w:w="715" w:type="dxa"/>
            <w:vAlign w:val="center"/>
          </w:tcPr>
          <w:p>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w:t>
            </w:r>
          </w:p>
        </w:tc>
        <w:tc>
          <w:tcPr>
            <w:tcW w:w="1719" w:type="dxa"/>
            <w:vAlign w:val="center"/>
          </w:tcPr>
          <w:p>
            <w:pPr>
              <w:widowControl/>
              <w:jc w:val="center"/>
              <w:textAlignment w:val="center"/>
              <w:rPr>
                <w:rFonts w:hint="eastAsia" w:ascii="宋体" w:hAnsi="宋体" w:cs="宋体"/>
                <w:color w:val="00000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rPr>
        <w:tc>
          <w:tcPr>
            <w:tcW w:w="8120" w:type="dxa"/>
            <w:gridSpan w:val="6"/>
            <w:vAlign w:val="center"/>
          </w:tcPr>
          <w:p>
            <w:pPr>
              <w:widowControl/>
              <w:jc w:val="left"/>
              <w:textAlignment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三、标识标牌配套电气部分(7栋楼)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配电箱</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配电箱</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配管</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2601</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配管</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2000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460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配线</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1400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凿(压)槽</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2601</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凿(压)槽</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744" w:type="dxa"/>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w:t>
            </w:r>
          </w:p>
        </w:tc>
        <w:tc>
          <w:tcPr>
            <w:tcW w:w="2288"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接线盒</w:t>
            </w:r>
          </w:p>
        </w:tc>
        <w:tc>
          <w:tcPr>
            <w:tcW w:w="1523"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1131"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110</w:t>
            </w:r>
          </w:p>
        </w:tc>
        <w:tc>
          <w:tcPr>
            <w:tcW w:w="715"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6401" w:type="dxa"/>
            <w:gridSpan w:val="5"/>
            <w:vAlign w:val="center"/>
          </w:tcPr>
          <w:p>
            <w:pPr>
              <w:widowControl/>
              <w:shd w:val="clear" w:color="auto" w:fill="FFFFFF"/>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税前合计总价（元）</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6401" w:type="dxa"/>
            <w:gridSpan w:val="5"/>
            <w:vAlign w:val="center"/>
          </w:tcPr>
          <w:p>
            <w:pPr>
              <w:widowControl/>
              <w:shd w:val="clear" w:color="auto" w:fill="FFFFFF"/>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税金（元，按照货物税率计算）</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6401" w:type="dxa"/>
            <w:gridSpan w:val="5"/>
            <w:vAlign w:val="center"/>
          </w:tcPr>
          <w:p>
            <w:pPr>
              <w:widowControl/>
              <w:shd w:val="clear" w:color="auto" w:fill="FFFFFF"/>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投标总价（元）</w:t>
            </w:r>
          </w:p>
        </w:tc>
        <w:tc>
          <w:tcPr>
            <w:tcW w:w="1719" w:type="dxa"/>
            <w:shd w:val="clear" w:color="000000" w:fill="FFFFFF"/>
            <w:vAlign w:val="center"/>
          </w:tcPr>
          <w:p>
            <w:pPr>
              <w:widowControl/>
              <w:jc w:val="center"/>
              <w:textAlignment w:val="center"/>
              <w:rPr>
                <w:rFonts w:hint="eastAsia" w:ascii="宋体" w:hAnsi="宋体" w:cs="宋体"/>
                <w:color w:val="000000"/>
                <w:kern w:val="0"/>
                <w:sz w:val="22"/>
                <w:szCs w:val="22"/>
                <w:lang w:val="en-US" w:eastAsia="zh-CN"/>
              </w:rPr>
            </w:pPr>
          </w:p>
        </w:tc>
      </w:tr>
    </w:tbl>
    <w:p>
      <w:pPr>
        <w:tabs>
          <w:tab w:val="clear" w:pos="426"/>
        </w:tabs>
        <w:spacing w:line="500" w:lineRule="exact"/>
        <w:rPr>
          <w:color w:val="auto"/>
          <w:highlight w:val="none"/>
          <w:u w:val="single"/>
          <w:shd w:val="clear" w:color="auto" w:fill="auto"/>
        </w:rPr>
      </w:pPr>
      <w:r>
        <w:rPr>
          <w:rFonts w:hint="eastAsia"/>
          <w:color w:val="auto"/>
          <w:spacing w:val="4"/>
          <w:highlight w:val="none"/>
          <w:shd w:val="clear" w:color="auto" w:fill="auto"/>
        </w:rPr>
        <w:t>投标人名称（</w:t>
      </w:r>
      <w:r>
        <w:rPr>
          <w:rFonts w:hint="eastAsia"/>
          <w:color w:val="auto"/>
          <w:highlight w:val="none"/>
          <w:shd w:val="clear" w:color="auto" w:fill="auto"/>
        </w:rPr>
        <w:t>单位盖</w:t>
      </w:r>
      <w:r>
        <w:rPr>
          <w:rFonts w:hint="eastAsia"/>
          <w:color w:val="auto"/>
          <w:spacing w:val="4"/>
          <w:highlight w:val="none"/>
          <w:shd w:val="clear" w:color="auto" w:fill="auto"/>
        </w:rPr>
        <w:t>公章）：</w:t>
      </w:r>
      <w:r>
        <w:rPr>
          <w:rFonts w:hint="eastAsia"/>
          <w:color w:val="auto"/>
          <w:spacing w:val="4"/>
          <w:highlight w:val="none"/>
          <w:u w:val="single"/>
          <w:shd w:val="clear" w:color="auto" w:fill="auto"/>
        </w:rPr>
        <w:t xml:space="preserve">                                                          </w:t>
      </w:r>
    </w:p>
    <w:p>
      <w:pPr>
        <w:tabs>
          <w:tab w:val="clear" w:pos="426"/>
        </w:tabs>
        <w:spacing w:line="520" w:lineRule="exact"/>
        <w:rPr>
          <w:color w:val="auto"/>
          <w:highlight w:val="none"/>
          <w:shd w:val="clear" w:color="auto" w:fill="auto"/>
        </w:rPr>
      </w:pPr>
    </w:p>
    <w:p>
      <w:pPr>
        <w:tabs>
          <w:tab w:val="clear" w:pos="426"/>
        </w:tabs>
        <w:spacing w:line="520" w:lineRule="exact"/>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日期</w:t>
      </w:r>
      <w:r>
        <w:rPr>
          <w:color w:val="auto"/>
          <w:spacing w:val="4"/>
          <w:highlight w:val="none"/>
          <w:u w:val="single"/>
          <w:shd w:val="clear" w:color="auto" w:fill="auto"/>
        </w:rPr>
        <w:t xml:space="preserve">         </w:t>
      </w:r>
    </w:p>
    <w:p>
      <w:pPr>
        <w:pStyle w:val="2"/>
        <w:sectPr>
          <w:pgSz w:w="11906" w:h="16838"/>
          <w:pgMar w:top="1134" w:right="1134" w:bottom="1134" w:left="1838" w:header="851" w:footer="992" w:gutter="0"/>
          <w:pgNumType w:fmt="decimal"/>
          <w:cols w:space="720" w:num="1"/>
          <w:titlePg/>
          <w:docGrid w:linePitch="462" w:charSpace="0"/>
        </w:sectPr>
      </w:pPr>
    </w:p>
    <w:p>
      <w:pPr>
        <w:numPr>
          <w:ilvl w:val="0"/>
          <w:numId w:val="28"/>
        </w:numPr>
        <w:adjustRightInd/>
        <w:snapToGrid/>
        <w:spacing w:before="280" w:after="290" w:line="377" w:lineRule="auto"/>
        <w:outlineLvl w:val="2"/>
        <w:rPr>
          <w:b/>
          <w:color w:val="auto"/>
          <w:sz w:val="24"/>
          <w:highlight w:val="none"/>
          <w:shd w:val="clear" w:color="auto" w:fill="auto"/>
        </w:rPr>
      </w:pPr>
      <w:r>
        <w:rPr>
          <w:rFonts w:hint="eastAsia"/>
          <w:b/>
          <w:bCs/>
          <w:color w:val="auto"/>
          <w:highlight w:val="none"/>
          <w:shd w:val="clear" w:color="auto" w:fill="auto"/>
        </w:rPr>
        <w:t>同类项目业绩</w:t>
      </w:r>
    </w:p>
    <w:p>
      <w:pPr>
        <w:pStyle w:val="2"/>
        <w:rPr>
          <w:color w:val="auto"/>
          <w:highlight w:val="none"/>
          <w:shd w:val="clear" w:color="auto" w:fill="auto"/>
        </w:rPr>
      </w:pPr>
    </w:p>
    <w:p>
      <w:pPr>
        <w:tabs>
          <w:tab w:val="clear" w:pos="426"/>
        </w:tabs>
        <w:spacing w:line="520" w:lineRule="exact"/>
        <w:rPr>
          <w:color w:val="auto"/>
          <w:spacing w:val="4"/>
          <w:highlight w:val="none"/>
          <w:u w:val="single"/>
          <w:shd w:val="clear" w:color="auto" w:fill="auto"/>
        </w:rPr>
      </w:pPr>
      <w:bookmarkStart w:id="78" w:name="_Toc50703730"/>
      <w:bookmarkStart w:id="79" w:name="_Toc43264518"/>
      <w:bookmarkStart w:id="80" w:name="_Toc50691037"/>
    </w:p>
    <w:p>
      <w:pPr>
        <w:tabs>
          <w:tab w:val="clear" w:pos="426"/>
        </w:tabs>
        <w:spacing w:line="520" w:lineRule="exact"/>
        <w:rPr>
          <w:color w:val="auto"/>
          <w:spacing w:val="4"/>
          <w:highlight w:val="none"/>
          <w:u w:val="single"/>
          <w:shd w:val="clear" w:color="auto" w:fill="auto"/>
        </w:rPr>
      </w:pPr>
    </w:p>
    <w:p>
      <w:pPr>
        <w:numPr>
          <w:ilvl w:val="0"/>
          <w:numId w:val="28"/>
        </w:numPr>
        <w:adjustRightInd/>
        <w:snapToGrid/>
        <w:spacing w:before="280" w:after="290" w:line="377" w:lineRule="auto"/>
        <w:jc w:val="left"/>
        <w:outlineLvl w:val="2"/>
        <w:rPr>
          <w:b/>
          <w:color w:val="auto"/>
          <w:sz w:val="24"/>
          <w:highlight w:val="none"/>
          <w:u w:val="none"/>
          <w:shd w:val="clear" w:color="auto" w:fill="auto"/>
        </w:rPr>
      </w:pPr>
      <w:bookmarkStart w:id="81" w:name="_Toc43264525"/>
      <w:r>
        <w:rPr>
          <w:color w:val="auto"/>
          <w:spacing w:val="4"/>
          <w:highlight w:val="none"/>
          <w:u w:val="single"/>
          <w:shd w:val="clear" w:color="auto" w:fill="auto"/>
        </w:rPr>
        <w:br w:type="page"/>
      </w:r>
      <w:r>
        <w:rPr>
          <w:rFonts w:hint="eastAsia"/>
          <w:b/>
          <w:bCs/>
          <w:color w:val="auto"/>
          <w:spacing w:val="4"/>
          <w:highlight w:val="none"/>
          <w:u w:val="none"/>
          <w:shd w:val="clear" w:color="auto" w:fill="auto"/>
        </w:rPr>
        <w:t>类似项目获奖情况</w:t>
      </w:r>
    </w:p>
    <w:p>
      <w:pPr>
        <w:numPr>
          <w:ilvl w:val="0"/>
          <w:numId w:val="28"/>
        </w:numPr>
        <w:shd w:val="clear" w:color="auto" w:fill="FFFFFF"/>
        <w:adjustRightInd/>
        <w:snapToGrid/>
        <w:spacing w:before="280" w:after="290" w:line="377" w:lineRule="auto"/>
        <w:jc w:val="left"/>
        <w:outlineLvl w:val="2"/>
        <w:rPr>
          <w:rFonts w:hint="eastAsia"/>
          <w:b/>
          <w:bCs/>
          <w:color w:val="auto"/>
          <w:spacing w:val="4"/>
          <w:highlight w:val="none"/>
          <w:u w:val="none"/>
          <w:shd w:val="clear" w:color="auto" w:fill="auto"/>
        </w:rPr>
      </w:pPr>
      <w:r>
        <w:rPr>
          <w:rFonts w:hint="eastAsia"/>
          <w:b/>
          <w:bCs/>
          <w:color w:val="auto"/>
          <w:spacing w:val="4"/>
          <w:highlight w:val="none"/>
          <w:u w:val="none"/>
          <w:shd w:val="clear" w:color="auto" w:fill="auto"/>
          <w:lang w:eastAsia="zh-CN"/>
        </w:rPr>
        <w:t>企业信誉</w:t>
      </w:r>
    </w:p>
    <w:p>
      <w:pPr>
        <w:tabs>
          <w:tab w:val="clear" w:pos="426"/>
        </w:tabs>
        <w:spacing w:line="440" w:lineRule="exact"/>
        <w:rPr>
          <w:bCs/>
          <w:color w:val="auto"/>
          <w:highlight w:val="none"/>
          <w:shd w:val="clear" w:color="auto" w:fill="auto"/>
        </w:rPr>
      </w:pPr>
    </w:p>
    <w:p>
      <w:pPr>
        <w:tabs>
          <w:tab w:val="clear" w:pos="426"/>
        </w:tabs>
        <w:ind w:firstLine="424" w:firstLineChars="202"/>
        <w:rPr>
          <w:rFonts w:cs="Arial"/>
          <w:bCs/>
          <w:color w:val="auto"/>
          <w:szCs w:val="21"/>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rFonts w:cs="Arial"/>
          <w:bCs/>
          <w:color w:val="auto"/>
          <w:highlight w:val="none"/>
          <w:shd w:val="clear" w:color="auto" w:fill="auto"/>
        </w:rPr>
        <w:br w:type="page"/>
      </w:r>
      <w:r>
        <w:rPr>
          <w:rFonts w:hint="eastAsia" w:cs="Arial"/>
          <w:bCs/>
          <w:color w:val="auto"/>
          <w:highlight w:val="none"/>
          <w:shd w:val="clear" w:color="auto" w:fill="auto"/>
        </w:rPr>
        <w:t>投标人资质情况</w:t>
      </w:r>
    </w:p>
    <w:p>
      <w:pPr>
        <w:numPr>
          <w:ilvl w:val="0"/>
          <w:numId w:val="28"/>
        </w:numPr>
        <w:adjustRightInd/>
        <w:snapToGrid/>
        <w:spacing w:before="280" w:after="290" w:line="377" w:lineRule="auto"/>
        <w:outlineLvl w:val="2"/>
        <w:rPr>
          <w:b/>
          <w:color w:val="auto"/>
          <w:sz w:val="24"/>
          <w:highlight w:val="none"/>
          <w:shd w:val="clear" w:color="auto" w:fill="auto"/>
        </w:rPr>
      </w:pPr>
      <w:r>
        <w:rPr>
          <w:rFonts w:hint="eastAsia"/>
          <w:color w:val="auto"/>
          <w:highlight w:val="none"/>
          <w:shd w:val="clear" w:color="auto" w:fill="auto"/>
        </w:rPr>
        <w:t>诚信档案</w:t>
      </w:r>
    </w:p>
    <w:p>
      <w:pPr>
        <w:pStyle w:val="2"/>
        <w:rPr>
          <w:color w:val="auto"/>
          <w:highlight w:val="none"/>
          <w:shd w:val="clear" w:color="auto" w:fill="auto"/>
        </w:rPr>
      </w:pPr>
    </w:p>
    <w:p>
      <w:pPr>
        <w:tabs>
          <w:tab w:val="clear" w:pos="426"/>
        </w:tabs>
        <w:ind w:left="-2" w:leftChars="-1" w:firstLine="2"/>
        <w:jc w:val="center"/>
        <w:rPr>
          <w:b/>
          <w:color w:val="auto"/>
          <w:szCs w:val="21"/>
          <w:highlight w:val="none"/>
          <w:shd w:val="clear" w:color="auto" w:fill="auto"/>
        </w:rPr>
      </w:pPr>
      <w:r>
        <w:rPr>
          <w:rFonts w:hint="eastAsia"/>
          <w:b/>
          <w:color w:val="auto"/>
          <w:szCs w:val="21"/>
          <w:highlight w:val="none"/>
          <w:shd w:val="clear" w:color="auto" w:fill="auto"/>
        </w:rPr>
        <w:t>诚信承诺函</w:t>
      </w:r>
    </w:p>
    <w:p>
      <w:pPr>
        <w:wordWrap w:val="0"/>
        <w:ind w:firstLine="422" w:firstLineChars="200"/>
        <w:jc w:val="left"/>
        <w:rPr>
          <w:color w:val="auto"/>
          <w:szCs w:val="21"/>
          <w:highlight w:val="none"/>
          <w:u w:val="single"/>
          <w:shd w:val="clear" w:color="auto" w:fill="auto"/>
        </w:rPr>
      </w:pPr>
      <w:r>
        <w:rPr>
          <w:rFonts w:hint="eastAsia"/>
          <w:b/>
          <w:bCs/>
          <w:color w:val="auto"/>
          <w:highlight w:val="none"/>
          <w:u w:val="single"/>
          <w:shd w:val="clear" w:color="auto" w:fill="auto"/>
        </w:rPr>
        <w:t>深圳市深水水务咨询有限公司：</w:t>
      </w:r>
    </w:p>
    <w:p>
      <w:pPr>
        <w:pStyle w:val="40"/>
        <w:ind w:firstLine="420" w:firstLineChars="200"/>
        <w:rPr>
          <w:b/>
          <w:color w:val="auto"/>
          <w:sz w:val="21"/>
          <w:szCs w:val="21"/>
          <w:highlight w:val="none"/>
          <w:shd w:val="clear" w:color="auto" w:fill="auto"/>
        </w:rPr>
      </w:pPr>
      <w:r>
        <w:rPr>
          <w:rFonts w:hint="eastAsia"/>
          <w:color w:val="auto"/>
          <w:sz w:val="21"/>
          <w:szCs w:val="21"/>
          <w:highlight w:val="none"/>
          <w:shd w:val="clear" w:color="auto" w:fill="auto"/>
        </w:rPr>
        <w:t>根据《深圳市政府采购供应商诚信管理暂行办法》深财规〔2017〕8号相关规定，在参与贵中心组织的       （项目名称）    （项目编号：      ） 政府采购活动中，我单位承诺：</w:t>
      </w:r>
      <w:r>
        <w:rPr>
          <w:rFonts w:hint="eastAsia"/>
          <w:b/>
          <w:color w:val="auto"/>
          <w:sz w:val="21"/>
          <w:szCs w:val="21"/>
          <w:highlight w:val="none"/>
          <w:shd w:val="clear" w:color="auto" w:fill="auto"/>
        </w:rPr>
        <w:t>本公司不存在违反《深圳市政府采购供应商诚信管理暂行办法》</w:t>
      </w:r>
      <w:r>
        <w:rPr>
          <w:b/>
          <w:color w:val="auto"/>
          <w:sz w:val="21"/>
          <w:szCs w:val="21"/>
          <w:highlight w:val="none"/>
          <w:shd w:val="clear" w:color="auto" w:fill="auto"/>
        </w:rPr>
        <w:t>的</w:t>
      </w:r>
      <w:r>
        <w:rPr>
          <w:rFonts w:hint="eastAsia"/>
          <w:b/>
          <w:color w:val="auto"/>
          <w:sz w:val="21"/>
          <w:szCs w:val="21"/>
          <w:highlight w:val="none"/>
          <w:shd w:val="clear" w:color="auto" w:fill="auto"/>
        </w:rPr>
        <w:t>情形。</w:t>
      </w:r>
    </w:p>
    <w:p>
      <w:pPr>
        <w:pStyle w:val="40"/>
        <w:ind w:firstLine="420" w:firstLineChars="200"/>
        <w:rPr>
          <w:color w:val="auto"/>
          <w:sz w:val="21"/>
          <w:szCs w:val="21"/>
          <w:highlight w:val="none"/>
          <w:shd w:val="clear" w:color="auto" w:fill="auto"/>
        </w:rPr>
      </w:pPr>
      <w:r>
        <w:rPr>
          <w:rFonts w:hint="eastAsia"/>
          <w:color w:val="auto"/>
          <w:sz w:val="21"/>
          <w:szCs w:val="21"/>
          <w:highlight w:val="none"/>
          <w:shd w:val="clear" w:color="auto" w:fill="auto"/>
        </w:rPr>
        <w:t>我单位对该承诺的真实性负责，如有不实，自愿接受相关法律法规的处罚及其他一切后果（含自愿接受将此不良行为记入</w:t>
      </w:r>
      <w:r>
        <w:rPr>
          <w:color w:val="auto"/>
          <w:sz w:val="21"/>
          <w:szCs w:val="21"/>
          <w:highlight w:val="none"/>
          <w:shd w:val="clear" w:color="auto" w:fill="auto"/>
        </w:rPr>
        <w:t>供应商诚信档案</w:t>
      </w:r>
      <w:r>
        <w:rPr>
          <w:rFonts w:hint="eastAsia"/>
          <w:color w:val="auto"/>
          <w:sz w:val="21"/>
          <w:szCs w:val="21"/>
          <w:highlight w:val="none"/>
          <w:shd w:val="clear" w:color="auto" w:fill="auto"/>
        </w:rPr>
        <w:t>和自愿接受虚假响应导致禁止参加政府采购活动的处罚等）。</w:t>
      </w:r>
    </w:p>
    <w:p>
      <w:pPr>
        <w:ind w:firstLine="420" w:firstLineChars="200"/>
        <w:rPr>
          <w:color w:val="auto"/>
          <w:szCs w:val="21"/>
          <w:highlight w:val="none"/>
          <w:u w:val="single"/>
          <w:shd w:val="clear" w:color="auto" w:fill="auto"/>
        </w:rPr>
      </w:pPr>
      <w:r>
        <w:rPr>
          <w:rFonts w:hint="eastAsia"/>
          <w:color w:val="auto"/>
          <w:szCs w:val="21"/>
          <w:highlight w:val="none"/>
          <w:shd w:val="clear" w:color="auto" w:fill="auto"/>
        </w:rPr>
        <w:t xml:space="preserve">    特此承诺。</w:t>
      </w:r>
    </w:p>
    <w:p>
      <w:pPr>
        <w:rPr>
          <w:color w:val="auto"/>
          <w:szCs w:val="21"/>
          <w:highlight w:val="none"/>
          <w:u w:val="single"/>
          <w:shd w:val="clear" w:color="auto" w:fill="auto"/>
        </w:rPr>
      </w:pPr>
    </w:p>
    <w:p>
      <w:pPr>
        <w:ind w:firstLine="4620" w:firstLineChars="2200"/>
        <w:jc w:val="left"/>
        <w:rPr>
          <w:color w:val="auto"/>
          <w:szCs w:val="21"/>
          <w:highlight w:val="none"/>
          <w:shd w:val="clear" w:color="auto" w:fill="auto"/>
        </w:rPr>
      </w:pPr>
      <w:r>
        <w:rPr>
          <w:rFonts w:hint="eastAsia"/>
          <w:color w:val="auto"/>
          <w:szCs w:val="21"/>
          <w:highlight w:val="none"/>
          <w:shd w:val="clear" w:color="auto" w:fill="auto"/>
        </w:rPr>
        <w:t xml:space="preserve">投标单位： </w:t>
      </w:r>
    </w:p>
    <w:p>
      <w:pPr>
        <w:tabs>
          <w:tab w:val="clear" w:pos="426"/>
        </w:tabs>
        <w:adjustRightInd/>
        <w:snapToGrid/>
        <w:spacing w:before="280" w:after="290" w:line="377" w:lineRule="auto"/>
        <w:ind w:left="634" w:leftChars="302"/>
        <w:jc w:val="right"/>
        <w:rPr>
          <w:color w:val="auto"/>
          <w:szCs w:val="21"/>
          <w:highlight w:val="none"/>
          <w:shd w:val="clear" w:color="auto" w:fill="auto"/>
        </w:rPr>
        <w:sectPr>
          <w:pgSz w:w="11906" w:h="16838"/>
          <w:pgMar w:top="1134" w:right="1134" w:bottom="1134" w:left="1838" w:header="851" w:footer="992" w:gutter="0"/>
          <w:pgNumType w:fmt="decimal"/>
          <w:cols w:space="720" w:num="1"/>
          <w:titlePg/>
          <w:docGrid w:linePitch="462" w:charSpace="0"/>
        </w:sectPr>
      </w:pPr>
      <w:r>
        <w:rPr>
          <w:rFonts w:hint="eastAsia"/>
          <w:color w:val="auto"/>
          <w:szCs w:val="21"/>
          <w:highlight w:val="none"/>
          <w:shd w:val="clear" w:color="auto" w:fill="auto"/>
        </w:rPr>
        <w:t>日期：      年    月    日</w:t>
      </w:r>
    </w:p>
    <w:p>
      <w:pPr>
        <w:numPr>
          <w:ilvl w:val="0"/>
          <w:numId w:val="28"/>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rPr>
        <w:t>拟安排项目负责人情况</w:t>
      </w:r>
    </w:p>
    <w:p>
      <w:pPr>
        <w:tabs>
          <w:tab w:val="clear" w:pos="426"/>
        </w:tabs>
        <w:spacing w:line="240" w:lineRule="auto"/>
        <w:ind w:firstLine="420" w:firstLineChars="200"/>
        <w:rPr>
          <w:rFonts w:cs="Arial"/>
          <w:bCs/>
          <w:color w:val="auto"/>
          <w:szCs w:val="21"/>
          <w:highlight w:val="none"/>
          <w:shd w:val="clear" w:color="auto" w:fill="auto"/>
        </w:rPr>
      </w:pPr>
      <w:bookmarkStart w:id="82" w:name="_Hlk535526122"/>
    </w:p>
    <w:bookmarkEnd w:id="82"/>
    <w:p>
      <w:pPr>
        <w:tabs>
          <w:tab w:val="clear" w:pos="426"/>
        </w:tabs>
        <w:ind w:firstLine="420" w:firstLineChars="200"/>
        <w:rPr>
          <w:rFonts w:cs="Arial"/>
          <w:bCs/>
          <w:color w:val="auto"/>
          <w:szCs w:val="21"/>
          <w:highlight w:val="none"/>
          <w:shd w:val="clear" w:color="auto" w:fill="auto"/>
        </w:rPr>
      </w:pPr>
    </w:p>
    <w:p>
      <w:pPr>
        <w:tabs>
          <w:tab w:val="clear" w:pos="426"/>
        </w:tabs>
        <w:ind w:firstLine="420" w:firstLineChars="200"/>
        <w:rPr>
          <w:rFonts w:cs="Arial"/>
          <w:bCs/>
          <w:color w:val="auto"/>
          <w:szCs w:val="21"/>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pPr>
      <w:r>
        <w:rPr>
          <w:color w:val="auto"/>
          <w:spacing w:val="4"/>
          <w:highlight w:val="none"/>
          <w:u w:val="single"/>
          <w:shd w:val="clear" w:color="auto" w:fill="auto"/>
        </w:rPr>
        <w:br w:type="page"/>
      </w:r>
      <w:r>
        <w:rPr>
          <w:rFonts w:hint="eastAsia"/>
          <w:b/>
          <w:color w:val="auto"/>
          <w:sz w:val="24"/>
          <w:highlight w:val="none"/>
          <w:shd w:val="clear" w:color="auto" w:fill="auto"/>
        </w:rPr>
        <w:t>拟安排项目班子成员（项目负责人除外）</w:t>
      </w:r>
    </w:p>
    <w:p>
      <w:pPr>
        <w:pStyle w:val="2"/>
        <w:rPr>
          <w:color w:val="auto"/>
          <w:highlight w:val="none"/>
          <w:shd w:val="clear" w:color="auto" w:fill="auto"/>
        </w:rPr>
      </w:pP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样品</w:t>
      </w: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供货方案</w:t>
      </w: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现场安装方案</w:t>
      </w: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优化方案及重点难点分析</w:t>
      </w: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供货期保证</w:t>
      </w:r>
    </w:p>
    <w:p>
      <w:pPr>
        <w:pStyle w:val="2"/>
        <w:jc w:val="center"/>
        <w:rPr>
          <w:rFonts w:hint="eastAsia" w:asciiTheme="minorEastAsia" w:hAnsiTheme="minorEastAsia" w:eastAsiaTheme="minorEastAsia" w:cstheme="minorEastAsia"/>
          <w:b/>
          <w:bCs w:val="0"/>
          <w:kern w:val="2"/>
          <w:sz w:val="21"/>
          <w:szCs w:val="21"/>
          <w:lang w:val="zh-CN" w:eastAsia="zh-CN" w:bidi="ar-SA"/>
        </w:rPr>
      </w:pPr>
      <w:r>
        <w:rPr>
          <w:rFonts w:hint="eastAsia" w:asciiTheme="minorEastAsia" w:hAnsiTheme="minorEastAsia" w:cstheme="minorEastAsia"/>
          <w:b/>
          <w:bCs w:val="0"/>
          <w:sz w:val="21"/>
          <w:szCs w:val="21"/>
          <w:lang w:val="en-US" w:eastAsia="zh-CN"/>
        </w:rPr>
        <w:t>供货</w:t>
      </w:r>
      <w:r>
        <w:rPr>
          <w:rFonts w:hint="eastAsia" w:asciiTheme="minorEastAsia" w:hAnsiTheme="minorEastAsia" w:eastAsiaTheme="minorEastAsia" w:cstheme="minorEastAsia"/>
          <w:b/>
          <w:bCs w:val="0"/>
          <w:kern w:val="2"/>
          <w:sz w:val="21"/>
          <w:szCs w:val="21"/>
          <w:lang w:val="zh-CN" w:eastAsia="zh-CN" w:bidi="ar-SA"/>
        </w:rPr>
        <w:t>承诺函</w:t>
      </w:r>
    </w:p>
    <w:p>
      <w:pPr>
        <w:pStyle w:val="2"/>
        <w:jc w:val="center"/>
        <w:rPr>
          <w:rFonts w:hint="eastAsia" w:asciiTheme="minorEastAsia" w:hAnsiTheme="minorEastAsia" w:eastAsiaTheme="minorEastAsia" w:cstheme="minorEastAsia"/>
          <w:b/>
          <w:bCs w:val="0"/>
          <w:kern w:val="2"/>
          <w:sz w:val="21"/>
          <w:szCs w:val="21"/>
          <w:lang w:val="zh-CN" w:eastAsia="zh-CN" w:bidi="ar-SA"/>
        </w:rPr>
      </w:pPr>
    </w:p>
    <w:p>
      <w:pPr>
        <w:pStyle w:val="304"/>
        <w:keepNext w:val="0"/>
        <w:keepLines w:val="0"/>
        <w:pageBreakBefore w:val="0"/>
        <w:widowControl w:val="0"/>
        <w:kinsoku/>
        <w:wordWrap/>
        <w:overflowPunct/>
        <w:topLinePunct w:val="0"/>
        <w:autoSpaceDE/>
        <w:autoSpaceDN/>
        <w:bidi w:val="0"/>
        <w:adjustRightInd w:val="0"/>
        <w:snapToGrid w:val="0"/>
        <w:spacing w:line="30" w:lineRule="atLeast"/>
        <w:ind w:firstLine="420" w:firstLineChars="200"/>
        <w:textAlignment w:val="auto"/>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致</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采购</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人：</w:t>
      </w:r>
      <w:r>
        <w:rPr>
          <w:rFonts w:hint="eastAsia" w:asciiTheme="minorEastAsia" w:hAnsiTheme="minorEastAsia" w:eastAsiaTheme="minorEastAsia" w:cstheme="minorEastAsia"/>
          <w:bCs/>
          <w:color w:val="000000" w:themeColor="text1"/>
          <w:kern w:val="0"/>
          <w:sz w:val="21"/>
          <w:szCs w:val="21"/>
          <w:u w:val="single"/>
          <w:lang w:val="en-US" w:eastAsia="zh-CN"/>
          <w14:textFill>
            <w14:solidFill>
              <w14:schemeClr w14:val="tx1"/>
            </w14:solidFill>
          </w14:textFill>
        </w:rPr>
        <w:t>深圳平乐骨伤科医（深圳市坪山区中医院）</w:t>
      </w:r>
    </w:p>
    <w:p>
      <w:pPr>
        <w:pStyle w:val="2"/>
        <w:keepNext w:val="0"/>
        <w:keepLines w:val="0"/>
        <w:pageBreakBefore w:val="0"/>
        <w:widowControl w:val="0"/>
        <w:kinsoku/>
        <w:wordWrap/>
        <w:overflowPunct/>
        <w:topLinePunct w:val="0"/>
        <w:autoSpaceDE/>
        <w:autoSpaceDN/>
        <w:bidi w:val="0"/>
        <w:spacing w:line="30" w:lineRule="atLeast"/>
        <w:ind w:firstLine="422" w:firstLineChars="200"/>
        <w:jc w:val="center"/>
        <w:textAlignment w:val="auto"/>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30" w:lineRule="atLeast"/>
        <w:ind w:left="0" w:leftChars="0" w:firstLine="420" w:firstLineChars="200"/>
        <w:jc w:val="left"/>
        <w:textAlignment w:val="auto"/>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t>为了确保本项目招标投标工作顺利进行，同时保证优质高效进行政府采购履约，我方将严格执行政府采购的法律法规，为此作出如下承诺：</w:t>
      </w:r>
    </w:p>
    <w:p>
      <w:pPr>
        <w:pStyle w:val="304"/>
        <w:keepNext w:val="0"/>
        <w:keepLines w:val="0"/>
        <w:pageBreakBefore w:val="0"/>
        <w:widowControl w:val="0"/>
        <w:kinsoku/>
        <w:wordWrap/>
        <w:overflowPunct/>
        <w:topLinePunct w:val="0"/>
        <w:autoSpaceDE/>
        <w:autoSpaceDN/>
        <w:bidi w:val="0"/>
        <w:adjustRightInd w:val="0"/>
        <w:snapToGrid w:val="0"/>
        <w:spacing w:line="30" w:lineRule="atLeast"/>
        <w:ind w:firstLine="420" w:firstLineChars="200"/>
        <w:textAlignment w:val="auto"/>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t>1.根据企业自身情况，理性报价，不会以低于成本的报价竞标，并愿以投标总报价________万元，</w:t>
      </w:r>
    </w:p>
    <w:p>
      <w:pPr>
        <w:pStyle w:val="2"/>
        <w:keepNext w:val="0"/>
        <w:keepLines w:val="0"/>
        <w:pageBreakBefore w:val="0"/>
        <w:widowControl w:val="0"/>
        <w:kinsoku/>
        <w:wordWrap/>
        <w:overflowPunct/>
        <w:topLinePunct w:val="0"/>
        <w:autoSpaceDE/>
        <w:autoSpaceDN/>
        <w:bidi w:val="0"/>
        <w:spacing w:line="30" w:lineRule="atLeast"/>
        <w:ind w:left="0" w:leftChars="0" w:firstLine="420" w:firstLineChars="200"/>
        <w:jc w:val="left"/>
        <w:textAlignment w:val="auto"/>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t>2.我方承诺在____日内完成本项目所有供货要求，并组织验收。若我方未在</w:t>
      </w:r>
      <w:r>
        <w:rPr>
          <w:rFonts w:hint="eastAsia" w:asciiTheme="minorEastAsia" w:hAnsiTheme="minorEastAsia" w:eastAsiaTheme="minorEastAsia" w:cstheme="minorEastAsia"/>
          <w:b w:val="0"/>
          <w:sz w:val="21"/>
          <w:szCs w:val="21"/>
          <w:lang w:val="en-US" w:eastAsia="zh-CN"/>
        </w:rPr>
        <w:t>供货期内完成供货要求，本项目采购人可视为我方虚假应标，采购人有权上报政府采购主管部门，终止合同，并有权拒绝我方参与本项目采购人任何项目的投标</w:t>
      </w:r>
      <w:r>
        <w:rPr>
          <w:rFonts w:hint="eastAsia" w:asciiTheme="minorEastAsia" w:hAnsiTheme="minorEastAsia" w:eastAsiaTheme="minorEastAsia" w:cstheme="minorEastAsia"/>
          <w:b w:val="0"/>
          <w:bCs/>
          <w:color w:val="000000" w:themeColor="text1"/>
          <w:kern w:val="0"/>
          <w:sz w:val="21"/>
          <w:szCs w:val="21"/>
          <w:lang w:val="en-US" w:eastAsia="zh-CN" w:bidi="ar-SA"/>
          <w14:textFill>
            <w14:solidFill>
              <w14:schemeClr w14:val="tx1"/>
            </w14:solidFill>
          </w14:textFill>
        </w:rPr>
        <w:t>。</w:t>
      </w:r>
    </w:p>
    <w:p>
      <w:pPr>
        <w:pStyle w:val="304"/>
        <w:keepNext w:val="0"/>
        <w:keepLines w:val="0"/>
        <w:pageBreakBefore w:val="0"/>
        <w:widowControl w:val="0"/>
        <w:kinsoku/>
        <w:wordWrap/>
        <w:overflowPunct/>
        <w:topLinePunct w:val="0"/>
        <w:autoSpaceDE/>
        <w:autoSpaceDN/>
        <w:bidi w:val="0"/>
        <w:adjustRightInd w:val="0"/>
        <w:snapToGrid w:val="0"/>
        <w:spacing w:line="30" w:lineRule="atLeas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pStyle w:val="304"/>
        <w:keepNext w:val="0"/>
        <w:keepLines w:val="0"/>
        <w:pageBreakBefore w:val="0"/>
        <w:widowControl w:val="0"/>
        <w:kinsoku/>
        <w:wordWrap/>
        <w:overflowPunct/>
        <w:topLinePunct w:val="0"/>
        <w:autoSpaceDE/>
        <w:autoSpaceDN/>
        <w:bidi w:val="0"/>
        <w:adjustRightInd w:val="0"/>
        <w:snapToGrid w:val="0"/>
        <w:spacing w:line="30" w:lineRule="atLeas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投标人（单位公章）：</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__________________________________________</w:t>
      </w:r>
    </w:p>
    <w:p>
      <w:pPr>
        <w:pStyle w:val="304"/>
        <w:keepNext w:val="0"/>
        <w:keepLines w:val="0"/>
        <w:pageBreakBefore w:val="0"/>
        <w:widowControl w:val="0"/>
        <w:kinsoku/>
        <w:wordWrap/>
        <w:overflowPunct/>
        <w:topLinePunct w:val="0"/>
        <w:autoSpaceDE/>
        <w:autoSpaceDN/>
        <w:bidi w:val="0"/>
        <w:adjustRightInd w:val="0"/>
        <w:snapToGrid w:val="0"/>
        <w:spacing w:line="30" w:lineRule="atLeas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单位地址：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___________________________________________________</w:t>
      </w:r>
    </w:p>
    <w:p>
      <w:pPr>
        <w:pStyle w:val="304"/>
        <w:keepNext w:val="0"/>
        <w:keepLines w:val="0"/>
        <w:pageBreakBefore w:val="0"/>
        <w:widowControl w:val="0"/>
        <w:kinsoku/>
        <w:wordWrap/>
        <w:overflowPunct/>
        <w:topLinePunct w:val="0"/>
        <w:autoSpaceDE/>
        <w:autoSpaceDN/>
        <w:bidi w:val="0"/>
        <w:adjustRightInd w:val="0"/>
        <w:snapToGrid w:val="0"/>
        <w:spacing w:line="30" w:lineRule="atLeas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邮政编码：</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______________</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电话：</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____________</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传真：</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____________</w:t>
      </w:r>
    </w:p>
    <w:p>
      <w:pPr>
        <w:pStyle w:val="2"/>
        <w:keepNext w:val="0"/>
        <w:keepLines w:val="0"/>
        <w:pageBreakBefore w:val="0"/>
        <w:widowControl w:val="0"/>
        <w:kinsoku/>
        <w:wordWrap/>
        <w:overflowPunct/>
        <w:topLinePunct w:val="0"/>
        <w:autoSpaceDE/>
        <w:autoSpaceDN/>
        <w:bidi w:val="0"/>
        <w:spacing w:line="30" w:lineRule="atLeast"/>
        <w:ind w:left="0" w:leftChars="0" w:firstLine="420" w:firstLineChars="200"/>
        <w:jc w:val="left"/>
        <w:textAlignment w:val="auto"/>
        <w:rPr>
          <w:rFonts w:hint="default" w:ascii="Times New Roman" w:hAnsi="宋体" w:eastAsia="宋体" w:cs="Times New Roman"/>
          <w:b w:val="0"/>
          <w:bCs/>
          <w:color w:val="000000" w:themeColor="text1"/>
          <w:kern w:val="0"/>
          <w:sz w:val="21"/>
          <w:szCs w:val="21"/>
          <w:lang w:val="en-US" w:eastAsia="zh-CN" w:bidi="ar-SA"/>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中小企业声明函及残疾人福利性单位声明函（或省级以上监狱管理局、戒毒管理局（含新疆生产建设兵团）出具的属于监狱企业的证明文件）（可选）</w:t>
      </w:r>
    </w:p>
    <w:p>
      <w:pPr>
        <w:tabs>
          <w:tab w:val="clear" w:pos="426"/>
        </w:tabs>
        <w:ind w:left="-2" w:leftChars="-1" w:firstLine="422" w:firstLineChars="200"/>
        <w:jc w:val="center"/>
        <w:rPr>
          <w:b/>
          <w:bCs w:val="0"/>
          <w:color w:val="auto"/>
          <w:szCs w:val="21"/>
          <w:highlight w:val="none"/>
          <w:shd w:val="clear" w:color="auto" w:fill="auto"/>
        </w:rPr>
      </w:pPr>
      <w:r>
        <w:rPr>
          <w:b/>
          <w:bCs w:val="0"/>
          <w:color w:val="auto"/>
          <w:szCs w:val="21"/>
          <w:highlight w:val="none"/>
          <w:shd w:val="clear" w:color="auto" w:fill="auto"/>
        </w:rPr>
        <w:t>中小企业声明函（仅限中小企业）</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本公司郑重声明，根据《政府采购促进中小企业发展暂行办法》（财库〔</w:t>
      </w:r>
      <w:r>
        <w:rPr>
          <w:bCs/>
          <w:color w:val="auto"/>
          <w:szCs w:val="21"/>
          <w:highlight w:val="none"/>
          <w:shd w:val="clear" w:color="auto" w:fill="auto"/>
        </w:rPr>
        <w:t>2011〕181号）的规定，本公司为______（请填写：中型、小型、微型）企业。即，本公司同时满足以下条件：</w:t>
      </w:r>
    </w:p>
    <w:p>
      <w:pPr>
        <w:tabs>
          <w:tab w:val="clear" w:pos="426"/>
        </w:tabs>
        <w:ind w:left="-2" w:leftChars="-1" w:firstLine="420" w:firstLineChars="200"/>
        <w:rPr>
          <w:bCs/>
          <w:color w:val="auto"/>
          <w:szCs w:val="21"/>
          <w:highlight w:val="none"/>
          <w:shd w:val="clear" w:color="auto" w:fill="auto"/>
        </w:rPr>
      </w:pPr>
      <w:r>
        <w:rPr>
          <w:bCs/>
          <w:color w:val="auto"/>
          <w:szCs w:val="21"/>
          <w:highlight w:val="none"/>
          <w:shd w:val="clear" w:color="auto" w:fill="auto"/>
        </w:rPr>
        <w:t>1.根据《工业和信息化部、国家统计局、国家发展和改革委员会、财政部关于印发中小企业划型标准规定的通知》（工信部联企业〔2011〕300号）规定的划分标准，本公司为______（请填写：中型、小型、微型）企业。</w:t>
      </w:r>
    </w:p>
    <w:p>
      <w:pPr>
        <w:tabs>
          <w:tab w:val="clear" w:pos="426"/>
        </w:tabs>
        <w:ind w:left="-2" w:leftChars="-1" w:firstLine="420" w:firstLineChars="200"/>
        <w:rPr>
          <w:bCs/>
          <w:color w:val="auto"/>
          <w:szCs w:val="21"/>
          <w:highlight w:val="none"/>
          <w:shd w:val="clear" w:color="auto" w:fill="auto"/>
        </w:rPr>
      </w:pPr>
      <w:r>
        <w:rPr>
          <w:bCs/>
          <w:color w:val="auto"/>
          <w:szCs w:val="21"/>
          <w:highlight w:val="none"/>
          <w:shd w:val="clear" w:color="auto" w:fill="auto"/>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本公司对上述声明的真实性负责。如有虚假，将依法承担相应责任。</w:t>
      </w:r>
      <w:r>
        <w:rPr>
          <w:bCs/>
          <w:color w:val="auto"/>
          <w:szCs w:val="21"/>
          <w:highlight w:val="none"/>
          <w:shd w:val="clear" w:color="auto" w:fill="auto"/>
        </w:rPr>
        <w:t xml:space="preserve"> </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w:t>
      </w:r>
      <w:r>
        <w:rPr>
          <w:bCs/>
          <w:color w:val="auto"/>
          <w:szCs w:val="21"/>
          <w:highlight w:val="none"/>
          <w:shd w:val="clear" w:color="auto" w:fill="auto"/>
        </w:rPr>
        <w:t>2）残疾人福利性单位声明函（仅限残疾人福利性单位）</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本单位郑重声明，根据《财政部</w:t>
      </w:r>
      <w:r>
        <w:rPr>
          <w:bCs/>
          <w:color w:val="auto"/>
          <w:szCs w:val="21"/>
          <w:highlight w:val="none"/>
          <w:shd w:val="clear" w:color="auto" w:fill="auto"/>
        </w:rPr>
        <w:t xml:space="preserve">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本单位对上述声明的真实性负责。如有虚假，将依法承担相应责任。</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lang w:val="en-GB"/>
        </w:rPr>
      </w:pPr>
      <w:r>
        <w:rPr>
          <w:rFonts w:hint="eastAsia"/>
          <w:bCs/>
          <w:color w:val="auto"/>
          <w:szCs w:val="21"/>
          <w:highlight w:val="none"/>
          <w:shd w:val="clear" w:color="auto" w:fill="auto"/>
        </w:rPr>
        <w:t>（</w:t>
      </w:r>
      <w:r>
        <w:rPr>
          <w:bCs/>
          <w:color w:val="auto"/>
          <w:szCs w:val="21"/>
          <w:highlight w:val="none"/>
          <w:shd w:val="clear" w:color="auto" w:fill="auto"/>
        </w:rPr>
        <w:t>3）省级以上监狱管理局、戒毒管理局（含新疆生产建设兵团）出具的属于监狱企业的证明文件（仅限监狱企业，格式自定）</w:t>
      </w:r>
    </w:p>
    <w:p>
      <w:pPr>
        <w:tabs>
          <w:tab w:val="clear" w:pos="426"/>
        </w:tabs>
        <w:ind w:firstLine="420" w:firstLineChars="200"/>
        <w:rPr>
          <w:color w:val="auto"/>
          <w:highlight w:val="none"/>
          <w:shd w:val="clear" w:color="auto" w:fill="auto"/>
        </w:rPr>
      </w:pPr>
    </w:p>
    <w:p>
      <w:pPr>
        <w:tabs>
          <w:tab w:val="clear" w:pos="426"/>
        </w:tabs>
        <w:spacing w:line="500" w:lineRule="exact"/>
        <w:rPr>
          <w:color w:val="auto"/>
          <w:highlight w:val="none"/>
          <w:u w:val="single"/>
          <w:shd w:val="clear" w:color="auto" w:fill="auto"/>
        </w:rPr>
      </w:pPr>
      <w:r>
        <w:rPr>
          <w:rFonts w:hint="eastAsia"/>
          <w:color w:val="auto"/>
          <w:spacing w:val="4"/>
          <w:highlight w:val="none"/>
          <w:shd w:val="clear" w:color="auto" w:fill="auto"/>
        </w:rPr>
        <w:t>投标人名称（盖公章）：</w:t>
      </w:r>
      <w:r>
        <w:rPr>
          <w:rFonts w:hint="eastAsia"/>
          <w:color w:val="auto"/>
          <w:spacing w:val="4"/>
          <w:highlight w:val="none"/>
          <w:u w:val="single"/>
          <w:shd w:val="clear" w:color="auto" w:fill="auto"/>
        </w:rPr>
        <w:t xml:space="preserve">                                      </w:t>
      </w:r>
    </w:p>
    <w:p>
      <w:pPr>
        <w:tabs>
          <w:tab w:val="clear" w:pos="426"/>
        </w:tabs>
        <w:spacing w:line="440" w:lineRule="exact"/>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r>
        <w:rPr>
          <w:color w:val="auto"/>
          <w:spacing w:val="4"/>
          <w:highlight w:val="none"/>
          <w:shd w:val="clear" w:color="auto" w:fill="auto"/>
        </w:rPr>
        <w:t xml:space="preserve"> </w:t>
      </w:r>
    </w:p>
    <w:p>
      <w:pPr>
        <w:tabs>
          <w:tab w:val="clear" w:pos="426"/>
        </w:tabs>
        <w:spacing w:line="440" w:lineRule="exact"/>
        <w:rPr>
          <w:color w:val="auto"/>
          <w:spacing w:val="4"/>
          <w:highlight w:val="none"/>
          <w:u w:val="single"/>
          <w:shd w:val="clear" w:color="auto" w:fill="auto"/>
        </w:rPr>
      </w:pP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440" w:lineRule="exact"/>
        <w:rPr>
          <w:color w:val="auto"/>
          <w:spacing w:val="4"/>
          <w:highlight w:val="none"/>
          <w:u w:val="single"/>
          <w:shd w:val="clear" w:color="auto" w:fill="auto"/>
        </w:rPr>
      </w:pPr>
      <w:r>
        <w:rPr>
          <w:rFonts w:hint="eastAsia"/>
          <w:color w:val="auto"/>
          <w:spacing w:val="4"/>
          <w:highlight w:val="none"/>
          <w:shd w:val="clear" w:color="auto" w:fill="auto"/>
        </w:rPr>
        <w:t>日期：</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pStyle w:val="2"/>
        <w:rPr>
          <w:rFonts w:hint="eastAsia"/>
        </w:rPr>
        <w:sectPr>
          <w:pgSz w:w="11906" w:h="16838"/>
          <w:pgMar w:top="1134" w:right="1134" w:bottom="1134" w:left="1418" w:header="851" w:footer="992" w:gutter="0"/>
          <w:pgNumType w:fmt="decimal"/>
          <w:cols w:space="425" w:num="1"/>
          <w:titlePg/>
          <w:docGrid w:linePitch="462" w:charSpace="0"/>
        </w:sectPr>
      </w:pP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color w:val="auto"/>
          <w:sz w:val="24"/>
          <w:highlight w:val="none"/>
          <w:shd w:val="clear" w:color="auto" w:fill="auto"/>
        </w:rPr>
        <w:t>招标代理服务费承诺书</w:t>
      </w:r>
    </w:p>
    <w:p>
      <w:pPr>
        <w:adjustRightInd/>
        <w:snapToGrid/>
        <w:spacing w:before="280" w:after="290" w:line="377"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招标代理服务费承诺书</w:t>
      </w:r>
    </w:p>
    <w:p>
      <w:pPr>
        <w:tabs>
          <w:tab w:val="clear" w:pos="426"/>
        </w:tabs>
        <w:adjustRightInd/>
        <w:snapToGrid/>
        <w:rPr>
          <w:b/>
          <w:color w:val="auto"/>
          <w:highlight w:val="none"/>
          <w:shd w:val="clear" w:color="auto" w:fill="auto"/>
        </w:rPr>
      </w:pPr>
    </w:p>
    <w:p>
      <w:pPr>
        <w:tabs>
          <w:tab w:val="clear" w:pos="426"/>
        </w:tabs>
        <w:adjustRightInd/>
        <w:snapToGrid/>
        <w:rPr>
          <w:b/>
          <w:color w:val="auto"/>
          <w:highlight w:val="none"/>
          <w:shd w:val="clear" w:color="auto" w:fill="auto"/>
        </w:rPr>
      </w:pPr>
      <w:r>
        <w:rPr>
          <w:rFonts w:hint="eastAsia"/>
          <w:b/>
          <w:color w:val="auto"/>
          <w:highlight w:val="none"/>
          <w:shd w:val="clear" w:color="auto" w:fill="auto"/>
        </w:rPr>
        <w:t>深圳市深水水务咨询有限公司：</w:t>
      </w:r>
    </w:p>
    <w:p>
      <w:pPr>
        <w:tabs>
          <w:tab w:val="clear" w:pos="426"/>
        </w:tabs>
        <w:adjustRightInd/>
        <w:snapToGrid/>
        <w:ind w:firstLine="420" w:firstLineChars="200"/>
        <w:rPr>
          <w:color w:val="auto"/>
          <w:szCs w:val="21"/>
          <w:highlight w:val="none"/>
          <w:shd w:val="clear" w:color="auto" w:fill="auto"/>
        </w:rPr>
      </w:pPr>
      <w:r>
        <w:rPr>
          <w:rFonts w:hint="eastAsia"/>
          <w:color w:val="auto"/>
          <w:highlight w:val="none"/>
          <w:shd w:val="clear" w:color="auto" w:fill="auto"/>
        </w:rPr>
        <w:t>本公司</w:t>
      </w:r>
      <w:r>
        <w:rPr>
          <w:rFonts w:hint="eastAsia"/>
          <w:color w:val="auto"/>
          <w:highlight w:val="none"/>
          <w:u w:val="single"/>
          <w:shd w:val="clear" w:color="auto" w:fill="auto"/>
        </w:rPr>
        <w:t xml:space="preserve">  (投标人名称)  </w:t>
      </w:r>
      <w:r>
        <w:rPr>
          <w:rFonts w:hint="eastAsia"/>
          <w:color w:val="auto"/>
          <w:highlight w:val="none"/>
          <w:shd w:val="clear" w:color="auto" w:fill="auto"/>
        </w:rPr>
        <w:t>在参加</w:t>
      </w:r>
      <w:r>
        <w:rPr>
          <w:rFonts w:hint="eastAsia"/>
          <w:color w:val="auto"/>
          <w:highlight w:val="none"/>
          <w:u w:val="single"/>
          <w:shd w:val="clear" w:color="auto" w:fill="auto"/>
        </w:rPr>
        <w:t xml:space="preserve"> </w:t>
      </w:r>
      <w:r>
        <w:rPr>
          <w:rFonts w:hint="eastAsia"/>
          <w:b/>
          <w:color w:val="auto"/>
          <w:highlight w:val="none"/>
          <w:u w:val="single"/>
          <w:shd w:val="clear" w:color="auto" w:fill="auto"/>
        </w:rPr>
        <w:t xml:space="preserve"> </w:t>
      </w:r>
      <w:r>
        <w:rPr>
          <w:rFonts w:hint="eastAsia"/>
          <w:color w:val="auto"/>
          <w:highlight w:val="none"/>
          <w:u w:val="single"/>
          <w:shd w:val="clear" w:color="auto" w:fill="auto"/>
        </w:rPr>
        <w:t xml:space="preserve">（项目名称） </w:t>
      </w:r>
      <w:r>
        <w:rPr>
          <w:rFonts w:hint="eastAsia"/>
          <w:b/>
          <w:color w:val="auto"/>
          <w:highlight w:val="none"/>
          <w:u w:val="single"/>
          <w:shd w:val="clear" w:color="auto" w:fill="auto"/>
        </w:rPr>
        <w:t xml:space="preserve"> </w:t>
      </w:r>
      <w:r>
        <w:rPr>
          <w:rFonts w:hint="eastAsia"/>
          <w:color w:val="auto"/>
          <w:highlight w:val="none"/>
          <w:shd w:val="clear" w:color="auto" w:fill="auto"/>
        </w:rPr>
        <w:t>(项目编号：</w:t>
      </w:r>
      <w:r>
        <w:rPr>
          <w:rFonts w:hint="eastAsia"/>
          <w:color w:val="auto"/>
          <w:highlight w:val="none"/>
          <w:u w:val="single"/>
          <w:shd w:val="clear" w:color="auto" w:fill="auto"/>
        </w:rPr>
        <w:t xml:space="preserve">  （项目编号）  </w:t>
      </w:r>
      <w:r>
        <w:rPr>
          <w:rFonts w:hint="eastAsia"/>
          <w:color w:val="auto"/>
          <w:highlight w:val="none"/>
          <w:shd w:val="clear" w:color="auto" w:fill="auto"/>
        </w:rPr>
        <w:t>)的招标中如获中标</w:t>
      </w:r>
      <w:r>
        <w:rPr>
          <w:rFonts w:hint="eastAsia"/>
          <w:color w:val="auto"/>
          <w:szCs w:val="21"/>
          <w:highlight w:val="none"/>
          <w:shd w:val="clear" w:color="auto" w:fill="auto"/>
        </w:rPr>
        <w:t>，我公司保证按照招标文件</w:t>
      </w:r>
      <w:r>
        <w:rPr>
          <w:rFonts w:hint="eastAsia"/>
          <w:color w:val="auto"/>
          <w:highlight w:val="none"/>
          <w:shd w:val="clear" w:color="auto" w:fill="auto"/>
        </w:rPr>
        <w:t>的</w:t>
      </w:r>
      <w:r>
        <w:rPr>
          <w:rFonts w:hint="eastAsia"/>
          <w:color w:val="auto"/>
          <w:szCs w:val="21"/>
          <w:highlight w:val="none"/>
          <w:shd w:val="clear" w:color="auto" w:fill="auto"/>
        </w:rPr>
        <w:t>规定缴纳“招标代理服务费”后，凭领取人身份证复印件并加盖公章领取《中标通知书》。如采用电汇或银行转账，我</w:t>
      </w:r>
      <w:r>
        <w:rPr>
          <w:rFonts w:hint="eastAsia"/>
          <w:color w:val="auto"/>
          <w:highlight w:val="none"/>
          <w:shd w:val="clear" w:color="auto" w:fill="auto"/>
        </w:rPr>
        <w:t>公</w:t>
      </w:r>
      <w:r>
        <w:rPr>
          <w:rFonts w:hint="eastAsia"/>
          <w:color w:val="auto"/>
          <w:szCs w:val="21"/>
          <w:highlight w:val="none"/>
          <w:shd w:val="clear" w:color="auto" w:fill="auto"/>
        </w:rPr>
        <w:t>司将同时递交招标代理服务费缴费凭证复印件并加盖公章。</w:t>
      </w:r>
    </w:p>
    <w:p>
      <w:pPr>
        <w:tabs>
          <w:tab w:val="clear" w:pos="426"/>
        </w:tabs>
        <w:adjustRightInd/>
        <w:snapToGrid/>
        <w:ind w:firstLine="420" w:firstLineChars="200"/>
        <w:rPr>
          <w:color w:val="auto"/>
          <w:highlight w:val="none"/>
          <w:shd w:val="clear" w:color="auto" w:fill="auto"/>
        </w:rPr>
      </w:pPr>
      <w:r>
        <w:rPr>
          <w:rFonts w:hint="eastAsia"/>
          <w:color w:val="auto"/>
          <w:highlight w:val="none"/>
          <w:shd w:val="clear" w:color="auto" w:fill="auto"/>
        </w:rPr>
        <w:t>如我公司违反上款承诺，愿凭贵公司开出的相关通知，同意（采购代理机构名称）办理支付手续，扣除我公司愿承担由此引起的一切法律责任。</w:t>
      </w:r>
    </w:p>
    <w:p>
      <w:pPr>
        <w:tabs>
          <w:tab w:val="clear" w:pos="426"/>
        </w:tabs>
        <w:adjustRightInd/>
        <w:snapToGrid/>
        <w:ind w:firstLine="420" w:firstLineChars="200"/>
        <w:rPr>
          <w:color w:val="auto"/>
          <w:highlight w:val="none"/>
          <w:shd w:val="clear" w:color="auto" w:fill="auto"/>
        </w:rPr>
      </w:pPr>
      <w:r>
        <w:rPr>
          <w:rFonts w:hint="eastAsia"/>
          <w:color w:val="auto"/>
          <w:highlight w:val="none"/>
          <w:shd w:val="clear" w:color="auto" w:fill="auto"/>
        </w:rPr>
        <w:t>特此承诺!</w:t>
      </w:r>
    </w:p>
    <w:p>
      <w:pPr>
        <w:tabs>
          <w:tab w:val="clear" w:pos="426"/>
        </w:tabs>
        <w:spacing w:line="520" w:lineRule="exact"/>
        <w:ind w:left="424" w:leftChars="202"/>
        <w:rPr>
          <w:color w:val="auto"/>
          <w:highlight w:val="none"/>
          <w:u w:val="single"/>
          <w:shd w:val="clear" w:color="auto" w:fill="auto"/>
        </w:rPr>
      </w:pPr>
      <w:r>
        <w:rPr>
          <w:rFonts w:hint="eastAsia"/>
          <w:color w:val="auto"/>
          <w:highlight w:val="none"/>
          <w:shd w:val="clear" w:color="auto" w:fill="auto"/>
        </w:rPr>
        <w:t>投标人名称(盖公章):</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u w:val="single"/>
          <w:shd w:val="clear" w:color="auto" w:fill="auto"/>
        </w:rPr>
      </w:pPr>
      <w:r>
        <w:rPr>
          <w:rFonts w:hint="eastAsia"/>
          <w:color w:val="auto"/>
          <w:highlight w:val="none"/>
          <w:shd w:val="clear" w:color="auto" w:fill="auto"/>
        </w:rPr>
        <w:t>投标人地址:</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shd w:val="clear" w:color="auto" w:fill="auto"/>
        </w:rPr>
      </w:pPr>
      <w:r>
        <w:rPr>
          <w:rFonts w:hint="eastAsia"/>
          <w:color w:val="auto"/>
          <w:highlight w:val="none"/>
          <w:shd w:val="clear" w:color="auto" w:fill="auto"/>
        </w:rPr>
        <w:t>电话:</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shd w:val="clear" w:color="auto" w:fill="auto"/>
        </w:rPr>
      </w:pPr>
      <w:r>
        <w:rPr>
          <w:rFonts w:hint="eastAsia"/>
          <w:color w:val="auto"/>
          <w:highlight w:val="none"/>
          <w:shd w:val="clear" w:color="auto" w:fill="auto"/>
        </w:rPr>
        <w:t>传真:</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u w:val="single"/>
          <w:shd w:val="clear" w:color="auto" w:fill="auto"/>
        </w:rPr>
      </w:pPr>
      <w:r>
        <w:rPr>
          <w:rFonts w:hint="eastAsia"/>
          <w:color w:val="auto"/>
          <w:highlight w:val="none"/>
          <w:shd w:val="clear" w:color="auto" w:fill="auto"/>
        </w:rPr>
        <w:t>法定代表人或投标人授权代表（签名或盖章）</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u w:val="single"/>
          <w:shd w:val="clear" w:color="auto" w:fill="auto"/>
        </w:rPr>
        <w:sectPr>
          <w:pgSz w:w="11906" w:h="16838"/>
          <w:pgMar w:top="1134" w:right="1134" w:bottom="1134" w:left="1418" w:header="851" w:footer="992" w:gutter="0"/>
          <w:pgNumType w:fmt="decimal"/>
          <w:cols w:space="425" w:num="1"/>
          <w:titlePg/>
          <w:docGrid w:linePitch="462" w:charSpace="0"/>
        </w:sectPr>
      </w:pPr>
    </w:p>
    <w:p>
      <w:pPr>
        <w:pStyle w:val="2"/>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color w:val="auto"/>
                <w:highlight w:val="none"/>
                <w:shd w:val="clear" w:color="auto" w:fill="auto"/>
              </w:rPr>
            </w:pPr>
            <w:r>
              <w:rPr>
                <w:rFonts w:hint="eastAsia"/>
                <w:b/>
                <w:color w:val="auto"/>
                <w:highlight w:val="none"/>
                <w:shd w:val="clear" w:color="auto" w:fill="auto"/>
              </w:rPr>
              <w:t>发票类型</w:t>
            </w:r>
          </w:p>
        </w:tc>
        <w:tc>
          <w:tcPr>
            <w:tcW w:w="7363" w:type="dxa"/>
            <w:vAlign w:val="center"/>
          </w:tcPr>
          <w:p>
            <w:pPr>
              <w:tabs>
                <w:tab w:val="clear" w:pos="426"/>
              </w:tabs>
              <w:spacing w:line="520" w:lineRule="exact"/>
              <w:ind w:firstLine="420" w:firstLineChars="200"/>
              <w:rPr>
                <w:color w:val="auto"/>
                <w:highlight w:val="none"/>
                <w:shd w:val="clear" w:color="auto" w:fill="auto"/>
              </w:rPr>
            </w:pPr>
            <w:r>
              <w:rPr>
                <w:rFonts w:hint="eastAsia"/>
                <w:color w:val="auto"/>
                <w:highlight w:val="none"/>
                <w:shd w:val="clear" w:color="auto" w:fill="auto"/>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color w:val="auto"/>
                <w:highlight w:val="none"/>
                <w:shd w:val="clear" w:color="auto" w:fill="auto"/>
              </w:rPr>
            </w:pPr>
            <w:r>
              <w:rPr>
                <w:rFonts w:hint="eastAsia"/>
                <w:color w:val="auto"/>
                <w:highlight w:val="none"/>
                <w:shd w:val="clear" w:color="auto" w:fill="auto"/>
              </w:rPr>
              <w:t>如选择增值税专用发票，需提供以下材料，投标时密封于开标信封中：</w:t>
            </w:r>
          </w:p>
          <w:p>
            <w:pPr>
              <w:tabs>
                <w:tab w:val="clear" w:pos="426"/>
              </w:tabs>
              <w:spacing w:line="520" w:lineRule="exact"/>
              <w:rPr>
                <w:color w:val="auto"/>
                <w:highlight w:val="none"/>
                <w:shd w:val="clear" w:color="auto" w:fill="auto"/>
              </w:rPr>
            </w:pPr>
            <w:r>
              <w:rPr>
                <w:rFonts w:hint="eastAsia"/>
                <w:color w:val="auto"/>
                <w:highlight w:val="none"/>
                <w:shd w:val="clear" w:color="auto" w:fill="auto"/>
              </w:rPr>
              <w:t xml:space="preserve">1、营业执照、一般纳税人资格认定税务通知书或其他可证明具有该项资格证明文件的复印件，加盖单位公章； </w:t>
            </w:r>
          </w:p>
          <w:p>
            <w:pPr>
              <w:tabs>
                <w:tab w:val="clear" w:pos="426"/>
              </w:tabs>
              <w:spacing w:line="520" w:lineRule="exact"/>
              <w:rPr>
                <w:color w:val="auto"/>
                <w:highlight w:val="none"/>
                <w:shd w:val="clear" w:color="auto" w:fill="auto"/>
              </w:rPr>
            </w:pPr>
            <w:r>
              <w:rPr>
                <w:rFonts w:hint="eastAsia"/>
                <w:color w:val="auto"/>
                <w:highlight w:val="none"/>
                <w:shd w:val="clear" w:color="auto" w:fill="auto"/>
              </w:rPr>
              <w:t>2、客户的开票资料（单位名称、纳税人识别号、地址、电话、开户行全称及账号</w:t>
            </w:r>
            <w:r>
              <w:rPr>
                <w:color w:val="auto"/>
                <w:highlight w:val="none"/>
                <w:shd w:val="clear" w:color="auto" w:fill="auto"/>
              </w:rPr>
              <w:t>）</w:t>
            </w:r>
            <w:r>
              <w:rPr>
                <w:rFonts w:hint="eastAsia"/>
                <w:color w:val="auto"/>
                <w:highlight w:val="none"/>
                <w:shd w:val="clear" w:color="auto" w:fill="auto"/>
              </w:rPr>
              <w:t>，加盖单位公章。</w:t>
            </w:r>
          </w:p>
        </w:tc>
      </w:tr>
    </w:tbl>
    <w:p>
      <w:pPr>
        <w:tabs>
          <w:tab w:val="clear" w:pos="426"/>
        </w:tabs>
        <w:rPr>
          <w:b/>
          <w:color w:val="auto"/>
          <w:szCs w:val="21"/>
          <w:highlight w:val="none"/>
          <w:shd w:val="clear" w:color="auto" w:fill="auto"/>
        </w:rPr>
      </w:pPr>
      <w:r>
        <w:rPr>
          <w:rFonts w:hint="eastAsia"/>
          <w:b/>
          <w:color w:val="auto"/>
          <w:sz w:val="84"/>
          <w:szCs w:val="84"/>
          <w:highlight w:val="none"/>
          <w:u w:val="dashedHeavy"/>
          <w:shd w:val="clear" w:color="auto" w:fill="auto"/>
        </w:rPr>
        <w:t xml:space="preserve">                      </w:t>
      </w:r>
      <w:r>
        <w:rPr>
          <w:rFonts w:hint="eastAsia"/>
          <w:b/>
          <w:color w:val="auto"/>
          <w:szCs w:val="21"/>
          <w:highlight w:val="none"/>
          <w:shd w:val="clear" w:color="auto" w:fill="auto"/>
        </w:rPr>
        <w:t xml:space="preserve"> </w:t>
      </w:r>
    </w:p>
    <w:p>
      <w:pPr>
        <w:tabs>
          <w:tab w:val="clear" w:pos="426"/>
        </w:tabs>
        <w:rPr>
          <w:b/>
          <w:color w:val="auto"/>
          <w:szCs w:val="21"/>
          <w:highlight w:val="none"/>
          <w:shd w:val="clear" w:color="auto" w:fill="auto"/>
        </w:rPr>
      </w:pPr>
    </w:p>
    <w:p>
      <w:pPr>
        <w:tabs>
          <w:tab w:val="clear" w:pos="426"/>
        </w:tabs>
        <w:jc w:val="center"/>
        <w:rPr>
          <w:b/>
          <w:color w:val="auto"/>
          <w:szCs w:val="21"/>
          <w:highlight w:val="none"/>
          <w:shd w:val="clear" w:color="auto" w:fill="auto"/>
        </w:rPr>
      </w:pPr>
      <w:r>
        <w:rPr>
          <w:rFonts w:hint="eastAsia"/>
          <w:b/>
          <w:color w:val="auto"/>
          <w:szCs w:val="21"/>
          <w:highlight w:val="none"/>
          <w:shd w:val="clear" w:color="auto" w:fill="auto"/>
        </w:rPr>
        <w:t>附：缴纳</w:t>
      </w:r>
      <w:r>
        <w:rPr>
          <w:b/>
          <w:color w:val="auto"/>
          <w:szCs w:val="21"/>
          <w:highlight w:val="none"/>
          <w:shd w:val="clear" w:color="auto" w:fill="auto"/>
        </w:rPr>
        <w:t>招标代理服务费</w:t>
      </w:r>
      <w:r>
        <w:rPr>
          <w:rFonts w:hint="eastAsia"/>
          <w:b/>
          <w:color w:val="auto"/>
          <w:szCs w:val="21"/>
          <w:highlight w:val="none"/>
          <w:shd w:val="clear" w:color="auto" w:fill="auto"/>
        </w:rPr>
        <w:t>账号</w:t>
      </w:r>
      <w:r>
        <w:rPr>
          <w:b/>
          <w:color w:val="auto"/>
          <w:szCs w:val="21"/>
          <w:highlight w:val="none"/>
          <w:shd w:val="clear" w:color="auto" w:fill="auto"/>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shd w:val="clear" w:color="auto" w:fill="auto"/>
              </w:rPr>
            </w:pPr>
            <w:r>
              <w:rPr>
                <w:b/>
                <w:color w:val="auto"/>
                <w:szCs w:val="21"/>
                <w:highlight w:val="none"/>
                <w:shd w:val="clear" w:color="auto" w:fill="auto"/>
              </w:rPr>
              <w:t>收款人名称</w:t>
            </w:r>
          </w:p>
        </w:tc>
        <w:tc>
          <w:tcPr>
            <w:tcW w:w="5579" w:type="dxa"/>
            <w:vAlign w:val="center"/>
          </w:tcPr>
          <w:p>
            <w:pPr>
              <w:tabs>
                <w:tab w:val="clear" w:pos="426"/>
              </w:tabs>
              <w:spacing w:line="240" w:lineRule="auto"/>
              <w:jc w:val="center"/>
              <w:rPr>
                <w:color w:val="auto"/>
                <w:szCs w:val="21"/>
                <w:highlight w:val="none"/>
                <w:shd w:val="clear" w:color="auto" w:fill="auto"/>
              </w:rPr>
            </w:pPr>
            <w:r>
              <w:rPr>
                <w:rFonts w:hint="eastAsia"/>
                <w:color w:val="auto"/>
                <w:szCs w:val="21"/>
                <w:highlight w:val="none"/>
                <w:shd w:val="clear" w:color="auto" w:fill="auto"/>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shd w:val="clear" w:color="auto" w:fill="auto"/>
              </w:rPr>
            </w:pPr>
            <w:r>
              <w:rPr>
                <w:b/>
                <w:color w:val="auto"/>
                <w:szCs w:val="21"/>
                <w:highlight w:val="none"/>
                <w:shd w:val="clear" w:color="auto" w:fill="auto"/>
              </w:rPr>
              <w:t>开户银行</w:t>
            </w:r>
          </w:p>
        </w:tc>
        <w:tc>
          <w:tcPr>
            <w:tcW w:w="5579" w:type="dxa"/>
            <w:vAlign w:val="center"/>
          </w:tcPr>
          <w:p>
            <w:pPr>
              <w:tabs>
                <w:tab w:val="clear" w:pos="426"/>
              </w:tabs>
              <w:spacing w:line="240" w:lineRule="auto"/>
              <w:jc w:val="center"/>
              <w:rPr>
                <w:b/>
                <w:color w:val="auto"/>
                <w:szCs w:val="21"/>
                <w:highlight w:val="none"/>
                <w:shd w:val="clear" w:color="auto" w:fill="auto"/>
              </w:rPr>
            </w:pPr>
            <w:r>
              <w:rPr>
                <w:rFonts w:hint="eastAsia"/>
                <w:color w:val="auto"/>
                <w:highlight w:val="none"/>
                <w:shd w:val="clear" w:color="auto" w:fill="auto"/>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账</w:t>
            </w:r>
            <w:r>
              <w:rPr>
                <w:b/>
                <w:color w:val="auto"/>
                <w:szCs w:val="21"/>
                <w:highlight w:val="none"/>
                <w:shd w:val="clear" w:color="auto" w:fill="auto"/>
              </w:rPr>
              <w:t xml:space="preserve">    号</w:t>
            </w:r>
          </w:p>
        </w:tc>
        <w:tc>
          <w:tcPr>
            <w:tcW w:w="5579" w:type="dxa"/>
            <w:vAlign w:val="center"/>
          </w:tcPr>
          <w:p>
            <w:pPr>
              <w:tabs>
                <w:tab w:val="clear" w:pos="426"/>
              </w:tabs>
              <w:spacing w:line="240" w:lineRule="auto"/>
              <w:jc w:val="center"/>
              <w:rPr>
                <w:b/>
                <w:color w:val="auto"/>
                <w:szCs w:val="21"/>
                <w:highlight w:val="none"/>
                <w:shd w:val="clear" w:color="auto" w:fill="auto"/>
              </w:rPr>
            </w:pPr>
            <w:r>
              <w:rPr>
                <w:rFonts w:hint="eastAsia"/>
                <w:color w:val="auto"/>
                <w:highlight w:val="none"/>
                <w:shd w:val="clear" w:color="auto" w:fill="auto"/>
              </w:rPr>
              <w:t>4000021219200366130</w:t>
            </w:r>
          </w:p>
        </w:tc>
      </w:tr>
    </w:tbl>
    <w:p>
      <w:pPr>
        <w:pStyle w:val="2"/>
        <w:rPr>
          <w:rFonts w:hint="eastAsia"/>
        </w:rPr>
      </w:pPr>
    </w:p>
    <w:p>
      <w:pPr>
        <w:numPr>
          <w:ilvl w:val="0"/>
          <w:numId w:val="28"/>
        </w:numPr>
        <w:adjustRightInd/>
        <w:snapToGrid/>
        <w:spacing w:before="280" w:after="290" w:line="377" w:lineRule="auto"/>
        <w:outlineLvl w:val="2"/>
        <w:rPr>
          <w:rFonts w:hint="eastAsia"/>
          <w:b/>
          <w:color w:val="auto"/>
          <w:sz w:val="24"/>
          <w:highlight w:val="none"/>
          <w:shd w:val="clear" w:color="auto" w:fill="auto"/>
        </w:rPr>
        <w:sectPr>
          <w:pgSz w:w="11906" w:h="16838"/>
          <w:pgMar w:top="1134" w:right="1134" w:bottom="1134" w:left="1418" w:header="851" w:footer="992" w:gutter="0"/>
          <w:pgNumType w:fmt="decimal"/>
          <w:cols w:space="425" w:num="1"/>
          <w:titlePg/>
          <w:docGrid w:linePitch="462" w:charSpace="0"/>
        </w:sectPr>
      </w:pPr>
    </w:p>
    <w:p>
      <w:pPr>
        <w:numPr>
          <w:ilvl w:val="0"/>
          <w:numId w:val="28"/>
        </w:numPr>
        <w:adjustRightInd/>
        <w:snapToGrid/>
        <w:spacing w:before="280" w:after="290" w:line="377" w:lineRule="auto"/>
        <w:outlineLvl w:val="2"/>
        <w:rPr>
          <w:rFonts w:hint="eastAsia"/>
          <w:b/>
          <w:color w:val="auto"/>
          <w:sz w:val="24"/>
          <w:highlight w:val="none"/>
          <w:shd w:val="clear" w:color="auto" w:fill="auto"/>
        </w:rPr>
      </w:pPr>
      <w:r>
        <w:rPr>
          <w:rFonts w:hint="eastAsia"/>
          <w:b/>
          <w:bCs/>
          <w:color w:val="auto"/>
          <w:sz w:val="24"/>
          <w:highlight w:val="none"/>
          <w:shd w:val="clear" w:color="auto" w:fill="auto"/>
        </w:rPr>
        <w:t>招标文件要求的其他内容及投标人认为需要加以说明的其他内容</w:t>
      </w:r>
    </w:p>
    <w:p>
      <w:pPr>
        <w:tabs>
          <w:tab w:val="clear" w:pos="426"/>
        </w:tabs>
        <w:adjustRightInd/>
        <w:snapToGrid/>
        <w:ind w:firstLine="420" w:firstLineChars="200"/>
        <w:rPr>
          <w:color w:val="auto"/>
          <w:highlight w:val="none"/>
          <w:shd w:val="clear" w:color="auto" w:fill="auto"/>
        </w:rPr>
      </w:pPr>
      <w:r>
        <w:rPr>
          <w:rFonts w:hint="eastAsia"/>
          <w:color w:val="auto"/>
          <w:highlight w:val="none"/>
          <w:shd w:val="clear" w:color="auto" w:fill="auto"/>
        </w:rPr>
        <w:t>提供招标公告和评标信息中关于投标人的其他相关证明文件（如评标信息中涉及的各种证件（身份证除外）、设备发票等，未涉及的可以不提供）。</w:t>
      </w:r>
    </w:p>
    <w:p>
      <w:pPr>
        <w:pStyle w:val="2"/>
        <w:rPr>
          <w:rFonts w:hint="eastAsia"/>
        </w:rPr>
      </w:pPr>
    </w:p>
    <w:p>
      <w:pPr>
        <w:pStyle w:val="2"/>
        <w:rPr>
          <w:rFonts w:hint="eastAsia"/>
        </w:rPr>
      </w:pPr>
    </w:p>
    <w:p>
      <w:pPr>
        <w:tabs>
          <w:tab w:val="clear" w:pos="426"/>
        </w:tabs>
        <w:spacing w:line="400" w:lineRule="exact"/>
        <w:rPr>
          <w:bCs/>
          <w:color w:val="auto"/>
          <w:highlight w:val="none"/>
          <w:shd w:val="clear" w:color="auto" w:fill="auto"/>
        </w:rPr>
      </w:pPr>
    </w:p>
    <w:p>
      <w:pPr>
        <w:tabs>
          <w:tab w:val="clear" w:pos="426"/>
        </w:tabs>
        <w:spacing w:line="440" w:lineRule="exact"/>
        <w:rPr>
          <w:bCs/>
          <w:color w:val="auto"/>
          <w:highlight w:val="none"/>
          <w:shd w:val="clear" w:color="auto" w:fill="auto"/>
        </w:rPr>
      </w:pPr>
    </w:p>
    <w:p>
      <w:pPr>
        <w:numPr>
          <w:ilvl w:val="0"/>
          <w:numId w:val="28"/>
        </w:numPr>
        <w:adjustRightInd/>
        <w:snapToGrid/>
        <w:spacing w:before="280" w:after="290" w:line="377" w:lineRule="auto"/>
        <w:outlineLvl w:val="2"/>
        <w:rPr>
          <w:b/>
          <w:color w:val="auto"/>
          <w:sz w:val="24"/>
          <w:highlight w:val="none"/>
          <w:shd w:val="clear" w:color="auto" w:fill="auto"/>
        </w:rPr>
        <w:sectPr>
          <w:pgSz w:w="11906" w:h="16838"/>
          <w:pgMar w:top="1134" w:right="1134" w:bottom="1134" w:left="1418" w:header="851" w:footer="992" w:gutter="0"/>
          <w:pgNumType w:fmt="decimal"/>
          <w:cols w:space="425" w:num="1"/>
          <w:titlePg/>
          <w:docGrid w:linePitch="462" w:charSpace="0"/>
        </w:sectPr>
      </w:pPr>
      <w:bookmarkStart w:id="83" w:name="_Hlk535582601"/>
    </w:p>
    <w:bookmarkEnd w:id="78"/>
    <w:bookmarkEnd w:id="79"/>
    <w:bookmarkEnd w:id="80"/>
    <w:bookmarkEnd w:id="81"/>
    <w:bookmarkEnd w:id="83"/>
    <w:p>
      <w:pPr>
        <w:pStyle w:val="42"/>
        <w:tabs>
          <w:tab w:val="clear" w:pos="426"/>
        </w:tabs>
        <w:rPr>
          <w:color w:val="auto"/>
          <w:highlight w:val="none"/>
          <w:shd w:val="clear" w:color="auto" w:fill="auto"/>
        </w:rPr>
      </w:pPr>
      <w:bookmarkStart w:id="84" w:name="_Toc398220528"/>
      <w:bookmarkStart w:id="85" w:name="_Toc3628663"/>
      <w:bookmarkStart w:id="86" w:name="_Toc23504"/>
      <w:r>
        <w:rPr>
          <w:rFonts w:hint="eastAsia"/>
          <w:color w:val="auto"/>
          <w:highlight w:val="none"/>
          <w:shd w:val="clear" w:color="auto" w:fill="auto"/>
        </w:rPr>
        <w:t>第二册  通用条款</w:t>
      </w:r>
      <w:bookmarkEnd w:id="84"/>
      <w:bookmarkEnd w:id="85"/>
      <w:bookmarkEnd w:id="86"/>
    </w:p>
    <w:p>
      <w:pPr>
        <w:jc w:val="center"/>
        <w:rPr>
          <w:b/>
          <w:color w:val="auto"/>
          <w:highlight w:val="none"/>
          <w:shd w:val="clear" w:color="auto" w:fill="auto"/>
        </w:rPr>
      </w:pPr>
      <w:bookmarkStart w:id="87" w:name="_Toc432592821"/>
      <w:bookmarkStart w:id="88" w:name="_Toc398220529"/>
      <w:r>
        <w:rPr>
          <w:rFonts w:hint="eastAsia"/>
          <w:b/>
          <w:color w:val="auto"/>
          <w:highlight w:val="none"/>
          <w:shd w:val="clear" w:color="auto" w:fill="auto"/>
        </w:rPr>
        <w:t>（投标人须知）</w:t>
      </w:r>
    </w:p>
    <w:p>
      <w:pPr>
        <w:pStyle w:val="6"/>
        <w:rPr>
          <w:color w:val="auto"/>
          <w:highlight w:val="none"/>
          <w:shd w:val="clear" w:color="auto" w:fill="auto"/>
        </w:rPr>
      </w:pPr>
      <w:bookmarkStart w:id="89" w:name="_Toc8828"/>
      <w:bookmarkStart w:id="90" w:name="_Toc3628664"/>
      <w:r>
        <w:rPr>
          <w:rFonts w:hint="eastAsia"/>
          <w:color w:val="auto"/>
          <w:highlight w:val="none"/>
          <w:shd w:val="clear" w:color="auto" w:fill="auto"/>
        </w:rPr>
        <w:t>第一章 总则</w:t>
      </w:r>
      <w:bookmarkEnd w:id="87"/>
      <w:bookmarkEnd w:id="88"/>
      <w:bookmarkEnd w:id="89"/>
      <w:bookmarkEnd w:id="90"/>
    </w:p>
    <w:p>
      <w:pPr>
        <w:tabs>
          <w:tab w:val="clear" w:pos="426"/>
        </w:tabs>
        <w:rPr>
          <w:color w:val="auto"/>
          <w:highlight w:val="none"/>
          <w:shd w:val="clear" w:color="auto" w:fill="auto"/>
        </w:rPr>
      </w:pPr>
      <w:r>
        <w:rPr>
          <w:rFonts w:hint="eastAsia"/>
          <w:color w:val="auto"/>
          <w:highlight w:val="none"/>
          <w:shd w:val="clear" w:color="auto" w:fill="auto"/>
        </w:rPr>
        <w:t>1.通用条款说明</w:t>
      </w:r>
    </w:p>
    <w:p>
      <w:pPr>
        <w:tabs>
          <w:tab w:val="clear" w:pos="426"/>
        </w:tabs>
        <w:rPr>
          <w:color w:val="auto"/>
          <w:highlight w:val="none"/>
          <w:shd w:val="clear" w:color="auto" w:fill="auto"/>
        </w:rPr>
      </w:pPr>
      <w:r>
        <w:rPr>
          <w:rFonts w:hint="eastAsia"/>
          <w:color w:val="auto"/>
          <w:highlight w:val="none"/>
          <w:shd w:val="clear" w:color="auto" w:fill="auto"/>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color w:val="auto"/>
          <w:highlight w:val="none"/>
          <w:shd w:val="clear" w:color="auto" w:fill="auto"/>
        </w:rPr>
      </w:pPr>
      <w:bookmarkStart w:id="91" w:name="_Toc60631622"/>
      <w:bookmarkStart w:id="92" w:name="_Toc60560627"/>
      <w:bookmarkStart w:id="93" w:name="_Toc73517641"/>
      <w:bookmarkStart w:id="94" w:name="_Toc73521637"/>
      <w:bookmarkStart w:id="95" w:name="_Toc100052366"/>
      <w:bookmarkStart w:id="96" w:name="_Toc73518119"/>
      <w:bookmarkStart w:id="97" w:name="_Toc73521549"/>
      <w:bookmarkStart w:id="98" w:name="_Toc73518121"/>
      <w:bookmarkStart w:id="99" w:name="_Toc73521551"/>
      <w:bookmarkStart w:id="100" w:name="_Toc60560629"/>
      <w:bookmarkStart w:id="101" w:name="_Toc100052368"/>
      <w:bookmarkStart w:id="102" w:name="_Toc60631624"/>
      <w:bookmarkStart w:id="103" w:name="_Toc73521639"/>
      <w:bookmarkStart w:id="104" w:name="_Toc73517643"/>
      <w:r>
        <w:rPr>
          <w:rFonts w:hint="eastAsia"/>
          <w:color w:val="auto"/>
          <w:highlight w:val="none"/>
          <w:shd w:val="clear" w:color="auto" w:fill="auto"/>
        </w:rPr>
        <w:t>2</w:t>
      </w:r>
      <w:r>
        <w:rPr>
          <w:color w:val="auto"/>
          <w:highlight w:val="none"/>
          <w:shd w:val="clear" w:color="auto" w:fill="auto"/>
        </w:rPr>
        <w:t>．</w:t>
      </w:r>
      <w:r>
        <w:rPr>
          <w:rFonts w:hint="eastAsia"/>
          <w:color w:val="auto"/>
          <w:highlight w:val="none"/>
          <w:shd w:val="clear" w:color="auto" w:fill="auto"/>
        </w:rPr>
        <w:t>招标说明</w:t>
      </w:r>
      <w:bookmarkEnd w:id="91"/>
      <w:bookmarkEnd w:id="92"/>
      <w:bookmarkEnd w:id="93"/>
      <w:bookmarkEnd w:id="94"/>
      <w:bookmarkEnd w:id="95"/>
      <w:bookmarkEnd w:id="96"/>
      <w:bookmarkEnd w:id="97"/>
    </w:p>
    <w:p>
      <w:pPr>
        <w:tabs>
          <w:tab w:val="clear" w:pos="426"/>
        </w:tabs>
        <w:rPr>
          <w:color w:val="auto"/>
          <w:szCs w:val="21"/>
          <w:highlight w:val="none"/>
          <w:shd w:val="clear" w:color="auto" w:fill="auto"/>
        </w:rPr>
      </w:pPr>
      <w:r>
        <w:rPr>
          <w:rFonts w:hint="eastAsia"/>
          <w:color w:val="auto"/>
          <w:highlight w:val="none"/>
          <w:shd w:val="clear" w:color="auto" w:fill="auto"/>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auto"/>
          <w:szCs w:val="21"/>
          <w:highlight w:val="none"/>
          <w:shd w:val="clear" w:color="auto" w:fill="auto"/>
        </w:rPr>
        <w:t>本招标文件适用于采购公告中所述项目的政府采购。</w:t>
      </w:r>
    </w:p>
    <w:p>
      <w:pPr>
        <w:tabs>
          <w:tab w:val="clear" w:pos="426"/>
        </w:tabs>
        <w:rPr>
          <w:color w:val="auto"/>
          <w:szCs w:val="21"/>
          <w:highlight w:val="none"/>
          <w:shd w:val="clear" w:color="auto" w:fill="auto"/>
        </w:rPr>
      </w:pPr>
      <w:r>
        <w:rPr>
          <w:rFonts w:hint="eastAsia"/>
          <w:color w:val="auto"/>
          <w:szCs w:val="21"/>
          <w:highlight w:val="none"/>
          <w:shd w:val="clear" w:color="auto" w:fill="auto"/>
        </w:rPr>
        <w:t>本招标文件的解释权归属深圳市深水水务咨询有限公司。</w:t>
      </w:r>
    </w:p>
    <w:p>
      <w:pPr>
        <w:tabs>
          <w:tab w:val="clear" w:pos="426"/>
        </w:tabs>
        <w:rPr>
          <w:color w:val="auto"/>
          <w:highlight w:val="none"/>
          <w:shd w:val="clear" w:color="auto" w:fill="auto"/>
        </w:rPr>
      </w:pPr>
      <w:bookmarkStart w:id="105" w:name="_Toc73517642"/>
      <w:bookmarkStart w:id="106" w:name="_Toc73521550"/>
      <w:bookmarkStart w:id="107" w:name="_Toc60560628"/>
      <w:bookmarkStart w:id="108" w:name="_Toc60631623"/>
      <w:bookmarkStart w:id="109" w:name="_Toc100052367"/>
      <w:bookmarkStart w:id="110" w:name="_Toc73521638"/>
      <w:bookmarkStart w:id="111" w:name="_Toc73518120"/>
      <w:r>
        <w:rPr>
          <w:rFonts w:hint="eastAsia"/>
          <w:color w:val="auto"/>
          <w:highlight w:val="none"/>
          <w:shd w:val="clear" w:color="auto" w:fill="auto"/>
        </w:rPr>
        <w:t>3．定义</w:t>
      </w:r>
      <w:bookmarkEnd w:id="105"/>
      <w:bookmarkEnd w:id="106"/>
      <w:bookmarkEnd w:id="107"/>
      <w:bookmarkEnd w:id="108"/>
      <w:bookmarkEnd w:id="109"/>
      <w:bookmarkEnd w:id="110"/>
      <w:bookmarkEnd w:id="111"/>
    </w:p>
    <w:p>
      <w:pPr>
        <w:tabs>
          <w:tab w:val="clear" w:pos="426"/>
        </w:tabs>
        <w:rPr>
          <w:color w:val="auto"/>
          <w:highlight w:val="none"/>
          <w:shd w:val="clear" w:color="auto" w:fill="auto"/>
        </w:rPr>
      </w:pPr>
      <w:r>
        <w:rPr>
          <w:color w:val="auto"/>
          <w:highlight w:val="none"/>
          <w:shd w:val="clear" w:color="auto" w:fill="auto"/>
        </w:rPr>
        <w:t>招标文件中下列术语应解释为：</w:t>
      </w:r>
    </w:p>
    <w:p>
      <w:pPr>
        <w:tabs>
          <w:tab w:val="clear" w:pos="426"/>
        </w:tabs>
        <w:rPr>
          <w:color w:val="auto"/>
          <w:highlight w:val="none"/>
          <w:shd w:val="clear" w:color="auto" w:fill="auto"/>
        </w:rPr>
      </w:pPr>
      <w:r>
        <w:rPr>
          <w:rFonts w:hint="eastAsia"/>
          <w:color w:val="auto"/>
          <w:szCs w:val="21"/>
          <w:highlight w:val="none"/>
          <w:shd w:val="clear" w:color="auto" w:fill="auto"/>
        </w:rPr>
        <w:t>3.</w:t>
      </w:r>
      <w:r>
        <w:rPr>
          <w:color w:val="auto"/>
          <w:szCs w:val="21"/>
          <w:highlight w:val="none"/>
          <w:shd w:val="clear" w:color="auto" w:fill="auto"/>
        </w:rPr>
        <w:t>1</w:t>
      </w:r>
      <w:r>
        <w:rPr>
          <w:rFonts w:hint="eastAsia"/>
          <w:color w:val="auto"/>
          <w:szCs w:val="21"/>
          <w:highlight w:val="none"/>
          <w:shd w:val="clear" w:color="auto" w:fill="auto"/>
        </w:rPr>
        <w:t>“采购代理机构”</w:t>
      </w:r>
      <w:r>
        <w:rPr>
          <w:rFonts w:hint="eastAsia"/>
          <w:color w:val="auto"/>
          <w:highlight w:val="none"/>
          <w:shd w:val="clear" w:color="auto" w:fill="auto"/>
        </w:rPr>
        <w:t>系指政府设立的负责本级财政性资金的集中采购和招标组织工作的专门机构；本项目</w:t>
      </w:r>
      <w:r>
        <w:rPr>
          <w:color w:val="auto"/>
          <w:highlight w:val="none"/>
          <w:shd w:val="clear" w:color="auto" w:fill="auto"/>
        </w:rPr>
        <w:t>系指</w:t>
      </w:r>
      <w:r>
        <w:rPr>
          <w:rFonts w:hint="eastAsia"/>
          <w:color w:val="auto"/>
          <w:highlight w:val="none"/>
          <w:shd w:val="clear" w:color="auto" w:fill="auto"/>
        </w:rPr>
        <w:t>深圳市深水水务咨询有限公司；</w:t>
      </w:r>
    </w:p>
    <w:p>
      <w:pPr>
        <w:tabs>
          <w:tab w:val="clear" w:pos="426"/>
        </w:tabs>
        <w:rPr>
          <w:color w:val="auto"/>
          <w:highlight w:val="none"/>
          <w:shd w:val="clear" w:color="auto" w:fill="auto"/>
        </w:rPr>
      </w:pPr>
      <w:r>
        <w:rPr>
          <w:rFonts w:hint="eastAsia"/>
          <w:color w:val="auto"/>
          <w:highlight w:val="none"/>
          <w:shd w:val="clear" w:color="auto" w:fill="auto"/>
        </w:rPr>
        <w:t xml:space="preserve">3.2“采购人”或“采购单位”：系指利用财政性资金依法进行政府采购的国家机关、事业单位、团体组织； </w:t>
      </w:r>
    </w:p>
    <w:p>
      <w:pPr>
        <w:tabs>
          <w:tab w:val="clear" w:pos="426"/>
        </w:tabs>
        <w:rPr>
          <w:color w:val="auto"/>
          <w:highlight w:val="none"/>
          <w:shd w:val="clear" w:color="auto" w:fill="auto"/>
        </w:rPr>
      </w:pPr>
      <w:r>
        <w:rPr>
          <w:rFonts w:hint="eastAsia"/>
          <w:color w:val="auto"/>
          <w:highlight w:val="none"/>
          <w:shd w:val="clear" w:color="auto" w:fill="auto"/>
        </w:rPr>
        <w:t>3.3“投标人”或“投标方”，即供应商，是指参加投标竞争并愿意按照招标文件要求向采购人提供货物、工程或者服务的依法成立的法人、其他组织或者自然人；</w:t>
      </w:r>
    </w:p>
    <w:p>
      <w:pPr>
        <w:tabs>
          <w:tab w:val="clear" w:pos="426"/>
        </w:tabs>
        <w:rPr>
          <w:color w:val="auto"/>
          <w:highlight w:val="none"/>
          <w:shd w:val="clear" w:color="auto" w:fill="auto"/>
        </w:rPr>
      </w:pPr>
      <w:r>
        <w:rPr>
          <w:rFonts w:hint="eastAsia"/>
          <w:color w:val="auto"/>
          <w:highlight w:val="none"/>
          <w:shd w:val="clear" w:color="auto" w:fill="auto"/>
        </w:rPr>
        <w:t>3.4“评标委员会”和“谈判小组”是依据《深圳经济特区政府采购条例》有关规定组建的专门负责本次招标其评标（谈判）工作的临时性机构；</w:t>
      </w:r>
    </w:p>
    <w:p>
      <w:pPr>
        <w:tabs>
          <w:tab w:val="clear" w:pos="426"/>
        </w:tabs>
        <w:rPr>
          <w:color w:val="auto"/>
          <w:highlight w:val="none"/>
          <w:shd w:val="clear" w:color="auto" w:fill="auto"/>
        </w:rPr>
      </w:pPr>
      <w:r>
        <w:rPr>
          <w:rFonts w:hint="eastAsia"/>
          <w:color w:val="auto"/>
          <w:highlight w:val="none"/>
          <w:shd w:val="clear" w:color="auto" w:fill="auto"/>
        </w:rPr>
        <w:t>3.5“日期”</w:t>
      </w:r>
      <w:r>
        <w:rPr>
          <w:color w:val="auto"/>
          <w:highlight w:val="none"/>
          <w:shd w:val="clear" w:color="auto" w:fill="auto"/>
        </w:rPr>
        <w:t>指</w:t>
      </w:r>
      <w:r>
        <w:rPr>
          <w:rFonts w:hint="eastAsia"/>
          <w:color w:val="auto"/>
          <w:highlight w:val="none"/>
          <w:shd w:val="clear" w:color="auto" w:fill="auto"/>
        </w:rPr>
        <w:t>公历日；</w:t>
      </w:r>
    </w:p>
    <w:p>
      <w:pPr>
        <w:tabs>
          <w:tab w:val="clear" w:pos="426"/>
        </w:tabs>
        <w:rPr>
          <w:color w:val="auto"/>
          <w:highlight w:val="none"/>
          <w:shd w:val="clear" w:color="auto" w:fill="auto"/>
        </w:rPr>
      </w:pPr>
      <w:r>
        <w:rPr>
          <w:rFonts w:hint="eastAsia"/>
          <w:color w:val="auto"/>
          <w:highlight w:val="none"/>
          <w:shd w:val="clear" w:color="auto" w:fill="auto"/>
        </w:rPr>
        <w:t>3.6“合同”指由本次招标所产生的合同或合约文件；</w:t>
      </w:r>
    </w:p>
    <w:p>
      <w:pPr>
        <w:tabs>
          <w:tab w:val="clear" w:pos="426"/>
        </w:tabs>
        <w:rPr>
          <w:color w:val="auto"/>
          <w:highlight w:val="none"/>
          <w:shd w:val="clear" w:color="auto" w:fill="auto"/>
        </w:rPr>
      </w:pPr>
      <w:r>
        <w:rPr>
          <w:rFonts w:hint="eastAsia"/>
          <w:color w:val="auto"/>
          <w:highlight w:val="none"/>
          <w:shd w:val="clear" w:color="auto" w:fill="auto"/>
        </w:rPr>
        <w:t>3.7招标文件中的标题或题名仅起引导作用，而不应视为对招标文件内容的理解和解释。</w:t>
      </w:r>
    </w:p>
    <w:p>
      <w:pPr>
        <w:tabs>
          <w:tab w:val="clear" w:pos="426"/>
        </w:tabs>
        <w:rPr>
          <w:color w:val="auto"/>
          <w:highlight w:val="none"/>
          <w:shd w:val="clear" w:color="auto" w:fill="auto"/>
        </w:rPr>
      </w:pPr>
      <w:r>
        <w:rPr>
          <w:rFonts w:hint="eastAsia"/>
          <w:color w:val="auto"/>
          <w:highlight w:val="none"/>
          <w:shd w:val="clear" w:color="auto" w:fill="auto"/>
        </w:rPr>
        <w:t>4. 政府采购供应商责任</w:t>
      </w:r>
    </w:p>
    <w:p>
      <w:pPr>
        <w:tabs>
          <w:tab w:val="clear" w:pos="426"/>
        </w:tabs>
        <w:rPr>
          <w:color w:val="auto"/>
          <w:highlight w:val="none"/>
          <w:shd w:val="clear" w:color="auto" w:fill="auto"/>
        </w:rPr>
      </w:pPr>
      <w:r>
        <w:rPr>
          <w:rFonts w:hint="eastAsia"/>
          <w:color w:val="auto"/>
          <w:highlight w:val="none"/>
          <w:shd w:val="clear" w:color="auto" w:fill="auto"/>
        </w:rPr>
        <w:t>4.1欢迎诚信、有实力和有社会责任心的供应商参与政府采购事业。</w:t>
      </w:r>
    </w:p>
    <w:p>
      <w:pPr>
        <w:tabs>
          <w:tab w:val="clear" w:pos="426"/>
        </w:tabs>
        <w:rPr>
          <w:color w:val="auto"/>
          <w:highlight w:val="none"/>
          <w:shd w:val="clear" w:color="auto" w:fill="auto"/>
        </w:rPr>
      </w:pPr>
      <w:r>
        <w:rPr>
          <w:rFonts w:hint="eastAsia"/>
          <w:color w:val="auto"/>
          <w:highlight w:val="none"/>
          <w:shd w:val="clear" w:color="auto" w:fill="auto"/>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rPr>
          <w:color w:val="auto"/>
          <w:highlight w:val="none"/>
          <w:shd w:val="clear" w:color="auto" w:fill="auto"/>
        </w:rPr>
      </w:pPr>
      <w:r>
        <w:rPr>
          <w:rFonts w:hint="eastAsia"/>
          <w:color w:val="auto"/>
          <w:highlight w:val="none"/>
          <w:shd w:val="clear" w:color="auto" w:fill="auto"/>
        </w:rPr>
        <w:t>5．</w:t>
      </w:r>
      <w:bookmarkEnd w:id="98"/>
      <w:bookmarkEnd w:id="99"/>
      <w:bookmarkEnd w:id="100"/>
      <w:bookmarkEnd w:id="101"/>
      <w:bookmarkEnd w:id="102"/>
      <w:bookmarkEnd w:id="103"/>
      <w:bookmarkEnd w:id="104"/>
      <w:r>
        <w:rPr>
          <w:rFonts w:hint="eastAsia"/>
          <w:color w:val="auto"/>
          <w:highlight w:val="none"/>
          <w:shd w:val="clear" w:color="auto" w:fill="auto"/>
        </w:rPr>
        <w:t>合格的投标人</w:t>
      </w:r>
    </w:p>
    <w:p>
      <w:pPr>
        <w:widowControl w:val="0"/>
        <w:shd w:val="clear" w:color="auto" w:fill="auto"/>
        <w:tabs>
          <w:tab w:val="clear" w:pos="426"/>
        </w:tabs>
        <w:autoSpaceDE w:val="0"/>
        <w:autoSpaceDN w:val="0"/>
        <w:rPr>
          <w:color w:val="auto"/>
          <w:szCs w:val="21"/>
          <w:highlight w:val="none"/>
          <w:shd w:val="clear" w:color="auto" w:fill="auto"/>
        </w:rPr>
      </w:pPr>
      <w:bookmarkStart w:id="112" w:name="_Toc73521553"/>
      <w:bookmarkStart w:id="113" w:name="_Toc73518123"/>
      <w:bookmarkStart w:id="114" w:name="_Toc60631626"/>
      <w:bookmarkStart w:id="115" w:name="_Toc100052370"/>
      <w:bookmarkStart w:id="116" w:name="_Toc73521641"/>
      <w:bookmarkStart w:id="117" w:name="_Toc73517645"/>
      <w:bookmarkStart w:id="118" w:name="_Toc60560631"/>
      <w:r>
        <w:rPr>
          <w:rFonts w:hint="eastAsia"/>
          <w:color w:val="auto"/>
          <w:szCs w:val="21"/>
          <w:highlight w:val="none"/>
          <w:shd w:val="clear" w:color="auto" w:fill="auto"/>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color w:val="auto"/>
          <w:szCs w:val="21"/>
          <w:highlight w:val="none"/>
          <w:shd w:val="clear" w:color="auto" w:fill="auto"/>
          <w:lang w:eastAsia="zh-TW"/>
        </w:rPr>
      </w:pPr>
      <w:r>
        <w:rPr>
          <w:rFonts w:hint="eastAsia"/>
          <w:color w:val="auto"/>
          <w:szCs w:val="21"/>
          <w:highlight w:val="none"/>
          <w:shd w:val="clear" w:color="auto" w:fill="auto"/>
        </w:rPr>
        <w:t xml:space="preserve">5.2 </w:t>
      </w:r>
      <w:r>
        <w:rPr>
          <w:rFonts w:hint="eastAsia"/>
          <w:color w:val="auto"/>
          <w:szCs w:val="21"/>
          <w:highlight w:val="none"/>
          <w:shd w:val="clear" w:color="auto" w:fill="auto"/>
          <w:lang w:eastAsia="zh-TW"/>
        </w:rPr>
        <w:t>合格的投标人</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5.2.1 </w:t>
      </w:r>
      <w:r>
        <w:rPr>
          <w:color w:val="auto"/>
          <w:szCs w:val="21"/>
          <w:highlight w:val="none"/>
          <w:shd w:val="clear" w:color="auto" w:fill="auto"/>
        </w:rPr>
        <w:t>具有独立承担民事责任的能力。</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5.2.2 </w:t>
      </w:r>
      <w:r>
        <w:rPr>
          <w:color w:val="auto"/>
          <w:szCs w:val="21"/>
          <w:highlight w:val="none"/>
          <w:shd w:val="clear" w:color="auto" w:fill="auto"/>
        </w:rPr>
        <w:t>具有良好的商业信誉和健全的财务会计制度</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5.2.3 </w:t>
      </w:r>
      <w:r>
        <w:rPr>
          <w:color w:val="auto"/>
          <w:szCs w:val="21"/>
          <w:highlight w:val="none"/>
          <w:shd w:val="clear" w:color="auto" w:fill="auto"/>
        </w:rPr>
        <w:t>具有履行合同所必需的设备和专业技术能力</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5.2.4 </w:t>
      </w:r>
      <w:r>
        <w:rPr>
          <w:color w:val="auto"/>
          <w:szCs w:val="21"/>
          <w:highlight w:val="none"/>
          <w:shd w:val="clear" w:color="auto" w:fill="auto"/>
        </w:rPr>
        <w:t>有依法缴纳税收和社会保障资金的良好记录</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5.2.5 </w:t>
      </w:r>
      <w:r>
        <w:rPr>
          <w:color w:val="auto"/>
          <w:szCs w:val="21"/>
          <w:highlight w:val="none"/>
          <w:shd w:val="clear" w:color="auto" w:fill="auto"/>
        </w:rPr>
        <w:t>参加政府采购活动前三年内，在经营活动中没有重大违法记录</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5.2.6 </w:t>
      </w:r>
      <w:r>
        <w:rPr>
          <w:color w:val="auto"/>
          <w:szCs w:val="21"/>
          <w:highlight w:val="none"/>
          <w:shd w:val="clear" w:color="auto" w:fill="auto"/>
        </w:rPr>
        <w:t>法律、行政法规规定的其他条件</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color w:val="auto"/>
          <w:szCs w:val="21"/>
          <w:highlight w:val="none"/>
          <w:shd w:val="clear" w:color="auto" w:fill="auto"/>
        </w:rPr>
      </w:pPr>
      <w:r>
        <w:rPr>
          <w:rFonts w:hint="eastAsia"/>
          <w:color w:val="auto"/>
          <w:szCs w:val="21"/>
          <w:highlight w:val="none"/>
          <w:shd w:val="clear" w:color="auto" w:fill="auto"/>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5.2.9 符合</w:t>
      </w:r>
      <w:r>
        <w:rPr>
          <w:rFonts w:hint="eastAsia" w:cs="黑体"/>
          <w:color w:val="auto"/>
          <w:szCs w:val="21"/>
          <w:highlight w:val="none"/>
          <w:shd w:val="clear" w:color="auto" w:fill="auto"/>
        </w:rPr>
        <w:t>第一章采购公告“投标人资格要求”</w:t>
      </w:r>
      <w:r>
        <w:rPr>
          <w:rFonts w:hint="eastAsia"/>
          <w:color w:val="auto"/>
          <w:szCs w:val="21"/>
          <w:highlight w:val="none"/>
          <w:shd w:val="clear" w:color="auto" w:fill="auto"/>
        </w:rPr>
        <w:t>的条款</w:t>
      </w:r>
      <w:r>
        <w:rPr>
          <w:rFonts w:hint="eastAsia" w:cs="黑体"/>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5.3 中标人是指经法定程序确定并授予合同的投标人。</w:t>
      </w:r>
    </w:p>
    <w:p>
      <w:pPr>
        <w:tabs>
          <w:tab w:val="clear" w:pos="426"/>
        </w:tabs>
        <w:rPr>
          <w:color w:val="auto"/>
          <w:highlight w:val="none"/>
          <w:shd w:val="clear" w:color="auto" w:fill="auto"/>
        </w:rPr>
      </w:pPr>
      <w:r>
        <w:rPr>
          <w:rFonts w:hint="eastAsia"/>
          <w:color w:val="auto"/>
          <w:highlight w:val="none"/>
          <w:shd w:val="clear" w:color="auto" w:fill="auto"/>
        </w:rPr>
        <w:t>6．联合体投标</w:t>
      </w:r>
    </w:p>
    <w:p>
      <w:pPr>
        <w:tabs>
          <w:tab w:val="clear" w:pos="426"/>
        </w:tabs>
        <w:rPr>
          <w:color w:val="auto"/>
          <w:highlight w:val="none"/>
          <w:shd w:val="clear" w:color="auto" w:fill="auto"/>
        </w:rPr>
      </w:pPr>
      <w:r>
        <w:rPr>
          <w:rFonts w:hint="eastAsia"/>
          <w:color w:val="auto"/>
          <w:highlight w:val="none"/>
          <w:shd w:val="clear" w:color="auto" w:fill="auto"/>
        </w:rPr>
        <w:t>6.1　以下有关联合体投标的条款仅适用于允许投标人组成联合体投标的项目。</w:t>
      </w:r>
    </w:p>
    <w:p>
      <w:pPr>
        <w:tabs>
          <w:tab w:val="clear" w:pos="426"/>
        </w:tabs>
        <w:rPr>
          <w:color w:val="auto"/>
          <w:highlight w:val="none"/>
          <w:shd w:val="clear" w:color="auto" w:fill="auto"/>
        </w:rPr>
      </w:pPr>
      <w:r>
        <w:rPr>
          <w:rFonts w:hint="eastAsia"/>
          <w:color w:val="auto"/>
          <w:highlight w:val="none"/>
          <w:shd w:val="clear" w:color="auto" w:fill="auto"/>
        </w:rPr>
        <w:t>6.2　由两个或两个以上的自然人、法人或者其他组织可以组成一个联合体，以一个供应商的身份共同投标时，应符合以下原则：</w:t>
      </w:r>
    </w:p>
    <w:p>
      <w:pPr>
        <w:tabs>
          <w:tab w:val="clear" w:pos="426"/>
        </w:tabs>
        <w:rPr>
          <w:color w:val="auto"/>
          <w:highlight w:val="none"/>
          <w:shd w:val="clear" w:color="auto" w:fill="auto"/>
        </w:rPr>
      </w:pPr>
      <w:r>
        <w:rPr>
          <w:rFonts w:hint="eastAsia"/>
          <w:color w:val="auto"/>
          <w:highlight w:val="none"/>
          <w:shd w:val="clear" w:color="auto" w:fill="auto"/>
        </w:rPr>
        <w:t>6.2.</w:t>
      </w:r>
      <w:r>
        <w:rPr>
          <w:rFonts w:hint="eastAsia"/>
          <w:bCs/>
          <w:color w:val="auto"/>
          <w:highlight w:val="none"/>
          <w:shd w:val="clear" w:color="auto" w:fill="auto"/>
        </w:rPr>
        <w:t>1投标联合体应满足采购公告有关投标人资格要求中对联合体的要求；</w:t>
      </w:r>
    </w:p>
    <w:p>
      <w:pPr>
        <w:tabs>
          <w:tab w:val="clear" w:pos="426"/>
        </w:tabs>
        <w:rPr>
          <w:color w:val="auto"/>
          <w:highlight w:val="none"/>
          <w:shd w:val="clear" w:color="auto" w:fill="auto"/>
        </w:rPr>
      </w:pPr>
      <w:r>
        <w:rPr>
          <w:rFonts w:hint="eastAsia"/>
          <w:color w:val="auto"/>
          <w:highlight w:val="none"/>
          <w:shd w:val="clear" w:color="auto" w:fill="auto"/>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auto"/>
          <w:highlight w:val="none"/>
          <w:shd w:val="clear" w:color="auto" w:fill="auto"/>
        </w:rPr>
      </w:pPr>
      <w:r>
        <w:rPr>
          <w:rFonts w:hint="eastAsia"/>
          <w:color w:val="auto"/>
          <w:highlight w:val="none"/>
          <w:shd w:val="clear" w:color="auto" w:fill="auto"/>
        </w:rPr>
        <w:t>6.2.3投标人的投标文件及中标后签署的合同协议对联合体各方均具法律约束力；</w:t>
      </w:r>
    </w:p>
    <w:p>
      <w:pPr>
        <w:tabs>
          <w:tab w:val="clear" w:pos="426"/>
        </w:tabs>
        <w:rPr>
          <w:color w:val="auto"/>
          <w:highlight w:val="none"/>
          <w:shd w:val="clear" w:color="auto" w:fill="auto"/>
        </w:rPr>
      </w:pPr>
      <w:r>
        <w:rPr>
          <w:rFonts w:hint="eastAsia"/>
          <w:color w:val="auto"/>
          <w:highlight w:val="none"/>
          <w:shd w:val="clear" w:color="auto" w:fill="auto"/>
        </w:rPr>
        <w:t>6.2.4联合体各方应当签订共同投标协议，明确约定各方拟承担的工作和责任，并将该共同投标协议随投标文件一并递交给政府采购代理机构；</w:t>
      </w:r>
    </w:p>
    <w:p>
      <w:pPr>
        <w:tabs>
          <w:tab w:val="clear" w:pos="426"/>
        </w:tabs>
        <w:rPr>
          <w:color w:val="auto"/>
          <w:highlight w:val="none"/>
          <w:shd w:val="clear" w:color="auto" w:fill="auto"/>
        </w:rPr>
      </w:pPr>
      <w:r>
        <w:rPr>
          <w:rFonts w:hint="eastAsia"/>
          <w:color w:val="auto"/>
          <w:highlight w:val="none"/>
          <w:shd w:val="clear" w:color="auto" w:fill="auto"/>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auto"/>
          <w:highlight w:val="none"/>
          <w:shd w:val="clear" w:color="auto" w:fill="auto"/>
        </w:rPr>
      </w:pPr>
      <w:r>
        <w:rPr>
          <w:rFonts w:hint="eastAsia"/>
          <w:color w:val="auto"/>
          <w:highlight w:val="none"/>
          <w:shd w:val="clear" w:color="auto" w:fill="auto"/>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auto"/>
          <w:highlight w:val="none"/>
          <w:shd w:val="clear" w:color="auto" w:fill="auto"/>
        </w:rPr>
      </w:pPr>
      <w:r>
        <w:rPr>
          <w:rFonts w:hint="eastAsia"/>
          <w:color w:val="auto"/>
          <w:highlight w:val="none"/>
          <w:shd w:val="clear" w:color="auto" w:fill="auto"/>
        </w:rPr>
        <w:t>6.2.7除非另有规定或说明，本须知中“投标人”一词亦指联合体各方。</w:t>
      </w:r>
    </w:p>
    <w:p>
      <w:pPr>
        <w:tabs>
          <w:tab w:val="clear" w:pos="426"/>
        </w:tabs>
        <w:rPr>
          <w:color w:val="auto"/>
          <w:highlight w:val="none"/>
          <w:shd w:val="clear" w:color="auto" w:fill="auto"/>
        </w:rPr>
      </w:pPr>
      <w:r>
        <w:rPr>
          <w:rFonts w:hint="eastAsia"/>
          <w:color w:val="auto"/>
          <w:highlight w:val="none"/>
          <w:shd w:val="clear" w:color="auto" w:fill="auto"/>
        </w:rPr>
        <w:t>7. 合格的服务和货物</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color w:val="auto"/>
          <w:szCs w:val="21"/>
          <w:highlight w:val="none"/>
          <w:shd w:val="clear" w:color="auto" w:fill="auto"/>
        </w:rPr>
      </w:pPr>
      <w:r>
        <w:rPr>
          <w:rFonts w:hint="eastAsia"/>
          <w:color w:val="auto"/>
          <w:szCs w:val="21"/>
          <w:highlight w:val="none"/>
          <w:shd w:val="clear" w:color="auto" w:fill="auto"/>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7.4 采购人有权拒绝接受任何不合格的服务，由此产生的费用及相关后果均由供应商自行承担。</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color w:val="auto"/>
          <w:highlight w:val="none"/>
          <w:shd w:val="clear" w:color="auto" w:fill="auto"/>
        </w:rPr>
      </w:pPr>
      <w:r>
        <w:rPr>
          <w:rFonts w:hint="eastAsia"/>
          <w:color w:val="auto"/>
          <w:highlight w:val="none"/>
          <w:shd w:val="clear" w:color="auto" w:fill="auto"/>
        </w:rPr>
        <w:t>8．投标费用</w:t>
      </w:r>
      <w:bookmarkEnd w:id="112"/>
      <w:bookmarkEnd w:id="113"/>
      <w:bookmarkEnd w:id="114"/>
      <w:bookmarkEnd w:id="115"/>
      <w:bookmarkEnd w:id="116"/>
      <w:bookmarkEnd w:id="117"/>
      <w:bookmarkEnd w:id="118"/>
    </w:p>
    <w:p>
      <w:pPr>
        <w:tabs>
          <w:tab w:val="clear" w:pos="426"/>
        </w:tabs>
        <w:rPr>
          <w:color w:val="auto"/>
          <w:highlight w:val="none"/>
          <w:shd w:val="clear" w:color="auto" w:fill="auto"/>
        </w:rPr>
      </w:pPr>
      <w:r>
        <w:rPr>
          <w:rFonts w:hint="eastAsia"/>
          <w:color w:val="auto"/>
          <w:highlight w:val="none"/>
          <w:shd w:val="clear" w:color="auto" w:fill="auto"/>
        </w:rPr>
        <w:t>不论投标结果如何，投标人应承担其编制投标文件与递交投标文件所涉及的一切费用。</w:t>
      </w:r>
      <w:r>
        <w:rPr>
          <w:rFonts w:hint="eastAsia"/>
          <w:color w:val="auto"/>
          <w:szCs w:val="21"/>
          <w:highlight w:val="none"/>
          <w:shd w:val="clear" w:color="auto" w:fill="auto"/>
          <w:lang w:eastAsia="zh-TW"/>
        </w:rPr>
        <w:t>不论投标的结果如何</w:t>
      </w:r>
      <w:r>
        <w:rPr>
          <w:rFonts w:hint="eastAsia"/>
          <w:color w:val="auto"/>
          <w:szCs w:val="21"/>
          <w:highlight w:val="none"/>
          <w:shd w:val="clear" w:color="auto" w:fill="auto"/>
        </w:rPr>
        <w:t>，</w:t>
      </w:r>
      <w:r>
        <w:rPr>
          <w:rFonts w:hint="eastAsia"/>
          <w:color w:val="auto"/>
          <w:szCs w:val="21"/>
          <w:highlight w:val="none"/>
          <w:shd w:val="clear" w:color="auto" w:fill="auto"/>
          <w:lang w:eastAsia="zh-TW"/>
        </w:rPr>
        <w:t>招标采购单位均无义务和责任承担这些费用</w:t>
      </w:r>
      <w:r>
        <w:rPr>
          <w:rFonts w:hint="eastAsia"/>
          <w:color w:val="auto"/>
          <w:szCs w:val="21"/>
          <w:highlight w:val="none"/>
          <w:shd w:val="clear" w:color="auto" w:fill="auto"/>
        </w:rPr>
        <w:t>。</w:t>
      </w:r>
    </w:p>
    <w:p>
      <w:pPr>
        <w:tabs>
          <w:tab w:val="clear" w:pos="426"/>
        </w:tabs>
        <w:rPr>
          <w:color w:val="auto"/>
          <w:highlight w:val="none"/>
          <w:shd w:val="clear" w:color="auto" w:fill="auto"/>
        </w:rPr>
      </w:pPr>
      <w:bookmarkStart w:id="119" w:name="_Toc60560632"/>
      <w:bookmarkStart w:id="120" w:name="_Toc60631627"/>
      <w:bookmarkStart w:id="121" w:name="_Toc73518124"/>
      <w:bookmarkStart w:id="122" w:name="_Toc73517646"/>
      <w:bookmarkStart w:id="123" w:name="_Toc73521642"/>
      <w:bookmarkStart w:id="124" w:name="_Toc100052371"/>
      <w:bookmarkStart w:id="125" w:name="_Toc73521554"/>
      <w:r>
        <w:rPr>
          <w:rFonts w:hint="eastAsia"/>
          <w:color w:val="auto"/>
          <w:highlight w:val="none"/>
          <w:shd w:val="clear" w:color="auto" w:fill="auto"/>
        </w:rPr>
        <w:t>9．踏勘现场</w:t>
      </w:r>
      <w:bookmarkEnd w:id="119"/>
      <w:bookmarkEnd w:id="120"/>
      <w:bookmarkEnd w:id="121"/>
      <w:bookmarkEnd w:id="122"/>
      <w:bookmarkEnd w:id="123"/>
      <w:bookmarkEnd w:id="124"/>
      <w:bookmarkEnd w:id="125"/>
    </w:p>
    <w:p>
      <w:pPr>
        <w:tabs>
          <w:tab w:val="clear" w:pos="426"/>
        </w:tabs>
        <w:rPr>
          <w:color w:val="auto"/>
          <w:highlight w:val="none"/>
          <w:shd w:val="clear" w:color="auto" w:fill="auto"/>
        </w:rPr>
      </w:pPr>
      <w:bookmarkStart w:id="126" w:name="_Toc78260681"/>
      <w:bookmarkStart w:id="127" w:name="_Toc100052372"/>
      <w:r>
        <w:rPr>
          <w:rFonts w:hint="eastAsia"/>
          <w:color w:val="auto"/>
          <w:highlight w:val="none"/>
          <w:shd w:val="clear" w:color="auto" w:fill="auto"/>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color w:val="auto"/>
          <w:highlight w:val="none"/>
          <w:shd w:val="clear" w:color="auto" w:fill="auto"/>
        </w:rPr>
      </w:pPr>
      <w:r>
        <w:rPr>
          <w:rFonts w:hint="eastAsia"/>
          <w:color w:val="auto"/>
          <w:highlight w:val="none"/>
          <w:shd w:val="clear" w:color="auto" w:fill="auto"/>
        </w:rPr>
        <w:t>9.2投标人及其人员经过采购单位的允许，可以踏勘目的进入采购单位的项目现场。若本项目招标文件要求投标人于统一时间地点踏勘现场的，投标人按时前往。</w:t>
      </w:r>
    </w:p>
    <w:p>
      <w:pPr>
        <w:tabs>
          <w:tab w:val="clear" w:pos="426"/>
        </w:tabs>
        <w:rPr>
          <w:color w:val="auto"/>
          <w:highlight w:val="none"/>
          <w:shd w:val="clear" w:color="auto" w:fill="auto"/>
        </w:rPr>
      </w:pPr>
      <w:r>
        <w:rPr>
          <w:rFonts w:hint="eastAsia"/>
          <w:color w:val="auto"/>
          <w:highlight w:val="none"/>
          <w:shd w:val="clear" w:color="auto" w:fill="auto"/>
        </w:rPr>
        <w:t>9.3采购单位必须通过采购代理机构向投标人提供有关现场的资料和数据。</w:t>
      </w:r>
    </w:p>
    <w:p>
      <w:pPr>
        <w:tabs>
          <w:tab w:val="clear" w:pos="426"/>
        </w:tabs>
        <w:rPr>
          <w:color w:val="auto"/>
          <w:highlight w:val="none"/>
          <w:shd w:val="clear" w:color="auto" w:fill="auto"/>
        </w:rPr>
      </w:pPr>
      <w:r>
        <w:rPr>
          <w:rFonts w:hint="eastAsia"/>
          <w:color w:val="auto"/>
          <w:highlight w:val="none"/>
          <w:shd w:val="clear" w:color="auto" w:fill="auto"/>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color w:val="auto"/>
          <w:highlight w:val="none"/>
          <w:shd w:val="clear" w:color="auto" w:fill="auto"/>
        </w:rPr>
      </w:pPr>
      <w:r>
        <w:rPr>
          <w:rFonts w:hint="eastAsia"/>
          <w:color w:val="auto"/>
          <w:highlight w:val="none"/>
          <w:shd w:val="clear" w:color="auto" w:fill="auto"/>
        </w:rPr>
        <w:t>9.5 未参与现场踏勘不作为否定投标人资格的理由。</w:t>
      </w:r>
    </w:p>
    <w:p>
      <w:pPr>
        <w:tabs>
          <w:tab w:val="clear" w:pos="426"/>
        </w:tabs>
        <w:rPr>
          <w:color w:val="auto"/>
          <w:highlight w:val="none"/>
          <w:shd w:val="clear" w:color="auto" w:fill="auto"/>
        </w:rPr>
      </w:pPr>
      <w:r>
        <w:rPr>
          <w:rFonts w:hint="eastAsia"/>
          <w:color w:val="auto"/>
          <w:highlight w:val="none"/>
          <w:shd w:val="clear" w:color="auto" w:fill="auto"/>
        </w:rPr>
        <w:t>10．招标</w:t>
      </w:r>
      <w:bookmarkEnd w:id="126"/>
      <w:r>
        <w:rPr>
          <w:rFonts w:hint="eastAsia"/>
          <w:color w:val="auto"/>
          <w:highlight w:val="none"/>
          <w:shd w:val="clear" w:color="auto" w:fill="auto"/>
        </w:rPr>
        <w:t>答疑</w:t>
      </w:r>
      <w:bookmarkEnd w:id="127"/>
    </w:p>
    <w:p>
      <w:pPr>
        <w:tabs>
          <w:tab w:val="clear" w:pos="426"/>
        </w:tabs>
        <w:rPr>
          <w:color w:val="auto"/>
          <w:highlight w:val="none"/>
          <w:shd w:val="clear" w:color="auto" w:fill="auto"/>
        </w:rPr>
      </w:pPr>
      <w:r>
        <w:rPr>
          <w:rFonts w:hint="eastAsia"/>
          <w:color w:val="auto"/>
          <w:highlight w:val="none"/>
          <w:shd w:val="clear" w:color="auto" w:fill="auto"/>
        </w:rPr>
        <w:t>10.1招标答疑的目的是澄清、解答投标人在查阅招标文件后或现场踏勘中可能提出的与投标有关的疑问或询问。</w:t>
      </w:r>
    </w:p>
    <w:p>
      <w:pPr>
        <w:tabs>
          <w:tab w:val="clear" w:pos="426"/>
        </w:tabs>
        <w:rPr>
          <w:color w:val="auto"/>
          <w:highlight w:val="none"/>
          <w:shd w:val="clear" w:color="auto" w:fill="auto"/>
        </w:rPr>
      </w:pPr>
      <w:r>
        <w:rPr>
          <w:rFonts w:hint="eastAsia"/>
          <w:color w:val="auto"/>
          <w:highlight w:val="none"/>
          <w:shd w:val="clear" w:color="auto" w:fill="auto"/>
        </w:rPr>
        <w:t>10.2投标人提出的与投标有关的问题须在招标文件规定的答疑截止时间前以 “质疑函</w:t>
      </w:r>
      <w:r>
        <w:rPr>
          <w:color w:val="auto"/>
          <w:highlight w:val="none"/>
          <w:shd w:val="clear" w:color="auto" w:fill="auto"/>
        </w:rPr>
        <w:t>”</w:t>
      </w:r>
      <w:r>
        <w:rPr>
          <w:rFonts w:hint="eastAsia"/>
          <w:color w:val="auto"/>
          <w:highlight w:val="none"/>
          <w:shd w:val="clear" w:color="auto" w:fill="auto"/>
        </w:rPr>
        <w:t>的形式提交给采购代理机构，质疑函应该加盖质疑单位公章。</w:t>
      </w:r>
    </w:p>
    <w:p>
      <w:pPr>
        <w:tabs>
          <w:tab w:val="clear" w:pos="426"/>
        </w:tabs>
        <w:rPr>
          <w:color w:val="auto"/>
          <w:highlight w:val="none"/>
          <w:shd w:val="clear" w:color="auto" w:fill="auto"/>
        </w:rPr>
      </w:pPr>
      <w:r>
        <w:rPr>
          <w:rFonts w:hint="eastAsia"/>
          <w:color w:val="auto"/>
          <w:highlight w:val="none"/>
          <w:shd w:val="clear" w:color="auto" w:fill="auto"/>
        </w:rPr>
        <w:t>10.3采购代理机构对疑问所做出的澄清和解答，以书面答复（包括网站发布信息）为准。答疑纪要的有效性规定按照本通用条款第13</w:t>
      </w:r>
      <w:r>
        <w:rPr>
          <w:color w:val="auto"/>
          <w:highlight w:val="none"/>
          <w:shd w:val="clear" w:color="auto" w:fill="auto"/>
        </w:rPr>
        <w:t>.3</w:t>
      </w:r>
      <w:r>
        <w:rPr>
          <w:rFonts w:hint="eastAsia"/>
          <w:color w:val="auto"/>
          <w:highlight w:val="none"/>
          <w:shd w:val="clear" w:color="auto" w:fill="auto"/>
        </w:rPr>
        <w:t>、13</w:t>
      </w:r>
      <w:r>
        <w:rPr>
          <w:color w:val="auto"/>
          <w:highlight w:val="none"/>
          <w:shd w:val="clear" w:color="auto" w:fill="auto"/>
        </w:rPr>
        <w:t>.4</w:t>
      </w:r>
      <w:r>
        <w:rPr>
          <w:rFonts w:hint="eastAsia"/>
          <w:color w:val="auto"/>
          <w:highlight w:val="none"/>
          <w:shd w:val="clear" w:color="auto" w:fill="auto"/>
        </w:rPr>
        <w:t>款规定执行。</w:t>
      </w:r>
    </w:p>
    <w:p>
      <w:pPr>
        <w:tabs>
          <w:tab w:val="clear" w:pos="426"/>
        </w:tabs>
        <w:rPr>
          <w:color w:val="auto"/>
          <w:highlight w:val="none"/>
          <w:shd w:val="clear" w:color="auto" w:fill="auto"/>
        </w:rPr>
      </w:pPr>
      <w:r>
        <w:rPr>
          <w:rFonts w:hint="eastAsia"/>
          <w:color w:val="auto"/>
          <w:highlight w:val="none"/>
          <w:shd w:val="clear" w:color="auto" w:fill="auto"/>
        </w:rPr>
        <w:t>10.4如采购代理机构认为有必要组织现场答疑会，投标人应按照招标文件规定的时间或采购代理机构另行书面通知（包括网站发布的通知）的时间和地点，参与现场答疑会。</w:t>
      </w:r>
    </w:p>
    <w:p>
      <w:pPr>
        <w:tabs>
          <w:tab w:val="clear" w:pos="426"/>
        </w:tabs>
        <w:rPr>
          <w:color w:val="auto"/>
          <w:highlight w:val="none"/>
          <w:shd w:val="clear" w:color="auto" w:fill="auto"/>
        </w:rPr>
      </w:pPr>
      <w:r>
        <w:rPr>
          <w:rFonts w:hint="eastAsia"/>
          <w:color w:val="auto"/>
          <w:highlight w:val="none"/>
          <w:shd w:val="clear" w:color="auto" w:fill="auto"/>
        </w:rPr>
        <w:t>10.5未参与招标答疑不作为否定投标人资格的理由。</w:t>
      </w:r>
    </w:p>
    <w:p>
      <w:pPr>
        <w:pStyle w:val="6"/>
        <w:tabs>
          <w:tab w:val="clear" w:pos="426"/>
        </w:tabs>
        <w:rPr>
          <w:color w:val="auto"/>
          <w:highlight w:val="none"/>
          <w:shd w:val="clear" w:color="auto" w:fill="auto"/>
        </w:rPr>
      </w:pPr>
      <w:bookmarkStart w:id="128" w:name="bt招标文件"/>
      <w:bookmarkEnd w:id="128"/>
      <w:bookmarkStart w:id="129" w:name="_Toc3628665"/>
      <w:bookmarkStart w:id="130" w:name="_Toc101074878"/>
      <w:bookmarkStart w:id="131" w:name="_Toc432592822"/>
      <w:bookmarkStart w:id="132" w:name="_Toc73518126"/>
      <w:bookmarkStart w:id="133" w:name="_Toc100052373"/>
      <w:bookmarkStart w:id="134" w:name="_Toc73517648"/>
      <w:bookmarkStart w:id="135" w:name="_Toc73521556"/>
      <w:bookmarkStart w:id="136" w:name="_Toc398220530"/>
      <w:bookmarkStart w:id="137" w:name="_Toc73521644"/>
      <w:bookmarkStart w:id="138" w:name="_Toc26478"/>
      <w:r>
        <w:rPr>
          <w:rFonts w:hint="eastAsia"/>
          <w:color w:val="auto"/>
          <w:highlight w:val="none"/>
          <w:shd w:val="clear" w:color="auto" w:fill="auto"/>
        </w:rPr>
        <w:t>第二章 招标文件</w:t>
      </w:r>
      <w:bookmarkEnd w:id="129"/>
      <w:bookmarkEnd w:id="130"/>
      <w:bookmarkEnd w:id="131"/>
      <w:bookmarkEnd w:id="132"/>
      <w:bookmarkEnd w:id="133"/>
      <w:bookmarkEnd w:id="134"/>
      <w:bookmarkEnd w:id="135"/>
      <w:bookmarkEnd w:id="136"/>
      <w:bookmarkEnd w:id="137"/>
      <w:bookmarkEnd w:id="138"/>
    </w:p>
    <w:p>
      <w:pPr>
        <w:tabs>
          <w:tab w:val="clear" w:pos="426"/>
        </w:tabs>
        <w:rPr>
          <w:color w:val="auto"/>
          <w:highlight w:val="none"/>
          <w:shd w:val="clear" w:color="auto" w:fill="auto"/>
        </w:rPr>
      </w:pPr>
      <w:bookmarkStart w:id="139" w:name="_Toc73521645"/>
      <w:bookmarkStart w:id="140" w:name="_Toc73518127"/>
      <w:bookmarkStart w:id="141" w:name="_Toc100052374"/>
      <w:bookmarkStart w:id="142" w:name="_Toc73521557"/>
      <w:bookmarkStart w:id="143" w:name="_Toc73517649"/>
      <w:r>
        <w:rPr>
          <w:rFonts w:hint="eastAsia"/>
          <w:color w:val="auto"/>
          <w:highlight w:val="none"/>
          <w:shd w:val="clear" w:color="auto" w:fill="auto"/>
        </w:rPr>
        <w:t>11．招标文件的编制与组成</w:t>
      </w:r>
      <w:bookmarkEnd w:id="139"/>
      <w:bookmarkEnd w:id="140"/>
      <w:bookmarkEnd w:id="141"/>
      <w:bookmarkEnd w:id="142"/>
      <w:bookmarkEnd w:id="143"/>
    </w:p>
    <w:p>
      <w:pPr>
        <w:tabs>
          <w:tab w:val="clear" w:pos="426"/>
        </w:tabs>
        <w:rPr>
          <w:color w:val="auto"/>
          <w:highlight w:val="none"/>
          <w:shd w:val="clear" w:color="auto" w:fill="auto"/>
        </w:rPr>
      </w:pPr>
      <w:r>
        <w:rPr>
          <w:rFonts w:hint="eastAsia"/>
          <w:color w:val="auto"/>
          <w:highlight w:val="none"/>
          <w:shd w:val="clear" w:color="auto" w:fill="auto"/>
        </w:rPr>
        <w:t>11.1招标文件除以下内容外，采购代理机构在招标（或谈判）期间发出的答疑纪要和其他补充修改函件，均是招标文件的组成部分，对投标人起约束作用；</w:t>
      </w:r>
    </w:p>
    <w:p>
      <w:pPr>
        <w:tabs>
          <w:tab w:val="clear" w:pos="426"/>
        </w:tabs>
        <w:rPr>
          <w:color w:val="auto"/>
          <w:highlight w:val="none"/>
          <w:shd w:val="clear" w:color="auto" w:fill="auto"/>
        </w:rPr>
      </w:pPr>
      <w:r>
        <w:rPr>
          <w:rFonts w:hint="eastAsia"/>
          <w:color w:val="auto"/>
          <w:highlight w:val="none"/>
          <w:shd w:val="clear" w:color="auto" w:fill="auto"/>
        </w:rPr>
        <w:t>招标文件包括下列内容：</w:t>
      </w:r>
    </w:p>
    <w:p>
      <w:pPr>
        <w:tabs>
          <w:tab w:val="clear" w:pos="426"/>
        </w:tabs>
        <w:rPr>
          <w:color w:val="auto"/>
          <w:highlight w:val="none"/>
          <w:shd w:val="clear" w:color="auto" w:fill="auto"/>
        </w:rPr>
      </w:pPr>
      <w:r>
        <w:rPr>
          <w:rFonts w:hint="eastAsia"/>
          <w:color w:val="auto"/>
          <w:highlight w:val="none"/>
          <w:shd w:val="clear" w:color="auto" w:fill="auto"/>
        </w:rPr>
        <w:t>项目关键信息</w:t>
      </w:r>
    </w:p>
    <w:p>
      <w:pPr>
        <w:tabs>
          <w:tab w:val="clear" w:pos="426"/>
        </w:tabs>
        <w:rPr>
          <w:color w:val="auto"/>
          <w:highlight w:val="none"/>
          <w:shd w:val="clear" w:color="auto" w:fill="auto"/>
        </w:rPr>
      </w:pPr>
      <w:r>
        <w:rPr>
          <w:rFonts w:hint="eastAsia"/>
          <w:color w:val="auto"/>
          <w:highlight w:val="none"/>
          <w:shd w:val="clear" w:color="auto" w:fill="auto"/>
        </w:rPr>
        <w:t>评标信息</w:t>
      </w:r>
    </w:p>
    <w:p>
      <w:pPr>
        <w:tabs>
          <w:tab w:val="clear" w:pos="426"/>
        </w:tabs>
        <w:rPr>
          <w:color w:val="auto"/>
          <w:highlight w:val="none"/>
          <w:shd w:val="clear" w:color="auto" w:fill="auto"/>
        </w:rPr>
      </w:pPr>
      <w:r>
        <w:rPr>
          <w:rFonts w:hint="eastAsia"/>
          <w:color w:val="auto"/>
          <w:highlight w:val="none"/>
          <w:shd w:val="clear" w:color="auto" w:fill="auto"/>
        </w:rPr>
        <w:t>第一册  专用条款</w:t>
      </w:r>
    </w:p>
    <w:p>
      <w:pPr>
        <w:tabs>
          <w:tab w:val="clear" w:pos="426"/>
        </w:tabs>
        <w:rPr>
          <w:color w:val="auto"/>
          <w:highlight w:val="none"/>
          <w:shd w:val="clear" w:color="auto" w:fill="auto"/>
        </w:rPr>
      </w:pPr>
      <w:r>
        <w:rPr>
          <w:rFonts w:hint="eastAsia"/>
          <w:color w:val="auto"/>
          <w:highlight w:val="none"/>
          <w:shd w:val="clear" w:color="auto" w:fill="auto"/>
        </w:rPr>
        <w:t>第一章  采购公告</w:t>
      </w:r>
    </w:p>
    <w:p>
      <w:pPr>
        <w:tabs>
          <w:tab w:val="clear" w:pos="426"/>
        </w:tabs>
        <w:rPr>
          <w:color w:val="auto"/>
          <w:highlight w:val="none"/>
          <w:shd w:val="clear" w:color="auto" w:fill="auto"/>
        </w:rPr>
      </w:pPr>
      <w:r>
        <w:rPr>
          <w:rFonts w:hint="eastAsia"/>
          <w:color w:val="auto"/>
          <w:highlight w:val="none"/>
          <w:shd w:val="clear" w:color="auto" w:fill="auto"/>
        </w:rPr>
        <w:t>第二章  招标项目需求</w:t>
      </w:r>
    </w:p>
    <w:p>
      <w:pPr>
        <w:tabs>
          <w:tab w:val="clear" w:pos="426"/>
        </w:tabs>
        <w:rPr>
          <w:color w:val="auto"/>
          <w:highlight w:val="none"/>
          <w:shd w:val="clear" w:color="auto" w:fill="auto"/>
        </w:rPr>
      </w:pPr>
      <w:r>
        <w:rPr>
          <w:rFonts w:hint="eastAsia"/>
          <w:color w:val="auto"/>
          <w:highlight w:val="none"/>
          <w:shd w:val="clear" w:color="auto" w:fill="auto"/>
        </w:rPr>
        <w:t>第三章  合同条款及格式</w:t>
      </w:r>
    </w:p>
    <w:p>
      <w:pPr>
        <w:tabs>
          <w:tab w:val="clear" w:pos="426"/>
        </w:tabs>
        <w:rPr>
          <w:color w:val="auto"/>
          <w:highlight w:val="none"/>
          <w:shd w:val="clear" w:color="auto" w:fill="auto"/>
        </w:rPr>
      </w:pPr>
      <w:r>
        <w:rPr>
          <w:rFonts w:hint="eastAsia"/>
          <w:color w:val="auto"/>
          <w:highlight w:val="none"/>
          <w:shd w:val="clear" w:color="auto" w:fill="auto"/>
        </w:rPr>
        <w:t>第四章  投标文件格式、附件</w:t>
      </w:r>
    </w:p>
    <w:p>
      <w:pPr>
        <w:tabs>
          <w:tab w:val="clear" w:pos="426"/>
        </w:tabs>
        <w:rPr>
          <w:color w:val="auto"/>
          <w:highlight w:val="none"/>
          <w:shd w:val="clear" w:color="auto" w:fill="auto"/>
        </w:rPr>
      </w:pPr>
      <w:r>
        <w:rPr>
          <w:rFonts w:hint="eastAsia"/>
          <w:color w:val="auto"/>
          <w:highlight w:val="none"/>
          <w:shd w:val="clear" w:color="auto" w:fill="auto"/>
        </w:rPr>
        <w:t>第五章  政府采购履约情况反馈表</w:t>
      </w:r>
    </w:p>
    <w:p>
      <w:pPr>
        <w:tabs>
          <w:tab w:val="clear" w:pos="426"/>
        </w:tabs>
        <w:rPr>
          <w:color w:val="auto"/>
          <w:highlight w:val="none"/>
          <w:shd w:val="clear" w:color="auto" w:fill="auto"/>
        </w:rPr>
      </w:pPr>
      <w:r>
        <w:rPr>
          <w:rFonts w:hint="eastAsia"/>
          <w:color w:val="auto"/>
          <w:highlight w:val="none"/>
          <w:shd w:val="clear" w:color="auto" w:fill="auto"/>
        </w:rPr>
        <w:t>第二册  通用条款</w:t>
      </w:r>
    </w:p>
    <w:p>
      <w:pPr>
        <w:tabs>
          <w:tab w:val="clear" w:pos="426"/>
        </w:tabs>
        <w:rPr>
          <w:color w:val="auto"/>
          <w:highlight w:val="none"/>
          <w:shd w:val="clear" w:color="auto" w:fill="auto"/>
        </w:rPr>
      </w:pPr>
      <w:r>
        <w:rPr>
          <w:rFonts w:hint="eastAsia"/>
          <w:color w:val="auto"/>
          <w:highlight w:val="none"/>
          <w:shd w:val="clear" w:color="auto" w:fill="auto"/>
        </w:rPr>
        <w:t>第一章  总则</w:t>
      </w:r>
    </w:p>
    <w:p>
      <w:pPr>
        <w:tabs>
          <w:tab w:val="clear" w:pos="426"/>
        </w:tabs>
        <w:rPr>
          <w:color w:val="auto"/>
          <w:highlight w:val="none"/>
          <w:shd w:val="clear" w:color="auto" w:fill="auto"/>
        </w:rPr>
      </w:pPr>
      <w:r>
        <w:rPr>
          <w:rFonts w:hint="eastAsia"/>
          <w:color w:val="auto"/>
          <w:highlight w:val="none"/>
          <w:shd w:val="clear" w:color="auto" w:fill="auto"/>
        </w:rPr>
        <w:t>第二章  招标文件</w:t>
      </w:r>
    </w:p>
    <w:p>
      <w:pPr>
        <w:tabs>
          <w:tab w:val="clear" w:pos="426"/>
        </w:tabs>
        <w:rPr>
          <w:color w:val="auto"/>
          <w:highlight w:val="none"/>
          <w:shd w:val="clear" w:color="auto" w:fill="auto"/>
        </w:rPr>
      </w:pPr>
      <w:r>
        <w:rPr>
          <w:rFonts w:hint="eastAsia"/>
          <w:color w:val="auto"/>
          <w:highlight w:val="none"/>
          <w:shd w:val="clear" w:color="auto" w:fill="auto"/>
        </w:rPr>
        <w:t>第三章  投标文件的编制与递交</w:t>
      </w:r>
    </w:p>
    <w:p>
      <w:pPr>
        <w:tabs>
          <w:tab w:val="clear" w:pos="426"/>
        </w:tabs>
        <w:rPr>
          <w:color w:val="auto"/>
          <w:highlight w:val="none"/>
          <w:shd w:val="clear" w:color="auto" w:fill="auto"/>
        </w:rPr>
      </w:pPr>
      <w:r>
        <w:rPr>
          <w:rFonts w:hint="eastAsia"/>
          <w:color w:val="auto"/>
          <w:highlight w:val="none"/>
          <w:shd w:val="clear" w:color="auto" w:fill="auto"/>
        </w:rPr>
        <w:t>第四章  开标</w:t>
      </w:r>
    </w:p>
    <w:p>
      <w:pPr>
        <w:tabs>
          <w:tab w:val="clear" w:pos="426"/>
        </w:tabs>
        <w:rPr>
          <w:color w:val="auto"/>
          <w:highlight w:val="none"/>
          <w:shd w:val="clear" w:color="auto" w:fill="auto"/>
        </w:rPr>
      </w:pPr>
      <w:r>
        <w:rPr>
          <w:rFonts w:hint="eastAsia"/>
          <w:color w:val="auto"/>
          <w:highlight w:val="none"/>
          <w:shd w:val="clear" w:color="auto" w:fill="auto"/>
        </w:rPr>
        <w:t>第五章  评标要求</w:t>
      </w:r>
    </w:p>
    <w:p>
      <w:pPr>
        <w:tabs>
          <w:tab w:val="clear" w:pos="426"/>
        </w:tabs>
        <w:rPr>
          <w:color w:val="auto"/>
          <w:highlight w:val="none"/>
          <w:shd w:val="clear" w:color="auto" w:fill="auto"/>
        </w:rPr>
      </w:pPr>
      <w:r>
        <w:rPr>
          <w:rFonts w:hint="eastAsia"/>
          <w:color w:val="auto"/>
          <w:highlight w:val="none"/>
          <w:shd w:val="clear" w:color="auto" w:fill="auto"/>
        </w:rPr>
        <w:t>第六章  评标程序及评标方法</w:t>
      </w:r>
    </w:p>
    <w:p>
      <w:pPr>
        <w:tabs>
          <w:tab w:val="clear" w:pos="426"/>
        </w:tabs>
        <w:rPr>
          <w:color w:val="auto"/>
          <w:highlight w:val="none"/>
          <w:shd w:val="clear" w:color="auto" w:fill="auto"/>
        </w:rPr>
      </w:pPr>
      <w:r>
        <w:rPr>
          <w:rFonts w:hint="eastAsia"/>
          <w:color w:val="auto"/>
          <w:highlight w:val="none"/>
          <w:shd w:val="clear" w:color="auto" w:fill="auto"/>
        </w:rPr>
        <w:t>第七章  定标及公示</w:t>
      </w:r>
    </w:p>
    <w:p>
      <w:pPr>
        <w:tabs>
          <w:tab w:val="clear" w:pos="426"/>
        </w:tabs>
        <w:rPr>
          <w:color w:val="auto"/>
          <w:highlight w:val="none"/>
          <w:shd w:val="clear" w:color="auto" w:fill="auto"/>
        </w:rPr>
      </w:pPr>
      <w:r>
        <w:rPr>
          <w:rFonts w:hint="eastAsia"/>
          <w:color w:val="auto"/>
          <w:highlight w:val="none"/>
          <w:shd w:val="clear" w:color="auto" w:fill="auto"/>
        </w:rPr>
        <w:t>第八章  公开招标失败的后续处理</w:t>
      </w:r>
    </w:p>
    <w:p>
      <w:pPr>
        <w:tabs>
          <w:tab w:val="clear" w:pos="426"/>
        </w:tabs>
        <w:rPr>
          <w:color w:val="auto"/>
          <w:highlight w:val="none"/>
          <w:shd w:val="clear" w:color="auto" w:fill="auto"/>
        </w:rPr>
      </w:pPr>
      <w:r>
        <w:rPr>
          <w:rFonts w:hint="eastAsia"/>
          <w:color w:val="auto"/>
          <w:highlight w:val="none"/>
          <w:shd w:val="clear" w:color="auto" w:fill="auto"/>
        </w:rPr>
        <w:t>第九章  合同的授予与备案</w:t>
      </w:r>
    </w:p>
    <w:p>
      <w:pPr>
        <w:tabs>
          <w:tab w:val="clear" w:pos="426"/>
        </w:tabs>
        <w:rPr>
          <w:color w:val="auto"/>
          <w:highlight w:val="none"/>
          <w:shd w:val="clear" w:color="auto" w:fill="auto"/>
        </w:rPr>
      </w:pPr>
      <w:r>
        <w:rPr>
          <w:rFonts w:hint="eastAsia"/>
          <w:color w:val="auto"/>
          <w:highlight w:val="none"/>
          <w:shd w:val="clear" w:color="auto" w:fill="auto"/>
        </w:rPr>
        <w:t>第十章  质疑处理</w:t>
      </w:r>
    </w:p>
    <w:p>
      <w:pPr>
        <w:tabs>
          <w:tab w:val="clear" w:pos="426"/>
        </w:tabs>
        <w:rPr>
          <w:color w:val="auto"/>
          <w:highlight w:val="none"/>
          <w:shd w:val="clear" w:color="auto" w:fill="auto"/>
        </w:rPr>
      </w:pPr>
      <w:bookmarkStart w:id="144" w:name="_Toc60560636"/>
      <w:bookmarkStart w:id="145" w:name="_Toc73521558"/>
      <w:bookmarkStart w:id="146" w:name="_Toc100052375"/>
      <w:bookmarkStart w:id="147" w:name="_Toc60631631"/>
      <w:bookmarkStart w:id="148" w:name="_Toc73518128"/>
      <w:bookmarkStart w:id="149" w:name="_Toc73517650"/>
      <w:bookmarkStart w:id="150" w:name="_Toc73521646"/>
      <w:bookmarkStart w:id="151" w:name="_Toc73518129"/>
      <w:bookmarkStart w:id="152" w:name="_Toc60560637"/>
      <w:bookmarkStart w:id="153" w:name="_Toc73521559"/>
      <w:bookmarkStart w:id="154" w:name="_Toc73517651"/>
      <w:bookmarkStart w:id="155" w:name="_Toc100052376"/>
      <w:bookmarkStart w:id="156" w:name="_Toc73521647"/>
      <w:bookmarkStart w:id="157" w:name="_Toc60631632"/>
      <w:r>
        <w:rPr>
          <w:rFonts w:hint="eastAsia"/>
          <w:color w:val="auto"/>
          <w:highlight w:val="none"/>
          <w:shd w:val="clear" w:color="auto" w:fill="auto"/>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color w:val="auto"/>
          <w:szCs w:val="21"/>
          <w:highlight w:val="none"/>
          <w:shd w:val="clear" w:color="auto" w:fill="auto"/>
        </w:rPr>
      </w:pPr>
      <w:r>
        <w:rPr>
          <w:rFonts w:hint="eastAsia"/>
          <w:color w:val="auto"/>
          <w:szCs w:val="21"/>
          <w:highlight w:val="none"/>
          <w:shd w:val="clear" w:color="auto" w:fill="auto"/>
        </w:rPr>
        <w:t>11.3</w:t>
      </w:r>
      <w:r>
        <w:rPr>
          <w:rFonts w:hint="eastAsia"/>
          <w:color w:val="auto"/>
          <w:highlight w:val="none"/>
          <w:shd w:val="clear" w:color="auto" w:fill="auto"/>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color w:val="auto"/>
          <w:highlight w:val="none"/>
          <w:shd w:val="clear" w:color="auto" w:fill="auto"/>
        </w:rPr>
      </w:pPr>
      <w:r>
        <w:rPr>
          <w:rFonts w:hint="eastAsia"/>
          <w:color w:val="auto"/>
          <w:highlight w:val="none"/>
          <w:shd w:val="clear" w:color="auto" w:fill="auto"/>
        </w:rPr>
        <w:t>12．招标文件的澄清</w:t>
      </w:r>
      <w:bookmarkEnd w:id="144"/>
      <w:bookmarkEnd w:id="145"/>
      <w:bookmarkEnd w:id="146"/>
      <w:bookmarkEnd w:id="147"/>
      <w:bookmarkEnd w:id="148"/>
      <w:bookmarkEnd w:id="149"/>
      <w:bookmarkEnd w:id="150"/>
    </w:p>
    <w:p>
      <w:pPr>
        <w:tabs>
          <w:tab w:val="clear" w:pos="426"/>
        </w:tabs>
        <w:rPr>
          <w:color w:val="auto"/>
          <w:highlight w:val="none"/>
          <w:shd w:val="clear" w:color="auto" w:fill="auto"/>
        </w:rPr>
      </w:pPr>
      <w:r>
        <w:rPr>
          <w:rFonts w:hint="eastAsia"/>
          <w:color w:val="auto"/>
          <w:highlight w:val="none"/>
          <w:shd w:val="clear" w:color="auto" w:fill="auto"/>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color w:val="auto"/>
          <w:highlight w:val="none"/>
          <w:shd w:val="clear" w:color="auto" w:fill="auto"/>
        </w:rPr>
      </w:pPr>
      <w:r>
        <w:rPr>
          <w:rFonts w:hint="eastAsia"/>
          <w:color w:val="auto"/>
          <w:highlight w:val="none"/>
          <w:shd w:val="clear" w:color="auto" w:fill="auto"/>
        </w:rPr>
        <w:t>12.2对于没有提出澄清又参与了该项目投标的供应商将被视为完全认同该招标文件（含澄清纪要），投标截止期后不再受理针对招标文件的相关质疑或投诉。</w:t>
      </w:r>
    </w:p>
    <w:p>
      <w:pPr>
        <w:tabs>
          <w:tab w:val="clear" w:pos="426"/>
        </w:tabs>
        <w:rPr>
          <w:color w:val="auto"/>
          <w:highlight w:val="none"/>
          <w:shd w:val="clear" w:color="auto" w:fill="auto"/>
        </w:rPr>
      </w:pPr>
      <w:r>
        <w:rPr>
          <w:rFonts w:hint="eastAsia"/>
          <w:color w:val="auto"/>
          <w:highlight w:val="none"/>
          <w:shd w:val="clear" w:color="auto" w:fill="auto"/>
        </w:rPr>
        <w:t>12.3 对招标文件中描述有歧意或前后不一致的地方，评标委员会有权进行评判，但对同一条款的评判应适用于每个投标人。</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3．招标文件的修改</w:t>
      </w:r>
      <w:bookmarkEnd w:id="151"/>
      <w:bookmarkEnd w:id="152"/>
      <w:bookmarkEnd w:id="153"/>
      <w:bookmarkEnd w:id="154"/>
      <w:bookmarkEnd w:id="155"/>
      <w:bookmarkEnd w:id="156"/>
      <w:bookmarkEnd w:id="157"/>
    </w:p>
    <w:p>
      <w:pPr>
        <w:tabs>
          <w:tab w:val="clear" w:pos="426"/>
        </w:tabs>
        <w:rPr>
          <w:color w:val="auto"/>
          <w:highlight w:val="none"/>
          <w:shd w:val="clear" w:color="auto" w:fill="auto"/>
        </w:rPr>
      </w:pPr>
      <w:bookmarkStart w:id="158" w:name="bt投标文件"/>
      <w:bookmarkEnd w:id="158"/>
      <w:bookmarkStart w:id="159" w:name="_Toc73518130"/>
      <w:bookmarkStart w:id="160" w:name="_Toc73521560"/>
      <w:bookmarkStart w:id="161" w:name="_Toc100052377"/>
      <w:bookmarkStart w:id="162" w:name="_Toc101074879"/>
      <w:bookmarkStart w:id="163" w:name="_Toc73521648"/>
      <w:bookmarkStart w:id="164" w:name="_Toc73517652"/>
      <w:r>
        <w:rPr>
          <w:color w:val="auto"/>
          <w:highlight w:val="none"/>
          <w:shd w:val="clear" w:color="auto" w:fill="auto"/>
        </w:rPr>
        <w:t>1</w:t>
      </w:r>
      <w:r>
        <w:rPr>
          <w:rFonts w:hint="eastAsia"/>
          <w:color w:val="auto"/>
          <w:highlight w:val="none"/>
          <w:shd w:val="clear" w:color="auto" w:fill="auto"/>
        </w:rPr>
        <w:t>3.1招标文件发出后，在投标截止日期前任何时候，确需要变更招标内容的，采购代理机构可主动地或在解答投标人提出的澄清问题时对招标文件进行修改；</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3.2招标文件的修改以书面形式（包括网站公开发布方式）发送给所有投标人，招标文件的修改内容作为招标文件的组成部分，并具有约束力。</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6"/>
        <w:tabs>
          <w:tab w:val="clear" w:pos="426"/>
        </w:tabs>
        <w:rPr>
          <w:color w:val="auto"/>
          <w:highlight w:val="none"/>
          <w:shd w:val="clear" w:color="auto" w:fill="auto"/>
        </w:rPr>
      </w:pPr>
      <w:bookmarkStart w:id="165" w:name="_Toc3628666"/>
      <w:bookmarkStart w:id="166" w:name="_Toc432592823"/>
      <w:bookmarkStart w:id="167" w:name="_Toc398220531"/>
      <w:bookmarkStart w:id="168" w:name="_Toc29031"/>
      <w:r>
        <w:rPr>
          <w:rFonts w:hint="eastAsia"/>
          <w:color w:val="auto"/>
          <w:highlight w:val="none"/>
          <w:shd w:val="clear" w:color="auto" w:fill="auto"/>
        </w:rPr>
        <w:t>第三章 投标文件</w:t>
      </w:r>
      <w:bookmarkEnd w:id="159"/>
      <w:bookmarkEnd w:id="160"/>
      <w:bookmarkEnd w:id="161"/>
      <w:bookmarkEnd w:id="162"/>
      <w:bookmarkEnd w:id="163"/>
      <w:bookmarkEnd w:id="164"/>
      <w:r>
        <w:rPr>
          <w:rFonts w:hint="eastAsia"/>
          <w:color w:val="auto"/>
          <w:highlight w:val="none"/>
          <w:shd w:val="clear" w:color="auto" w:fill="auto"/>
        </w:rPr>
        <w:t>的编制与递交</w:t>
      </w:r>
      <w:bookmarkEnd w:id="165"/>
      <w:bookmarkEnd w:id="166"/>
      <w:bookmarkEnd w:id="167"/>
      <w:bookmarkEnd w:id="168"/>
    </w:p>
    <w:p>
      <w:pPr>
        <w:tabs>
          <w:tab w:val="clear" w:pos="426"/>
        </w:tabs>
        <w:rPr>
          <w:color w:val="auto"/>
          <w:highlight w:val="none"/>
          <w:shd w:val="clear" w:color="auto" w:fill="auto"/>
        </w:rPr>
      </w:pPr>
      <w:bookmarkStart w:id="169" w:name="_Toc60560639"/>
      <w:bookmarkStart w:id="170" w:name="_Toc73521649"/>
      <w:bookmarkStart w:id="171" w:name="_Toc73521561"/>
      <w:bookmarkStart w:id="172" w:name="_Toc60631634"/>
      <w:bookmarkStart w:id="173" w:name="_Toc73518131"/>
      <w:bookmarkStart w:id="174" w:name="_Toc73517653"/>
      <w:bookmarkStart w:id="175" w:name="_Toc100052378"/>
      <w:r>
        <w:rPr>
          <w:rFonts w:hint="eastAsia"/>
          <w:color w:val="auto"/>
          <w:highlight w:val="none"/>
          <w:shd w:val="clear" w:color="auto" w:fill="auto"/>
        </w:rPr>
        <w:t>14．投标文件的语言及度量单位</w:t>
      </w:r>
      <w:bookmarkEnd w:id="169"/>
      <w:bookmarkEnd w:id="170"/>
      <w:bookmarkEnd w:id="171"/>
      <w:bookmarkEnd w:id="172"/>
      <w:bookmarkEnd w:id="173"/>
      <w:bookmarkEnd w:id="174"/>
      <w:bookmarkEnd w:id="175"/>
    </w:p>
    <w:p>
      <w:pPr>
        <w:tabs>
          <w:tab w:val="clear" w:pos="426"/>
        </w:tabs>
        <w:rPr>
          <w:color w:val="auto"/>
          <w:highlight w:val="none"/>
          <w:shd w:val="clear" w:color="auto" w:fill="auto"/>
        </w:rPr>
      </w:pPr>
      <w:r>
        <w:rPr>
          <w:rFonts w:hint="eastAsia"/>
          <w:color w:val="auto"/>
          <w:highlight w:val="none"/>
          <w:shd w:val="clear" w:color="auto" w:fill="auto"/>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color w:val="auto"/>
          <w:highlight w:val="none"/>
          <w:shd w:val="clear" w:color="auto" w:fill="auto"/>
        </w:rPr>
      </w:pPr>
      <w:r>
        <w:rPr>
          <w:rFonts w:hint="eastAsia"/>
          <w:color w:val="auto"/>
          <w:highlight w:val="none"/>
          <w:shd w:val="clear" w:color="auto" w:fill="auto"/>
        </w:rPr>
        <w:t>14.2 除技术规范另有规定外，投标文件使用的度量单位，均采用中华人民共和国法定计量单位。</w:t>
      </w:r>
    </w:p>
    <w:p>
      <w:pPr>
        <w:tabs>
          <w:tab w:val="clear" w:pos="426"/>
        </w:tabs>
        <w:rPr>
          <w:color w:val="auto"/>
          <w:highlight w:val="none"/>
          <w:shd w:val="clear" w:color="auto" w:fill="auto"/>
        </w:rPr>
      </w:pPr>
      <w:bookmarkStart w:id="176" w:name="_Toc73517654"/>
      <w:bookmarkStart w:id="177" w:name="_Toc60631635"/>
      <w:bookmarkStart w:id="178" w:name="_Toc60560640"/>
      <w:bookmarkStart w:id="179" w:name="_Toc73518132"/>
      <w:bookmarkStart w:id="180" w:name="_Toc73521650"/>
      <w:bookmarkStart w:id="181" w:name="_Toc73521562"/>
      <w:bookmarkStart w:id="182" w:name="_Toc100052379"/>
      <w:r>
        <w:rPr>
          <w:rFonts w:hint="eastAsia"/>
          <w:color w:val="auto"/>
          <w:highlight w:val="none"/>
          <w:shd w:val="clear" w:color="auto" w:fill="auto"/>
        </w:rPr>
        <w:t>15．投标文件的组成</w:t>
      </w:r>
      <w:bookmarkEnd w:id="176"/>
      <w:bookmarkEnd w:id="177"/>
      <w:bookmarkEnd w:id="178"/>
      <w:bookmarkEnd w:id="179"/>
      <w:bookmarkEnd w:id="180"/>
      <w:bookmarkEnd w:id="181"/>
      <w:bookmarkEnd w:id="182"/>
    </w:p>
    <w:p>
      <w:pPr>
        <w:tabs>
          <w:tab w:val="clear" w:pos="426"/>
        </w:tabs>
        <w:rPr>
          <w:color w:val="auto"/>
          <w:highlight w:val="none"/>
          <w:shd w:val="clear" w:color="auto" w:fill="auto"/>
        </w:rPr>
      </w:pPr>
      <w:r>
        <w:rPr>
          <w:rFonts w:hint="eastAsia"/>
          <w:color w:val="auto"/>
          <w:highlight w:val="none"/>
          <w:shd w:val="clear" w:color="auto" w:fill="auto"/>
        </w:rPr>
        <w:t>具体内容请详见本项目专用条款的相关内容。</w:t>
      </w:r>
      <w:bookmarkStart w:id="183" w:name="_Toc60631636"/>
      <w:bookmarkStart w:id="184" w:name="_Toc60560641"/>
      <w:bookmarkStart w:id="185" w:name="_Toc73521651"/>
      <w:bookmarkStart w:id="186" w:name="_Toc73521563"/>
      <w:bookmarkStart w:id="187" w:name="_Toc73518133"/>
      <w:bookmarkStart w:id="188" w:name="投标文件的组成"/>
      <w:bookmarkStart w:id="189" w:name="_Toc73517655"/>
    </w:p>
    <w:p>
      <w:pPr>
        <w:tabs>
          <w:tab w:val="clear" w:pos="426"/>
        </w:tabs>
        <w:rPr>
          <w:color w:val="auto"/>
          <w:highlight w:val="none"/>
          <w:shd w:val="clear" w:color="auto" w:fill="auto"/>
        </w:rPr>
      </w:pPr>
      <w:r>
        <w:rPr>
          <w:rFonts w:hint="eastAsia"/>
          <w:color w:val="auto"/>
          <w:highlight w:val="none"/>
          <w:shd w:val="clear" w:color="auto" w:fill="auto"/>
        </w:rPr>
        <w:t>16. 投标文件格式</w:t>
      </w:r>
    </w:p>
    <w:p>
      <w:pPr>
        <w:tabs>
          <w:tab w:val="clear" w:pos="426"/>
        </w:tabs>
        <w:rPr>
          <w:color w:val="auto"/>
          <w:highlight w:val="none"/>
          <w:shd w:val="clear" w:color="auto" w:fill="auto"/>
        </w:rPr>
      </w:pPr>
      <w:r>
        <w:rPr>
          <w:rFonts w:hint="eastAsia"/>
          <w:color w:val="auto"/>
          <w:highlight w:val="none"/>
          <w:shd w:val="clear" w:color="auto" w:fill="auto"/>
        </w:rPr>
        <w:t>16</w:t>
      </w:r>
      <w:r>
        <w:rPr>
          <w:color w:val="auto"/>
          <w:highlight w:val="none"/>
          <w:shd w:val="clear" w:color="auto" w:fill="auto"/>
        </w:rPr>
        <w:t>.1</w:t>
      </w:r>
      <w:r>
        <w:rPr>
          <w:rFonts w:hint="eastAsia"/>
          <w:color w:val="auto"/>
          <w:highlight w:val="none"/>
          <w:shd w:val="clear" w:color="auto" w:fill="auto"/>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83"/>
    <w:bookmarkEnd w:id="184"/>
    <w:bookmarkEnd w:id="185"/>
    <w:bookmarkEnd w:id="186"/>
    <w:bookmarkEnd w:id="187"/>
    <w:bookmarkEnd w:id="188"/>
    <w:bookmarkEnd w:id="189"/>
    <w:p>
      <w:pPr>
        <w:tabs>
          <w:tab w:val="clear" w:pos="426"/>
        </w:tabs>
        <w:rPr>
          <w:color w:val="auto"/>
          <w:highlight w:val="none"/>
          <w:shd w:val="clear" w:color="auto" w:fill="auto"/>
        </w:rPr>
      </w:pPr>
      <w:bookmarkStart w:id="190" w:name="_Toc73521653"/>
      <w:bookmarkStart w:id="191" w:name="_Toc60560643"/>
      <w:bookmarkStart w:id="192" w:name="_Toc100052382"/>
      <w:bookmarkStart w:id="193" w:name="_Toc73518135"/>
      <w:bookmarkStart w:id="194" w:name="_Toc73521565"/>
      <w:bookmarkStart w:id="195" w:name="_Toc73517657"/>
      <w:bookmarkStart w:id="196" w:name="_Toc60631638"/>
      <w:r>
        <w:rPr>
          <w:rFonts w:hint="eastAsia"/>
          <w:color w:val="auto"/>
          <w:highlight w:val="none"/>
          <w:shd w:val="clear" w:color="auto" w:fill="auto"/>
        </w:rPr>
        <w:t>17．投标货币</w:t>
      </w:r>
      <w:bookmarkEnd w:id="190"/>
      <w:bookmarkEnd w:id="191"/>
      <w:bookmarkEnd w:id="192"/>
      <w:bookmarkEnd w:id="193"/>
      <w:bookmarkEnd w:id="194"/>
      <w:bookmarkEnd w:id="195"/>
      <w:bookmarkEnd w:id="196"/>
    </w:p>
    <w:p>
      <w:pPr>
        <w:tabs>
          <w:tab w:val="clear" w:pos="426"/>
        </w:tabs>
        <w:rPr>
          <w:color w:val="auto"/>
          <w:highlight w:val="none"/>
          <w:shd w:val="clear" w:color="auto" w:fill="auto"/>
        </w:rPr>
      </w:pPr>
      <w:r>
        <w:rPr>
          <w:rFonts w:hint="eastAsia"/>
          <w:color w:val="auto"/>
          <w:highlight w:val="none"/>
          <w:shd w:val="clear" w:color="auto" w:fill="auto"/>
        </w:rPr>
        <w:t>本项目的投标应以人民币计。</w:t>
      </w:r>
    </w:p>
    <w:p>
      <w:pPr>
        <w:widowControl w:val="0"/>
        <w:shd w:val="clear" w:color="auto" w:fill="auto"/>
        <w:tabs>
          <w:tab w:val="clear" w:pos="426"/>
        </w:tabs>
        <w:autoSpaceDE w:val="0"/>
        <w:autoSpaceDN w:val="0"/>
        <w:rPr>
          <w:color w:val="auto"/>
          <w:highlight w:val="none"/>
          <w:shd w:val="clear" w:color="auto" w:fill="auto"/>
        </w:rPr>
      </w:pPr>
      <w:r>
        <w:rPr>
          <w:rFonts w:hint="eastAsia"/>
          <w:color w:val="auto"/>
          <w:highlight w:val="none"/>
          <w:shd w:val="clear" w:color="auto" w:fill="auto"/>
        </w:rPr>
        <w:t>18. 证明投标人合格和资格的文件</w:t>
      </w:r>
    </w:p>
    <w:p>
      <w:pPr>
        <w:widowControl w:val="0"/>
        <w:shd w:val="clear" w:color="auto" w:fill="auto"/>
        <w:tabs>
          <w:tab w:val="clear" w:pos="426"/>
        </w:tabs>
        <w:autoSpaceDE w:val="0"/>
        <w:autoSpaceDN w:val="0"/>
        <w:rPr>
          <w:rFonts w:cs="黑体"/>
          <w:b/>
          <w:bCs/>
          <w:color w:val="auto"/>
          <w:szCs w:val="21"/>
          <w:highlight w:val="none"/>
          <w:shd w:val="clear" w:color="auto" w:fill="auto"/>
        </w:rPr>
      </w:pPr>
      <w:r>
        <w:rPr>
          <w:rFonts w:hint="eastAsia"/>
          <w:color w:val="auto"/>
          <w:szCs w:val="21"/>
          <w:highlight w:val="none"/>
          <w:shd w:val="clear" w:color="auto" w:fill="auto"/>
        </w:rPr>
        <w:t xml:space="preserve">18.1 </w:t>
      </w:r>
      <w:r>
        <w:rPr>
          <w:rFonts w:hint="eastAsia"/>
          <w:color w:val="auto"/>
          <w:szCs w:val="21"/>
          <w:highlight w:val="none"/>
          <w:shd w:val="clear" w:color="auto" w:fill="auto"/>
          <w:lang w:eastAsia="zh-TW"/>
        </w:rPr>
        <w:t>投标人应提交证明其有资格参加投标和中标后有能力履行合同的文件</w:t>
      </w:r>
      <w:r>
        <w:rPr>
          <w:rFonts w:hint="eastAsia"/>
          <w:color w:val="auto"/>
          <w:szCs w:val="21"/>
          <w:highlight w:val="none"/>
          <w:shd w:val="clear" w:color="auto" w:fill="auto"/>
        </w:rPr>
        <w:t>，</w:t>
      </w:r>
      <w:r>
        <w:rPr>
          <w:rFonts w:hint="eastAsia"/>
          <w:color w:val="auto"/>
          <w:szCs w:val="21"/>
          <w:highlight w:val="none"/>
          <w:shd w:val="clear" w:color="auto" w:fill="auto"/>
          <w:lang w:eastAsia="zh-TW"/>
        </w:rPr>
        <w:t>并作为其投标文件的一部分。如果投标人为联合体</w:t>
      </w:r>
      <w:r>
        <w:rPr>
          <w:rFonts w:hint="eastAsia"/>
          <w:color w:val="auto"/>
          <w:szCs w:val="21"/>
          <w:highlight w:val="none"/>
          <w:shd w:val="clear" w:color="auto" w:fill="auto"/>
        </w:rPr>
        <w:t>，</w:t>
      </w:r>
      <w:r>
        <w:rPr>
          <w:rFonts w:hint="eastAsia"/>
          <w:color w:val="auto"/>
          <w:szCs w:val="21"/>
          <w:highlight w:val="none"/>
          <w:shd w:val="clear" w:color="auto" w:fill="auto"/>
          <w:lang w:eastAsia="zh-TW"/>
        </w:rPr>
        <w:t>应提交联合体各方的资格证明文件、</w:t>
      </w:r>
      <w:r>
        <w:rPr>
          <w:rFonts w:hint="eastAsia"/>
          <w:color w:val="auto"/>
          <w:szCs w:val="21"/>
          <w:highlight w:val="none"/>
          <w:shd w:val="clear" w:color="auto" w:fill="auto"/>
        </w:rPr>
        <w:t>共同投标协议</w:t>
      </w:r>
      <w:r>
        <w:rPr>
          <w:rFonts w:hint="eastAsia"/>
          <w:color w:val="auto"/>
          <w:szCs w:val="21"/>
          <w:highlight w:val="none"/>
          <w:shd w:val="clear" w:color="auto" w:fill="auto"/>
          <w:lang w:eastAsia="zh-TW"/>
        </w:rPr>
        <w:t>并注明</w:t>
      </w:r>
      <w:r>
        <w:rPr>
          <w:rFonts w:hint="eastAsia"/>
          <w:color w:val="auto"/>
          <w:szCs w:val="21"/>
          <w:highlight w:val="none"/>
          <w:shd w:val="clear" w:color="auto" w:fill="auto"/>
        </w:rPr>
        <w:t>主体方及各方拟承担的工作和责任。</w:t>
      </w:r>
      <w:r>
        <w:rPr>
          <w:rFonts w:hint="eastAsia"/>
          <w:color w:val="auto"/>
          <w:szCs w:val="21"/>
          <w:highlight w:val="none"/>
          <w:shd w:val="clear" w:color="auto" w:fill="auto"/>
          <w:lang w:eastAsia="zh-TW"/>
        </w:rPr>
        <w:t>否则</w:t>
      </w:r>
      <w:r>
        <w:rPr>
          <w:rFonts w:hint="eastAsia"/>
          <w:color w:val="auto"/>
          <w:szCs w:val="21"/>
          <w:highlight w:val="none"/>
          <w:shd w:val="clear" w:color="auto" w:fill="auto"/>
        </w:rPr>
        <w:t>，</w:t>
      </w:r>
      <w:r>
        <w:rPr>
          <w:rFonts w:hint="eastAsia"/>
          <w:color w:val="auto"/>
          <w:szCs w:val="21"/>
          <w:highlight w:val="none"/>
          <w:shd w:val="clear" w:color="auto" w:fill="auto"/>
          <w:lang w:eastAsia="zh-TW"/>
        </w:rPr>
        <w:t>将导致其投标</w:t>
      </w:r>
      <w:r>
        <w:rPr>
          <w:rFonts w:hint="eastAsia"/>
          <w:color w:val="auto"/>
          <w:szCs w:val="21"/>
          <w:highlight w:val="none"/>
          <w:shd w:val="clear" w:color="auto" w:fill="auto"/>
        </w:rPr>
        <w:t>无效。</w:t>
      </w:r>
    </w:p>
    <w:p>
      <w:pPr>
        <w:widowControl w:val="0"/>
        <w:shd w:val="clear" w:color="auto" w:fill="auto"/>
        <w:tabs>
          <w:tab w:val="clear" w:pos="426"/>
        </w:tabs>
        <w:autoSpaceDE w:val="0"/>
        <w:autoSpaceDN w:val="0"/>
        <w:rPr>
          <w:color w:val="auto"/>
          <w:szCs w:val="21"/>
          <w:highlight w:val="none"/>
          <w:shd w:val="clear" w:color="auto" w:fill="auto"/>
          <w:lang w:eastAsia="zh-TW"/>
        </w:rPr>
      </w:pPr>
      <w:r>
        <w:rPr>
          <w:rFonts w:hint="eastAsia"/>
          <w:color w:val="auto"/>
          <w:szCs w:val="21"/>
          <w:highlight w:val="none"/>
          <w:shd w:val="clear" w:color="auto" w:fill="auto"/>
        </w:rPr>
        <w:t xml:space="preserve">18.2 </w:t>
      </w:r>
      <w:r>
        <w:rPr>
          <w:rFonts w:hint="eastAsia"/>
          <w:color w:val="auto"/>
          <w:szCs w:val="21"/>
          <w:highlight w:val="none"/>
          <w:shd w:val="clear" w:color="auto" w:fill="auto"/>
          <w:lang w:eastAsia="zh-TW"/>
        </w:rPr>
        <w:t>投标人提交的资格证明文件应证明其</w:t>
      </w:r>
      <w:r>
        <w:rPr>
          <w:rFonts w:hint="eastAsia"/>
          <w:color w:val="auto"/>
          <w:szCs w:val="21"/>
          <w:highlight w:val="none"/>
          <w:shd w:val="clear" w:color="auto" w:fill="auto"/>
        </w:rPr>
        <w:t>满足</w:t>
      </w:r>
      <w:r>
        <w:rPr>
          <w:rFonts w:hint="eastAsia"/>
          <w:color w:val="auto"/>
          <w:szCs w:val="21"/>
          <w:highlight w:val="none"/>
          <w:shd w:val="clear" w:color="auto" w:fill="auto"/>
          <w:lang w:eastAsia="zh-TW"/>
        </w:rPr>
        <w:t>本须知定义的合格投标人。</w:t>
      </w:r>
    </w:p>
    <w:p>
      <w:pPr>
        <w:tabs>
          <w:tab w:val="clear" w:pos="426"/>
        </w:tabs>
        <w:rPr>
          <w:color w:val="auto"/>
          <w:highlight w:val="none"/>
          <w:shd w:val="clear" w:color="auto" w:fill="auto"/>
        </w:rPr>
      </w:pPr>
      <w:r>
        <w:rPr>
          <w:rFonts w:hint="eastAsia"/>
          <w:color w:val="auto"/>
          <w:highlight w:val="none"/>
          <w:shd w:val="clear" w:color="auto" w:fill="auto"/>
        </w:rPr>
        <w:t>19．证明投标文件投标技术方案的合格性和符合招标文件规定的文件要求</w:t>
      </w:r>
    </w:p>
    <w:p>
      <w:pPr>
        <w:tabs>
          <w:tab w:val="clear" w:pos="426"/>
        </w:tabs>
        <w:rPr>
          <w:color w:val="auto"/>
          <w:highlight w:val="none"/>
          <w:shd w:val="clear" w:color="auto" w:fill="auto"/>
        </w:rPr>
      </w:pPr>
      <w:r>
        <w:rPr>
          <w:rFonts w:hint="eastAsia"/>
          <w:color w:val="auto"/>
          <w:highlight w:val="none"/>
          <w:shd w:val="clear" w:color="auto" w:fill="auto"/>
        </w:rPr>
        <w:t>19</w:t>
      </w:r>
      <w:r>
        <w:rPr>
          <w:color w:val="auto"/>
          <w:highlight w:val="none"/>
          <w:shd w:val="clear" w:color="auto" w:fill="auto"/>
        </w:rPr>
        <w:t xml:space="preserve">.1 </w:t>
      </w:r>
      <w:r>
        <w:rPr>
          <w:rFonts w:hint="eastAsia"/>
          <w:color w:val="auto"/>
          <w:highlight w:val="none"/>
          <w:shd w:val="clear" w:color="auto" w:fill="auto"/>
        </w:rPr>
        <w:t>投标人应提交证明文件证明其投标技术方案项下的货物、工程和服务的合格性符合招标文件规定。该投标技术方案及其证明文件作为投标文件的一部分。</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9</w:t>
      </w:r>
      <w:r>
        <w:rPr>
          <w:color w:val="auto"/>
          <w:highlight w:val="none"/>
          <w:shd w:val="clear" w:color="auto" w:fill="auto"/>
        </w:rPr>
        <w:t xml:space="preserve">.2 </w:t>
      </w:r>
      <w:r>
        <w:rPr>
          <w:rFonts w:hint="eastAsia"/>
          <w:color w:val="auto"/>
          <w:highlight w:val="none"/>
          <w:shd w:val="clear" w:color="auto" w:fill="auto"/>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color w:val="auto"/>
          <w:highlight w:val="none"/>
          <w:shd w:val="clear" w:color="auto" w:fill="auto"/>
        </w:rPr>
      </w:pPr>
      <w:r>
        <w:rPr>
          <w:rFonts w:hint="eastAsia"/>
          <w:color w:val="auto"/>
          <w:highlight w:val="none"/>
          <w:shd w:val="clear" w:color="auto" w:fill="auto"/>
        </w:rPr>
        <w:t>19.2.1主要技术指标和性能的详细说明。</w:t>
      </w:r>
    </w:p>
    <w:p>
      <w:pPr>
        <w:tabs>
          <w:tab w:val="clear" w:pos="426"/>
        </w:tabs>
        <w:rPr>
          <w:color w:val="auto"/>
          <w:highlight w:val="none"/>
          <w:shd w:val="clear" w:color="auto" w:fill="auto"/>
        </w:rPr>
      </w:pPr>
      <w:r>
        <w:rPr>
          <w:rFonts w:hint="eastAsia"/>
          <w:color w:val="auto"/>
          <w:highlight w:val="none"/>
          <w:shd w:val="clear" w:color="auto" w:fill="auto"/>
        </w:rPr>
        <w:t>19.2.</w:t>
      </w:r>
      <w:r>
        <w:rPr>
          <w:color w:val="auto"/>
          <w:highlight w:val="none"/>
          <w:shd w:val="clear" w:color="auto" w:fill="auto"/>
        </w:rPr>
        <w:t>2</w:t>
      </w:r>
      <w:r>
        <w:rPr>
          <w:rFonts w:hint="eastAsia"/>
          <w:color w:val="auto"/>
          <w:highlight w:val="none"/>
          <w:shd w:val="clear" w:color="auto" w:fill="auto"/>
        </w:rPr>
        <w:t>投标产品从采购单位开始使用至招标文件中规定的周期内正常、连续地使用所必须的备件和专用工具清单，包括备件和专用工具的货源及现行价格。</w:t>
      </w:r>
    </w:p>
    <w:p>
      <w:pPr>
        <w:tabs>
          <w:tab w:val="clear" w:pos="426"/>
        </w:tabs>
        <w:rPr>
          <w:color w:val="auto"/>
          <w:highlight w:val="none"/>
          <w:shd w:val="clear" w:color="auto" w:fill="auto"/>
        </w:rPr>
      </w:pPr>
      <w:r>
        <w:rPr>
          <w:rFonts w:hint="eastAsia"/>
          <w:color w:val="auto"/>
          <w:highlight w:val="none"/>
          <w:shd w:val="clear" w:color="auto" w:fill="auto"/>
        </w:rPr>
        <w:t>19.2.</w:t>
      </w:r>
      <w:r>
        <w:rPr>
          <w:color w:val="auto"/>
          <w:highlight w:val="none"/>
          <w:shd w:val="clear" w:color="auto" w:fill="auto"/>
        </w:rPr>
        <w:t>3</w:t>
      </w:r>
      <w:r>
        <w:rPr>
          <w:rFonts w:hint="eastAsia"/>
          <w:color w:val="auto"/>
          <w:highlight w:val="none"/>
          <w:shd w:val="clear" w:color="auto" w:fill="auto"/>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color w:val="auto"/>
          <w:highlight w:val="none"/>
          <w:shd w:val="clear" w:color="auto" w:fill="auto"/>
        </w:rPr>
      </w:pPr>
      <w:r>
        <w:rPr>
          <w:rFonts w:hint="eastAsia"/>
          <w:color w:val="auto"/>
          <w:highlight w:val="none"/>
          <w:shd w:val="clear" w:color="auto" w:fill="auto"/>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color w:val="auto"/>
          <w:highlight w:val="none"/>
          <w:shd w:val="clear" w:color="auto" w:fill="auto"/>
        </w:rPr>
      </w:pPr>
      <w:r>
        <w:rPr>
          <w:rFonts w:hint="eastAsia"/>
          <w:color w:val="auto"/>
          <w:highlight w:val="none"/>
          <w:shd w:val="clear" w:color="auto" w:fill="auto"/>
        </w:rPr>
        <w:t>19.2.5我国政府机构出具的产品检验和核准证件应为证件正面、背面和附件标注的全部具体内容；产品检验和核准证件应能清晰的阅读、识别和判断，提供原件复印件。</w:t>
      </w:r>
    </w:p>
    <w:p>
      <w:pPr>
        <w:tabs>
          <w:tab w:val="clear" w:pos="426"/>
        </w:tabs>
        <w:rPr>
          <w:color w:val="auto"/>
          <w:highlight w:val="none"/>
          <w:shd w:val="clear" w:color="auto" w:fill="auto"/>
        </w:rPr>
      </w:pPr>
      <w:r>
        <w:rPr>
          <w:rFonts w:hint="eastAsia"/>
          <w:color w:val="auto"/>
          <w:highlight w:val="none"/>
          <w:shd w:val="clear" w:color="auto" w:fill="auto"/>
        </w:rPr>
        <w:t>19.3相关资料不符合19.2款要求的，评标委员会有权认定为投标技术方案不合格响应，其相关分数予以扣减或作废标处理。</w:t>
      </w:r>
    </w:p>
    <w:p>
      <w:pPr>
        <w:tabs>
          <w:tab w:val="clear" w:pos="426"/>
        </w:tabs>
        <w:rPr>
          <w:color w:val="auto"/>
          <w:highlight w:val="none"/>
          <w:shd w:val="clear" w:color="auto" w:fill="auto"/>
        </w:rPr>
      </w:pPr>
      <w:r>
        <w:rPr>
          <w:rFonts w:hint="eastAsia"/>
          <w:color w:val="auto"/>
          <w:highlight w:val="none"/>
          <w:shd w:val="clear" w:color="auto" w:fill="auto"/>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9</w:t>
      </w:r>
      <w:r>
        <w:rPr>
          <w:color w:val="auto"/>
          <w:highlight w:val="none"/>
          <w:shd w:val="clear" w:color="auto" w:fill="auto"/>
        </w:rPr>
        <w:t>.</w:t>
      </w:r>
      <w:r>
        <w:rPr>
          <w:rFonts w:hint="eastAsia"/>
          <w:color w:val="auto"/>
          <w:highlight w:val="none"/>
          <w:shd w:val="clear" w:color="auto" w:fill="auto"/>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color w:val="auto"/>
          <w:highlight w:val="none"/>
          <w:shd w:val="clear" w:color="auto" w:fill="auto"/>
        </w:rPr>
      </w:pPr>
      <w:r>
        <w:rPr>
          <w:rFonts w:hint="eastAsia"/>
          <w:color w:val="auto"/>
          <w:highlight w:val="none"/>
          <w:shd w:val="clear" w:color="auto" w:fill="auto"/>
        </w:rPr>
        <w:t>19.6为保证公平公正，除非另有规定或说明，投标人对同一货物或服务投标时，不得同时提供两套或两套以上的投标方案。</w:t>
      </w:r>
    </w:p>
    <w:p>
      <w:pPr>
        <w:tabs>
          <w:tab w:val="clear" w:pos="426"/>
        </w:tabs>
        <w:rPr>
          <w:color w:val="auto"/>
          <w:highlight w:val="none"/>
          <w:shd w:val="clear" w:color="auto" w:fill="auto"/>
        </w:rPr>
      </w:pPr>
      <w:r>
        <w:rPr>
          <w:rFonts w:hint="eastAsia"/>
          <w:color w:val="auto"/>
          <w:highlight w:val="none"/>
          <w:shd w:val="clear" w:color="auto" w:fill="auto"/>
        </w:rPr>
        <w:t>20．投标文件其他证明文件的要求</w:t>
      </w:r>
    </w:p>
    <w:p>
      <w:pPr>
        <w:tabs>
          <w:tab w:val="clear" w:pos="426"/>
        </w:tabs>
        <w:rPr>
          <w:color w:val="auto"/>
          <w:highlight w:val="none"/>
          <w:shd w:val="clear" w:color="auto" w:fill="auto"/>
        </w:rPr>
      </w:pPr>
      <w:r>
        <w:rPr>
          <w:rFonts w:hint="eastAsia"/>
          <w:color w:val="auto"/>
          <w:highlight w:val="none"/>
          <w:shd w:val="clear" w:color="auto" w:fill="auto"/>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color w:val="auto"/>
          <w:highlight w:val="none"/>
          <w:shd w:val="clear" w:color="auto" w:fill="auto"/>
        </w:rPr>
      </w:pPr>
      <w:r>
        <w:rPr>
          <w:rFonts w:hint="eastAsia"/>
          <w:color w:val="auto"/>
          <w:highlight w:val="none"/>
          <w:shd w:val="clear" w:color="auto" w:fill="auto"/>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color w:val="auto"/>
          <w:highlight w:val="none"/>
          <w:shd w:val="clear" w:color="auto" w:fill="auto"/>
        </w:rPr>
      </w:pPr>
      <w:bookmarkStart w:id="197" w:name="_Toc73518136"/>
      <w:bookmarkStart w:id="198" w:name="_Toc73521566"/>
      <w:bookmarkStart w:id="199" w:name="_Toc100052383"/>
      <w:bookmarkStart w:id="200" w:name="_Toc73517658"/>
      <w:bookmarkStart w:id="201" w:name="_Toc60560644"/>
      <w:bookmarkStart w:id="202" w:name="_Toc60631639"/>
      <w:bookmarkStart w:id="203" w:name="_Toc73521654"/>
      <w:r>
        <w:rPr>
          <w:rFonts w:hint="eastAsia"/>
          <w:color w:val="auto"/>
          <w:highlight w:val="none"/>
          <w:shd w:val="clear" w:color="auto" w:fill="auto"/>
        </w:rPr>
        <w:t>21．投标有效期</w:t>
      </w:r>
      <w:bookmarkEnd w:id="197"/>
      <w:bookmarkEnd w:id="198"/>
      <w:bookmarkEnd w:id="199"/>
      <w:bookmarkEnd w:id="200"/>
      <w:bookmarkEnd w:id="201"/>
      <w:bookmarkEnd w:id="202"/>
      <w:bookmarkEnd w:id="203"/>
    </w:p>
    <w:p>
      <w:pPr>
        <w:tabs>
          <w:tab w:val="clear" w:pos="426"/>
        </w:tabs>
        <w:rPr>
          <w:color w:val="auto"/>
          <w:highlight w:val="none"/>
          <w:shd w:val="clear" w:color="auto" w:fill="auto"/>
        </w:rPr>
      </w:pPr>
      <w:r>
        <w:rPr>
          <w:rFonts w:hint="eastAsia"/>
          <w:color w:val="auto"/>
          <w:highlight w:val="none"/>
          <w:shd w:val="clear" w:color="auto" w:fill="auto"/>
        </w:rPr>
        <w:t>21.1 投标有效期为从投标截止之日算起的日历天数，具体见专用条款中投标有效期的天数要求。在此期限内，所有投标文件均保持有效；</w:t>
      </w:r>
    </w:p>
    <w:p>
      <w:pPr>
        <w:tabs>
          <w:tab w:val="clear" w:pos="426"/>
        </w:tabs>
        <w:rPr>
          <w:color w:val="auto"/>
          <w:highlight w:val="none"/>
          <w:shd w:val="clear" w:color="auto" w:fill="auto"/>
        </w:rPr>
      </w:pPr>
      <w:r>
        <w:rPr>
          <w:rFonts w:hint="eastAsia"/>
          <w:color w:val="auto"/>
          <w:highlight w:val="none"/>
          <w:shd w:val="clear" w:color="auto" w:fill="auto"/>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rPr>
          <w:color w:val="auto"/>
          <w:highlight w:val="none"/>
          <w:shd w:val="clear" w:color="auto" w:fill="auto"/>
        </w:rPr>
      </w:pPr>
      <w:r>
        <w:rPr>
          <w:rFonts w:hint="eastAsia"/>
          <w:color w:val="auto"/>
          <w:highlight w:val="none"/>
          <w:shd w:val="clear" w:color="auto" w:fill="auto"/>
        </w:rPr>
        <w:t>21</w:t>
      </w:r>
      <w:r>
        <w:rPr>
          <w:color w:val="auto"/>
          <w:highlight w:val="none"/>
          <w:shd w:val="clear" w:color="auto" w:fill="auto"/>
        </w:rPr>
        <w:t>.3</w:t>
      </w:r>
      <w:r>
        <w:rPr>
          <w:rFonts w:hint="eastAsia"/>
          <w:color w:val="auto"/>
          <w:highlight w:val="none"/>
          <w:shd w:val="clear" w:color="auto" w:fill="auto"/>
        </w:rPr>
        <w:t xml:space="preserve"> 中标单位的投标书有效期，截止于完成本招标文件规定的全部项目内容，并通过竣工验收及保修结束。</w:t>
      </w:r>
    </w:p>
    <w:p>
      <w:pPr>
        <w:tabs>
          <w:tab w:val="clear" w:pos="426"/>
        </w:tabs>
        <w:rPr>
          <w:color w:val="auto"/>
          <w:highlight w:val="none"/>
          <w:shd w:val="clear" w:color="auto" w:fill="auto"/>
        </w:rPr>
      </w:pPr>
      <w:bookmarkStart w:id="204" w:name="_Toc73521655"/>
      <w:bookmarkStart w:id="205" w:name="_Toc73521567"/>
      <w:bookmarkStart w:id="206" w:name="_Toc73517659"/>
      <w:bookmarkStart w:id="207" w:name="_Toc100052384"/>
      <w:bookmarkStart w:id="208" w:name="_Toc60631640"/>
      <w:bookmarkStart w:id="209" w:name="_Toc73518137"/>
      <w:bookmarkStart w:id="210" w:name="_Toc60560645"/>
      <w:r>
        <w:rPr>
          <w:rFonts w:hint="eastAsia"/>
          <w:color w:val="auto"/>
          <w:highlight w:val="none"/>
          <w:shd w:val="clear" w:color="auto" w:fill="auto"/>
        </w:rPr>
        <w:t>22．投标</w:t>
      </w:r>
      <w:bookmarkEnd w:id="204"/>
      <w:bookmarkEnd w:id="205"/>
      <w:bookmarkEnd w:id="206"/>
      <w:bookmarkEnd w:id="207"/>
      <w:bookmarkEnd w:id="208"/>
      <w:bookmarkEnd w:id="209"/>
      <w:bookmarkEnd w:id="210"/>
      <w:r>
        <w:rPr>
          <w:rFonts w:hint="eastAsia"/>
          <w:color w:val="auto"/>
          <w:highlight w:val="none"/>
          <w:shd w:val="clear" w:color="auto" w:fill="auto"/>
        </w:rPr>
        <w:t>保证金</w:t>
      </w:r>
    </w:p>
    <w:p>
      <w:pPr>
        <w:tabs>
          <w:tab w:val="clear" w:pos="426"/>
        </w:tabs>
        <w:rPr>
          <w:color w:val="auto"/>
          <w:highlight w:val="none"/>
          <w:shd w:val="clear" w:color="auto" w:fill="auto"/>
        </w:rPr>
      </w:pPr>
      <w:bookmarkStart w:id="211" w:name="_Toc73521568"/>
      <w:bookmarkStart w:id="212" w:name="_Toc100052385"/>
      <w:bookmarkStart w:id="213" w:name="_Toc73517660"/>
      <w:bookmarkStart w:id="214" w:name="_Toc60560646"/>
      <w:bookmarkStart w:id="215" w:name="_Toc73521656"/>
      <w:bookmarkStart w:id="216" w:name="_Toc60631641"/>
      <w:bookmarkStart w:id="217" w:name="_Toc73518138"/>
      <w:r>
        <w:rPr>
          <w:rFonts w:hint="eastAsia"/>
          <w:color w:val="auto"/>
          <w:highlight w:val="none"/>
          <w:shd w:val="clear" w:color="auto" w:fill="auto"/>
          <w:lang w:eastAsia="zh-CN"/>
        </w:rPr>
        <w:t>本项目不要求缴纳投标保证金</w:t>
      </w:r>
      <w:r>
        <w:rPr>
          <w:rFonts w:hint="eastAsia"/>
          <w:color w:val="auto"/>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23．投标人的替代方案</w:t>
      </w:r>
      <w:bookmarkEnd w:id="211"/>
      <w:bookmarkEnd w:id="212"/>
      <w:bookmarkEnd w:id="213"/>
      <w:bookmarkEnd w:id="214"/>
      <w:bookmarkEnd w:id="215"/>
      <w:bookmarkEnd w:id="216"/>
      <w:bookmarkEnd w:id="217"/>
    </w:p>
    <w:p>
      <w:pPr>
        <w:tabs>
          <w:tab w:val="clear" w:pos="426"/>
        </w:tabs>
        <w:rPr>
          <w:color w:val="auto"/>
          <w:highlight w:val="none"/>
          <w:shd w:val="clear" w:color="auto" w:fill="auto"/>
        </w:rPr>
      </w:pPr>
      <w:r>
        <w:rPr>
          <w:rFonts w:hint="eastAsia"/>
          <w:color w:val="auto"/>
          <w:highlight w:val="none"/>
          <w:shd w:val="clear" w:color="auto" w:fill="auto"/>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color w:val="auto"/>
          <w:sz w:val="30"/>
          <w:szCs w:val="30"/>
          <w:highlight w:val="none"/>
          <w:shd w:val="clear" w:color="auto" w:fill="auto"/>
        </w:rPr>
      </w:pPr>
      <w:r>
        <w:rPr>
          <w:rFonts w:hint="eastAsia"/>
          <w:color w:val="auto"/>
          <w:highlight w:val="none"/>
          <w:shd w:val="clear" w:color="auto" w:fill="auto"/>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8" w:name="_Toc73518144"/>
      <w:bookmarkStart w:id="219" w:name="_Toc73521662"/>
      <w:bookmarkStart w:id="220" w:name="_Toc100052391"/>
      <w:bookmarkStart w:id="221" w:name="_Toc73517666"/>
      <w:bookmarkStart w:id="222" w:name="_Toc101074881"/>
      <w:bookmarkStart w:id="223" w:name="_Toc73521574"/>
    </w:p>
    <w:p>
      <w:pPr>
        <w:tabs>
          <w:tab w:val="clear" w:pos="426"/>
        </w:tabs>
        <w:rPr>
          <w:color w:val="auto"/>
          <w:highlight w:val="none"/>
          <w:shd w:val="clear" w:color="auto" w:fill="auto"/>
        </w:rPr>
      </w:pPr>
      <w:bookmarkStart w:id="224" w:name="_Toc98817934"/>
      <w:bookmarkStart w:id="225" w:name="_Toc157847820"/>
      <w:bookmarkStart w:id="226" w:name="_Toc201401576"/>
      <w:bookmarkStart w:id="227" w:name="_Toc135666815"/>
      <w:bookmarkStart w:id="228" w:name="_Toc148779952"/>
      <w:bookmarkStart w:id="229" w:name="_Toc148954859"/>
      <w:bookmarkStart w:id="230" w:name="_Toc143658455"/>
      <w:bookmarkStart w:id="231" w:name="_Toc148413300"/>
      <w:bookmarkStart w:id="232" w:name="_Toc188869280"/>
      <w:bookmarkStart w:id="233" w:name="_Toc148329801"/>
      <w:bookmarkStart w:id="234" w:name="_Toc148954464"/>
      <w:bookmarkStart w:id="235" w:name="_Toc148780238"/>
      <w:bookmarkStart w:id="236" w:name="_Toc201997835"/>
      <w:bookmarkStart w:id="237" w:name="_Toc148778157"/>
      <w:bookmarkStart w:id="238" w:name="_Toc135666628"/>
      <w:bookmarkStart w:id="239" w:name="_Toc187729580"/>
      <w:bookmarkStart w:id="240" w:name="_Toc163530302"/>
      <w:bookmarkStart w:id="241" w:name="_Toc201401384"/>
      <w:bookmarkStart w:id="242" w:name="_Toc134852021"/>
      <w:r>
        <w:rPr>
          <w:rFonts w:hint="eastAsia"/>
          <w:color w:val="auto"/>
          <w:highlight w:val="none"/>
          <w:shd w:val="clear" w:color="auto" w:fill="auto"/>
        </w:rPr>
        <w:t>24． 投标文件的密封、标记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color w:val="auto"/>
          <w:highlight w:val="none"/>
          <w:shd w:val="clear" w:color="auto" w:fill="auto"/>
        </w:rPr>
        <w:t>和装订</w:t>
      </w:r>
    </w:p>
    <w:p>
      <w:pPr>
        <w:widowControl w:val="0"/>
        <w:shd w:val="clear" w:color="auto" w:fill="auto"/>
        <w:tabs>
          <w:tab w:val="clear" w:pos="426"/>
        </w:tabs>
        <w:autoSpaceDE w:val="0"/>
        <w:autoSpaceDN w:val="0"/>
        <w:rPr>
          <w:rFonts w:cs="黑体"/>
          <w:bCs/>
          <w:color w:val="auto"/>
          <w:szCs w:val="21"/>
          <w:highlight w:val="none"/>
          <w:shd w:val="clear" w:color="auto" w:fill="auto"/>
        </w:rPr>
      </w:pPr>
      <w:r>
        <w:rPr>
          <w:color w:val="auto"/>
          <w:highlight w:val="none"/>
          <w:shd w:val="clear" w:color="auto" w:fill="auto"/>
        </w:rPr>
        <w:t xml:space="preserve">24.1 </w:t>
      </w:r>
      <w:r>
        <w:rPr>
          <w:rFonts w:hint="eastAsia" w:cs="黑体"/>
          <w:bCs/>
          <w:color w:val="auto"/>
          <w:szCs w:val="21"/>
          <w:highlight w:val="none"/>
          <w:shd w:val="clear" w:color="auto" w:fill="auto"/>
        </w:rPr>
        <w:t>为方便开标唱标，投标人应单独提交一个密封信封，并在信封上标明“开标信封”的字样，内容包括开标一览表</w:t>
      </w:r>
      <w:r>
        <w:rPr>
          <w:rFonts w:cs="黑体"/>
          <w:bCs/>
          <w:color w:val="auto"/>
          <w:szCs w:val="21"/>
          <w:highlight w:val="none"/>
          <w:shd w:val="clear" w:color="auto" w:fill="auto"/>
        </w:rPr>
        <w:t>(报价表)、法定代表人证明书、法定代表人授权委托书、被授权人身份证复印件、</w:t>
      </w:r>
      <w:r>
        <w:rPr>
          <w:rFonts w:hint="eastAsia"/>
          <w:color w:val="auto"/>
          <w:szCs w:val="21"/>
          <w:highlight w:val="none"/>
          <w:shd w:val="clear" w:color="auto" w:fill="auto"/>
        </w:rPr>
        <w:t>投标文件电子光盘</w:t>
      </w:r>
      <w:r>
        <w:rPr>
          <w:rFonts w:hint="eastAsia" w:cs="黑体"/>
          <w:bCs/>
          <w:color w:val="auto"/>
          <w:szCs w:val="21"/>
          <w:highlight w:val="none"/>
          <w:shd w:val="clear" w:color="auto" w:fill="auto"/>
        </w:rPr>
        <w:t>，若本项目（或包组）接受联合体投标，则联合体投标，应将各方共同签署的《联合投标协议》和《投标联合体授权主体方协议书》一并提交。开标信封是投标文件的组成部分。</w:t>
      </w:r>
    </w:p>
    <w:p>
      <w:pPr>
        <w:tabs>
          <w:tab w:val="clear" w:pos="426"/>
        </w:tabs>
        <w:rPr>
          <w:color w:val="auto"/>
          <w:szCs w:val="21"/>
          <w:highlight w:val="none"/>
          <w:shd w:val="clear" w:color="auto" w:fill="auto"/>
        </w:rPr>
      </w:pPr>
      <w:r>
        <w:rPr>
          <w:color w:val="auto"/>
          <w:highlight w:val="none"/>
          <w:shd w:val="clear" w:color="auto" w:fill="auto"/>
        </w:rP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rPr>
          <w:color w:val="auto"/>
          <w:highlight w:val="none"/>
          <w:shd w:val="clear" w:color="auto" w:fill="auto"/>
        </w:rPr>
      </w:pPr>
      <w:r>
        <w:rPr>
          <w:rFonts w:hint="eastAsia"/>
          <w:color w:val="auto"/>
          <w:highlight w:val="none"/>
          <w:shd w:val="clear" w:color="auto" w:fill="auto"/>
        </w:rPr>
        <w:t>投标文件</w:t>
      </w:r>
      <w:r>
        <w:rPr>
          <w:color w:val="auto"/>
          <w:highlight w:val="non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项目编号：</w:t>
      </w:r>
      <w:r>
        <w:rPr>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项目名称：</w:t>
      </w:r>
      <w:r>
        <w:rPr>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投标人名称（盖章）：</w:t>
      </w:r>
      <w:r>
        <w:rPr>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投标截止时间：</w:t>
      </w:r>
      <w:r>
        <w:rPr>
          <w:color w:val="auto"/>
          <w:highlight w:val="none"/>
          <w:u w:val="single"/>
          <w:shd w:val="clear" w:color="auto" w:fill="auto"/>
        </w:rPr>
        <w:t xml:space="preserve">       年      月      日      时      分（前不得开封）</w:t>
      </w:r>
      <w:r>
        <w:rPr>
          <w:rFonts w:hint="eastAsia"/>
          <w:color w:val="auto"/>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24.3  所有投标文件的密封袋的封口处均应加盖投标人公章。</w:t>
      </w:r>
    </w:p>
    <w:p>
      <w:pPr>
        <w:tabs>
          <w:tab w:val="clear" w:pos="426"/>
        </w:tabs>
        <w:rPr>
          <w:color w:val="auto"/>
          <w:highlight w:val="none"/>
          <w:shd w:val="clear" w:color="auto" w:fill="auto"/>
        </w:rPr>
      </w:pPr>
      <w:r>
        <w:rPr>
          <w:rFonts w:hint="eastAsia"/>
          <w:color w:val="auto"/>
          <w:highlight w:val="none"/>
          <w:shd w:val="clear" w:color="auto" w:fill="auto"/>
        </w:rPr>
        <w:t>24.4  对于因标书标识不清、装订不牢、密封不严等导致的不利后果由该投标人自负。</w:t>
      </w:r>
    </w:p>
    <w:p>
      <w:pPr>
        <w:tabs>
          <w:tab w:val="clear" w:pos="426"/>
        </w:tabs>
        <w:rPr>
          <w:color w:val="auto"/>
          <w:szCs w:val="21"/>
          <w:highlight w:val="none"/>
          <w:shd w:val="clear" w:color="auto" w:fill="auto"/>
        </w:rPr>
      </w:pPr>
      <w:r>
        <w:rPr>
          <w:rFonts w:hint="eastAsia"/>
          <w:color w:val="auto"/>
          <w:szCs w:val="21"/>
          <w:highlight w:val="none"/>
          <w:shd w:val="clear" w:color="auto" w:fill="auto"/>
        </w:rPr>
        <w:t>24.5  投标方应将投标文件按24.1-24.2中的规定进行密封和标记后，按专用条款中采购公告注明的地址送至招标机构。</w:t>
      </w:r>
    </w:p>
    <w:p>
      <w:pPr>
        <w:tabs>
          <w:tab w:val="clear" w:pos="426"/>
        </w:tabs>
        <w:rPr>
          <w:color w:val="auto"/>
          <w:szCs w:val="21"/>
          <w:highlight w:val="none"/>
          <w:shd w:val="clear" w:color="auto" w:fill="auto"/>
        </w:rPr>
      </w:pPr>
      <w:r>
        <w:rPr>
          <w:rFonts w:hint="eastAsia"/>
          <w:color w:val="auto"/>
          <w:szCs w:val="21"/>
          <w:highlight w:val="none"/>
          <w:shd w:val="clear" w:color="auto" w:fill="auto"/>
        </w:rPr>
        <w:t>24.6  邮寄、电报、电话、传真形式的投标概不接受。</w:t>
      </w:r>
    </w:p>
    <w:p>
      <w:pPr>
        <w:tabs>
          <w:tab w:val="clear" w:pos="426"/>
        </w:tabs>
        <w:rPr>
          <w:b/>
          <w:color w:val="auto"/>
          <w:szCs w:val="21"/>
          <w:highlight w:val="none"/>
          <w:shd w:val="clear" w:color="auto" w:fill="auto"/>
        </w:rPr>
      </w:pPr>
      <w:r>
        <w:rPr>
          <w:rFonts w:hint="eastAsia"/>
          <w:b/>
          <w:color w:val="auto"/>
          <w:szCs w:val="21"/>
          <w:highlight w:val="none"/>
          <w:shd w:val="clear" w:color="auto" w:fill="auto"/>
        </w:rPr>
        <w:t xml:space="preserve">24.7  </w:t>
      </w:r>
      <w:r>
        <w:rPr>
          <w:rFonts w:hint="eastAsia"/>
          <w:b/>
          <w:bCs/>
          <w:color w:val="auto"/>
          <w:szCs w:val="21"/>
          <w:highlight w:val="none"/>
          <w:shd w:val="clear" w:color="auto" w:fill="auto"/>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auto"/>
          <w:szCs w:val="21"/>
          <w:highlight w:val="none"/>
          <w:shd w:val="clear" w:color="auto" w:fill="auto"/>
        </w:rPr>
      </w:pPr>
      <w:r>
        <w:rPr>
          <w:rFonts w:hint="eastAsia"/>
          <w:color w:val="auto"/>
          <w:szCs w:val="21"/>
          <w:highlight w:val="none"/>
          <w:shd w:val="clear" w:color="auto" w:fill="auto"/>
        </w:rPr>
        <w:t>25． 投标截止时间</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招标机构在投标人须知第24</w:t>
      </w:r>
      <w:r>
        <w:rPr>
          <w:color w:val="auto"/>
          <w:szCs w:val="21"/>
          <w:highlight w:val="none"/>
          <w:shd w:val="clear" w:color="auto" w:fill="auto"/>
        </w:rPr>
        <w:t>.</w:t>
      </w:r>
      <w:r>
        <w:rPr>
          <w:rFonts w:hint="eastAsia"/>
          <w:color w:val="auto"/>
          <w:szCs w:val="21"/>
          <w:highlight w:val="none"/>
          <w:shd w:val="clear" w:color="auto" w:fill="auto"/>
        </w:rPr>
        <w:t>5条规定的地址收到投标书的时间不得迟于“投标人须知前附表”第</w:t>
      </w:r>
      <w:r>
        <w:rPr>
          <w:color w:val="auto"/>
          <w:szCs w:val="21"/>
          <w:highlight w:val="none"/>
          <w:shd w:val="clear" w:color="auto" w:fill="auto"/>
        </w:rPr>
        <w:t>19</w:t>
      </w:r>
      <w:r>
        <w:rPr>
          <w:rFonts w:hint="eastAsia"/>
          <w:color w:val="auto"/>
          <w:szCs w:val="21"/>
          <w:highlight w:val="none"/>
          <w:shd w:val="clear" w:color="auto" w:fill="auto"/>
        </w:rPr>
        <w:t>项所规定的时间。</w:t>
      </w:r>
    </w:p>
    <w:p>
      <w:pPr>
        <w:tabs>
          <w:tab w:val="clear" w:pos="426"/>
        </w:tabs>
        <w:rPr>
          <w:color w:val="auto"/>
          <w:szCs w:val="21"/>
          <w:highlight w:val="none"/>
          <w:shd w:val="clear" w:color="auto" w:fill="auto"/>
        </w:rPr>
      </w:pPr>
      <w:r>
        <w:rPr>
          <w:rFonts w:hint="eastAsia"/>
          <w:color w:val="auto"/>
          <w:szCs w:val="21"/>
          <w:highlight w:val="none"/>
          <w:shd w:val="clear" w:color="auto" w:fill="auto"/>
        </w:rPr>
        <w:t>26．迟交的投标书</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按照本通用条款第25条规定，招标机构将拒绝并原封退回在其规定的投标截止期后收到的任何投标书。</w:t>
      </w:r>
    </w:p>
    <w:p>
      <w:pPr>
        <w:tabs>
          <w:tab w:val="clear" w:pos="426"/>
        </w:tabs>
        <w:rPr>
          <w:color w:val="auto"/>
          <w:highlight w:val="none"/>
          <w:shd w:val="clear" w:color="auto" w:fill="auto"/>
        </w:rPr>
      </w:pPr>
      <w:r>
        <w:rPr>
          <w:rFonts w:hint="eastAsia"/>
          <w:color w:val="auto"/>
          <w:highlight w:val="none"/>
          <w:shd w:val="clear" w:color="auto" w:fill="auto"/>
        </w:rPr>
        <w:t>27． 投标文件的提交和截标时投标文件的数量要求</w:t>
      </w:r>
    </w:p>
    <w:p>
      <w:pPr>
        <w:tabs>
          <w:tab w:val="clear" w:pos="426"/>
        </w:tabs>
        <w:rPr>
          <w:color w:val="auto"/>
          <w:highlight w:val="none"/>
          <w:shd w:val="clear" w:color="auto" w:fill="auto"/>
        </w:rPr>
      </w:pPr>
      <w:r>
        <w:rPr>
          <w:rFonts w:hint="eastAsia"/>
          <w:color w:val="auto"/>
          <w:highlight w:val="none"/>
          <w:shd w:val="clear" w:color="auto" w:fill="auto"/>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color w:val="auto"/>
          <w:highlight w:val="none"/>
          <w:shd w:val="clear" w:color="auto" w:fill="auto"/>
        </w:rPr>
      </w:pPr>
      <w:r>
        <w:rPr>
          <w:rFonts w:hint="eastAsia"/>
          <w:color w:val="auto"/>
          <w:highlight w:val="none"/>
          <w:shd w:val="clear" w:color="auto" w:fill="auto"/>
        </w:rPr>
        <w:t xml:space="preserve">27.2  </w:t>
      </w:r>
      <w:r>
        <w:rPr>
          <w:color w:val="auto"/>
          <w:highlight w:val="none"/>
          <w:shd w:val="clear" w:color="auto" w:fill="auto"/>
        </w:rPr>
        <w:t>截标时</w:t>
      </w:r>
      <w:r>
        <w:rPr>
          <w:rFonts w:hint="eastAsia"/>
          <w:color w:val="auto"/>
          <w:highlight w:val="none"/>
          <w:shd w:val="clear" w:color="auto" w:fill="auto"/>
        </w:rPr>
        <w:t>递</w:t>
      </w:r>
      <w:r>
        <w:rPr>
          <w:color w:val="auto"/>
          <w:highlight w:val="none"/>
          <w:shd w:val="clear" w:color="auto" w:fill="auto"/>
        </w:rPr>
        <w:t>交标书的投标人数</w:t>
      </w:r>
      <w:r>
        <w:rPr>
          <w:rFonts w:hint="eastAsia"/>
          <w:color w:val="auto"/>
          <w:highlight w:val="none"/>
          <w:shd w:val="clear" w:color="auto" w:fill="auto"/>
        </w:rPr>
        <w:t>量未达到法定家数的，采购代理机构将按法律法规的规定暂停</w:t>
      </w:r>
      <w:r>
        <w:rPr>
          <w:color w:val="auto"/>
          <w:highlight w:val="none"/>
          <w:shd w:val="clear" w:color="auto" w:fill="auto"/>
        </w:rPr>
        <w:t>开标和评标程序</w:t>
      </w:r>
      <w:r>
        <w:rPr>
          <w:rFonts w:hint="eastAsia"/>
          <w:color w:val="auto"/>
          <w:highlight w:val="none"/>
          <w:shd w:val="clear" w:color="auto" w:fill="auto"/>
        </w:rPr>
        <w:t>。如导致招标失败，采购人或采购代理机构将不负担因此给</w:t>
      </w:r>
      <w:r>
        <w:rPr>
          <w:color w:val="auto"/>
          <w:highlight w:val="none"/>
          <w:shd w:val="clear" w:color="auto" w:fill="auto"/>
        </w:rPr>
        <w:t>投标人</w:t>
      </w:r>
      <w:r>
        <w:rPr>
          <w:rFonts w:hint="eastAsia"/>
          <w:color w:val="auto"/>
          <w:highlight w:val="none"/>
          <w:shd w:val="clear" w:color="auto" w:fill="auto"/>
        </w:rPr>
        <w:t>造成的损失。</w:t>
      </w:r>
    </w:p>
    <w:p>
      <w:pPr>
        <w:tabs>
          <w:tab w:val="clear" w:pos="426"/>
        </w:tabs>
        <w:rPr>
          <w:color w:val="auto"/>
          <w:highlight w:val="none"/>
          <w:shd w:val="clear" w:color="auto" w:fill="auto"/>
        </w:rPr>
      </w:pPr>
      <w:bookmarkStart w:id="243" w:name="_Toc188869283"/>
      <w:bookmarkStart w:id="244" w:name="_Toc201997837"/>
      <w:bookmarkStart w:id="245" w:name="_Toc157847823"/>
      <w:bookmarkStart w:id="246" w:name="_Toc148413303"/>
      <w:bookmarkStart w:id="247" w:name="_Toc201401386"/>
      <w:bookmarkStart w:id="248" w:name="_Toc148954467"/>
      <w:bookmarkStart w:id="249" w:name="_Toc134852024"/>
      <w:bookmarkStart w:id="250" w:name="_Toc201401578"/>
      <w:bookmarkStart w:id="251" w:name="_Toc135666818"/>
      <w:bookmarkStart w:id="252" w:name="_Toc148778160"/>
      <w:bookmarkStart w:id="253" w:name="_Toc135666631"/>
      <w:bookmarkStart w:id="254" w:name="_Toc98817937"/>
      <w:bookmarkStart w:id="255" w:name="_Toc143658458"/>
      <w:bookmarkStart w:id="256" w:name="_Toc187729583"/>
      <w:bookmarkStart w:id="257" w:name="_Toc163530305"/>
      <w:bookmarkStart w:id="258" w:name="_Toc148954862"/>
      <w:bookmarkStart w:id="259" w:name="_Toc148780241"/>
      <w:bookmarkStart w:id="260" w:name="_Toc148779955"/>
      <w:bookmarkStart w:id="261" w:name="_Toc148329804"/>
      <w:r>
        <w:rPr>
          <w:rFonts w:hint="eastAsia"/>
          <w:color w:val="auto"/>
          <w:highlight w:val="none"/>
          <w:shd w:val="clear" w:color="auto" w:fill="auto"/>
        </w:rPr>
        <w:t>28．  投标文件的修改或撤回</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tabs>
          <w:tab w:val="clear" w:pos="426"/>
        </w:tabs>
        <w:rPr>
          <w:color w:val="auto"/>
          <w:highlight w:val="none"/>
          <w:shd w:val="clear" w:color="auto" w:fill="auto"/>
        </w:rPr>
      </w:pPr>
      <w:r>
        <w:rPr>
          <w:rFonts w:hint="eastAsia"/>
          <w:color w:val="auto"/>
          <w:highlight w:val="none"/>
          <w:shd w:val="clear" w:color="auto" w:fill="auto"/>
        </w:rPr>
        <w:t>28.1  投标人已提交投标文件，规定的投标</w:t>
      </w:r>
      <w:r>
        <w:rPr>
          <w:color w:val="auto"/>
          <w:highlight w:val="none"/>
          <w:shd w:val="clear" w:color="auto" w:fill="auto"/>
        </w:rPr>
        <w:t>截止</w:t>
      </w:r>
      <w:r>
        <w:rPr>
          <w:rFonts w:hint="eastAsia"/>
          <w:color w:val="auto"/>
          <w:highlight w:val="none"/>
          <w:shd w:val="clear" w:color="auto" w:fill="auto"/>
        </w:rPr>
        <w:t>时间还未到，投标人可提出对其投标文件的修改或撤回。投标人须提交由投标人代表签名的修改或撤回的书面通知。</w:t>
      </w:r>
    </w:p>
    <w:p>
      <w:pPr>
        <w:tabs>
          <w:tab w:val="clear" w:pos="426"/>
        </w:tabs>
        <w:rPr>
          <w:color w:val="auto"/>
          <w:highlight w:val="none"/>
          <w:shd w:val="clear" w:color="auto" w:fill="auto"/>
        </w:rPr>
      </w:pPr>
      <w:r>
        <w:rPr>
          <w:rFonts w:hint="eastAsia"/>
          <w:color w:val="auto"/>
          <w:highlight w:val="none"/>
          <w:shd w:val="clear" w:color="auto" w:fill="auto"/>
        </w:rPr>
        <w:t>28.2  采购代理机构收到由投标人代表签名的修改或撤回的书面通知并确认后，投标人可对其投标文件进行修改，或是撤回其投标。</w:t>
      </w:r>
    </w:p>
    <w:p>
      <w:pPr>
        <w:tabs>
          <w:tab w:val="clear" w:pos="426"/>
        </w:tabs>
        <w:rPr>
          <w:color w:val="auto"/>
          <w:highlight w:val="none"/>
          <w:shd w:val="clear" w:color="auto" w:fill="auto"/>
        </w:rPr>
      </w:pPr>
      <w:bookmarkStart w:id="262" w:name="_Toc188869284"/>
      <w:r>
        <w:rPr>
          <w:rFonts w:hint="eastAsia"/>
          <w:color w:val="auto"/>
          <w:highlight w:val="none"/>
          <w:shd w:val="clear" w:color="auto" w:fill="auto"/>
        </w:rPr>
        <w:t>28.3  投标人的修改文件应按照本招标文件的规定进行编制、密封、标记和提交，并在密封袋上注明“投标修改”。</w:t>
      </w:r>
    </w:p>
    <w:p>
      <w:pPr>
        <w:tabs>
          <w:tab w:val="clear" w:pos="426"/>
        </w:tabs>
        <w:rPr>
          <w:color w:val="auto"/>
          <w:highlight w:val="none"/>
          <w:shd w:val="clear" w:color="auto" w:fill="auto"/>
        </w:rPr>
      </w:pPr>
      <w:r>
        <w:rPr>
          <w:rFonts w:hint="eastAsia"/>
          <w:color w:val="auto"/>
          <w:highlight w:val="none"/>
          <w:shd w:val="clear" w:color="auto" w:fill="auto"/>
        </w:rPr>
        <w:t>28.4  投标截止时间之后至投标文件有效期终止之前，投标人不得要求撤回其投标。在此期间撤回投标的，其投标担保将会被没收。</w:t>
      </w:r>
    </w:p>
    <w:p>
      <w:pPr>
        <w:tabs>
          <w:tab w:val="clear" w:pos="426"/>
        </w:tabs>
        <w:rPr>
          <w:color w:val="auto"/>
          <w:highlight w:val="none"/>
          <w:shd w:val="clear" w:color="auto" w:fill="auto"/>
        </w:rPr>
      </w:pPr>
      <w:r>
        <w:rPr>
          <w:rFonts w:hint="eastAsia"/>
          <w:color w:val="auto"/>
          <w:highlight w:val="none"/>
          <w:shd w:val="clear" w:color="auto" w:fill="auto"/>
        </w:rPr>
        <w:t>28.5  评标结束后，不论中标与否，投标人均不得收回投标文件。</w:t>
      </w:r>
    </w:p>
    <w:bookmarkEnd w:id="262"/>
    <w:p>
      <w:pPr>
        <w:pStyle w:val="6"/>
        <w:tabs>
          <w:tab w:val="clear" w:pos="426"/>
        </w:tabs>
        <w:rPr>
          <w:color w:val="auto"/>
          <w:highlight w:val="none"/>
          <w:shd w:val="clear" w:color="auto" w:fill="auto"/>
        </w:rPr>
      </w:pPr>
      <w:bookmarkStart w:id="263" w:name="_Toc7676"/>
      <w:bookmarkStart w:id="264" w:name="_Toc398220532"/>
      <w:bookmarkStart w:id="265" w:name="_Toc3628667"/>
      <w:bookmarkStart w:id="266" w:name="_Toc432592824"/>
      <w:r>
        <w:rPr>
          <w:rFonts w:hint="eastAsia"/>
          <w:color w:val="auto"/>
          <w:highlight w:val="none"/>
          <w:shd w:val="clear" w:color="auto" w:fill="auto"/>
        </w:rPr>
        <w:t>第四章 开标</w:t>
      </w:r>
      <w:bookmarkEnd w:id="218"/>
      <w:bookmarkEnd w:id="219"/>
      <w:bookmarkEnd w:id="220"/>
      <w:bookmarkEnd w:id="221"/>
      <w:bookmarkEnd w:id="222"/>
      <w:bookmarkEnd w:id="223"/>
      <w:bookmarkEnd w:id="263"/>
      <w:bookmarkEnd w:id="264"/>
      <w:bookmarkEnd w:id="265"/>
      <w:bookmarkEnd w:id="266"/>
    </w:p>
    <w:p>
      <w:pPr>
        <w:tabs>
          <w:tab w:val="clear" w:pos="426"/>
        </w:tabs>
        <w:rPr>
          <w:color w:val="auto"/>
          <w:highlight w:val="none"/>
          <w:shd w:val="clear" w:color="auto" w:fill="auto"/>
        </w:rPr>
      </w:pPr>
      <w:bookmarkStart w:id="267" w:name="_Toc201997841"/>
      <w:bookmarkStart w:id="268" w:name="_Toc201401580"/>
      <w:bookmarkStart w:id="269" w:name="_Toc201401388"/>
      <w:bookmarkStart w:id="270" w:name="_Toc148780243"/>
      <w:bookmarkStart w:id="271" w:name="_Toc148779957"/>
      <w:bookmarkStart w:id="272" w:name="_Toc148329806"/>
      <w:bookmarkStart w:id="273" w:name="_Toc157847825"/>
      <w:bookmarkStart w:id="274" w:name="_Toc135666820"/>
      <w:bookmarkStart w:id="275" w:name="_Toc148778162"/>
      <w:bookmarkStart w:id="276" w:name="_Toc188869286"/>
      <w:bookmarkStart w:id="277" w:name="_Toc163530307"/>
      <w:bookmarkStart w:id="278" w:name="_Toc148954864"/>
      <w:bookmarkStart w:id="279" w:name="_Toc148413305"/>
      <w:bookmarkStart w:id="280" w:name="_Toc143658460"/>
      <w:bookmarkStart w:id="281" w:name="_Toc134852027"/>
      <w:bookmarkStart w:id="282" w:name="_Toc187729585"/>
      <w:bookmarkStart w:id="283" w:name="_Toc148954469"/>
      <w:bookmarkStart w:id="284" w:name="_Toc98817939"/>
      <w:bookmarkStart w:id="285" w:name="_Toc135666633"/>
      <w:bookmarkStart w:id="286" w:name="_Toc73518146"/>
      <w:bookmarkStart w:id="287" w:name="_Toc73517668"/>
      <w:bookmarkStart w:id="288" w:name="_Toc73521576"/>
      <w:bookmarkStart w:id="289" w:name="_Toc73521664"/>
      <w:bookmarkStart w:id="290" w:name="_Toc100052393"/>
      <w:bookmarkStart w:id="291" w:name="_Toc101074882"/>
      <w:r>
        <w:rPr>
          <w:rFonts w:hint="eastAsia"/>
          <w:color w:val="auto"/>
          <w:highlight w:val="none"/>
          <w:shd w:val="clear" w:color="auto" w:fill="auto"/>
        </w:rPr>
        <w:t>29．　开标</w:t>
      </w:r>
      <w:bookmarkEnd w:id="267"/>
      <w:bookmarkEnd w:id="268"/>
      <w:bookmarkEnd w:id="269"/>
    </w:p>
    <w:p>
      <w:pPr>
        <w:tabs>
          <w:tab w:val="clear" w:pos="426"/>
        </w:tabs>
        <w:rPr>
          <w:color w:val="auto"/>
          <w:highlight w:val="none"/>
          <w:shd w:val="clear" w:color="auto" w:fill="auto"/>
        </w:rPr>
      </w:pPr>
      <w:bookmarkStart w:id="292" w:name="_Toc201401581"/>
      <w:bookmarkStart w:id="293" w:name="_Toc201401389"/>
      <w:bookmarkStart w:id="294" w:name="_Toc201997842"/>
      <w:r>
        <w:rPr>
          <w:rFonts w:hint="eastAsia"/>
          <w:color w:val="auto"/>
          <w:highlight w:val="none"/>
          <w:shd w:val="clear" w:color="auto" w:fill="auto"/>
        </w:rPr>
        <w:t>29.1  采购人在“投标须知前附表”中规定的时间、地点组织公开开标。邀请所有投标人代表参加。不参加开标会的投标人，视为其认可开标程序和结果。</w:t>
      </w:r>
      <w:bookmarkEnd w:id="292"/>
      <w:bookmarkEnd w:id="293"/>
      <w:bookmarkEnd w:id="294"/>
    </w:p>
    <w:p>
      <w:pPr>
        <w:tabs>
          <w:tab w:val="clear" w:pos="426"/>
        </w:tabs>
        <w:rPr>
          <w:color w:val="auto"/>
          <w:highlight w:val="none"/>
          <w:shd w:val="clear" w:color="auto" w:fill="auto"/>
        </w:rPr>
      </w:pPr>
      <w:bookmarkStart w:id="295" w:name="_Toc201401390"/>
      <w:bookmarkStart w:id="296" w:name="_Toc201401582"/>
      <w:bookmarkStart w:id="297" w:name="_Toc201997843"/>
      <w:r>
        <w:rPr>
          <w:rFonts w:hint="eastAsia"/>
          <w:color w:val="auto"/>
          <w:highlight w:val="none"/>
          <w:shd w:val="clear" w:color="auto" w:fill="auto"/>
        </w:rPr>
        <w:t>29.2  参加开标会议的投标人只委派一名代表，且必须是本单位法定代表人或授权代表，参加会议人员须提供相应的授权委托书。</w:t>
      </w:r>
    </w:p>
    <w:bookmarkEnd w:id="295"/>
    <w:bookmarkEnd w:id="296"/>
    <w:bookmarkEnd w:id="297"/>
    <w:p>
      <w:pPr>
        <w:tabs>
          <w:tab w:val="clear" w:pos="426"/>
        </w:tabs>
        <w:rPr>
          <w:color w:val="auto"/>
          <w:highlight w:val="none"/>
          <w:shd w:val="clear" w:color="auto" w:fill="auto"/>
        </w:rPr>
      </w:pPr>
      <w:r>
        <w:rPr>
          <w:rFonts w:hint="eastAsia"/>
          <w:color w:val="auto"/>
          <w:highlight w:val="none"/>
          <w:shd w:val="clear" w:color="auto" w:fill="auto"/>
        </w:rPr>
        <w:t>29.3  开标会由采购代理机构主持，开标程序如下：</w:t>
      </w:r>
    </w:p>
    <w:p>
      <w:pPr>
        <w:tabs>
          <w:tab w:val="clear" w:pos="426"/>
        </w:tabs>
        <w:rPr>
          <w:color w:val="auto"/>
          <w:highlight w:val="none"/>
          <w:shd w:val="clear" w:color="auto" w:fill="auto"/>
        </w:rPr>
      </w:pPr>
      <w:r>
        <w:rPr>
          <w:rFonts w:hint="eastAsia"/>
          <w:color w:val="auto"/>
          <w:highlight w:val="none"/>
          <w:shd w:val="clear" w:color="auto" w:fill="auto"/>
        </w:rPr>
        <w:t xml:space="preserve">29.3.1  采购代理机构核对法人代表或其授权代表身份证明，若不能提供相应的身份证明或不相符，则不能参与开标会议； </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tabs>
          <w:tab w:val="clear" w:pos="426"/>
        </w:tabs>
        <w:rPr>
          <w:color w:val="auto"/>
          <w:szCs w:val="21"/>
          <w:highlight w:val="none"/>
          <w:shd w:val="clear" w:color="auto" w:fill="auto"/>
        </w:rPr>
      </w:pPr>
      <w:r>
        <w:rPr>
          <w:rFonts w:hint="eastAsia"/>
          <w:color w:val="auto"/>
          <w:szCs w:val="21"/>
          <w:highlight w:val="none"/>
          <w:shd w:val="clear" w:color="auto" w:fill="auto"/>
        </w:rPr>
        <w:t>29.3.2  招标机构将按“采购公告”规定的时间和地点组织公开开标。投标人应委派代表参加，参加开标的代表应签名报到以证明出席。</w:t>
      </w:r>
    </w:p>
    <w:p>
      <w:pPr>
        <w:tabs>
          <w:tab w:val="clear" w:pos="426"/>
        </w:tabs>
        <w:rPr>
          <w:color w:val="auto"/>
          <w:szCs w:val="21"/>
          <w:highlight w:val="none"/>
          <w:shd w:val="clear" w:color="auto" w:fill="auto"/>
        </w:rPr>
      </w:pPr>
      <w:r>
        <w:rPr>
          <w:rFonts w:hint="eastAsia"/>
          <w:color w:val="auto"/>
          <w:szCs w:val="21"/>
          <w:highlight w:val="none"/>
          <w:shd w:val="clear" w:color="auto" w:fill="auto"/>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auto"/>
          <w:szCs w:val="21"/>
          <w:highlight w:val="none"/>
          <w:shd w:val="clear" w:color="auto" w:fill="auto"/>
        </w:rPr>
      </w:pPr>
      <w:r>
        <w:rPr>
          <w:rFonts w:hint="eastAsia"/>
          <w:color w:val="auto"/>
          <w:szCs w:val="21"/>
          <w:highlight w:val="none"/>
          <w:shd w:val="clear" w:color="auto" w:fill="auto"/>
        </w:rPr>
        <w:t>除了按照本通用条款第26条规定原封退回的投标之外，开标时将不得拒绝任何投标书。</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.3</w:t>
      </w:r>
      <w:r>
        <w:rPr>
          <w:rFonts w:hint="eastAsia"/>
          <w:color w:val="auto"/>
          <w:szCs w:val="21"/>
          <w:highlight w:val="none"/>
          <w:shd w:val="clear" w:color="auto" w:fill="auto"/>
        </w:rPr>
        <w:t xml:space="preserve">.4 </w:t>
      </w:r>
      <w:r>
        <w:rPr>
          <w:color w:val="auto"/>
          <w:szCs w:val="21"/>
          <w:highlight w:val="none"/>
          <w:shd w:val="clear" w:color="auto" w:fill="auto"/>
        </w:rPr>
        <w:t xml:space="preserve"> </w:t>
      </w:r>
      <w:r>
        <w:rPr>
          <w:rFonts w:hint="eastAsia"/>
          <w:color w:val="auto"/>
          <w:szCs w:val="21"/>
          <w:highlight w:val="none"/>
          <w:shd w:val="clear" w:color="auto" w:fill="auto"/>
        </w:rPr>
        <w:t>开标时，招标机构仅拆封开标信封。如投标人未单独密封包装开标信封，招标机构有权拆封投标文件。</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w:t>
      </w:r>
      <w:r>
        <w:rPr>
          <w:rFonts w:hint="eastAsia"/>
          <w:color w:val="auto"/>
          <w:szCs w:val="21"/>
          <w:highlight w:val="none"/>
          <w:shd w:val="clear" w:color="auto" w:fill="auto"/>
        </w:rPr>
        <w:t>3.5</w:t>
      </w:r>
      <w:r>
        <w:rPr>
          <w:color w:val="auto"/>
          <w:szCs w:val="21"/>
          <w:highlight w:val="none"/>
          <w:shd w:val="clear" w:color="auto" w:fill="auto"/>
        </w:rPr>
        <w:t xml:space="preserve">  </w:t>
      </w:r>
      <w:r>
        <w:rPr>
          <w:rFonts w:hint="eastAsia"/>
          <w:color w:val="auto"/>
          <w:szCs w:val="21"/>
          <w:highlight w:val="none"/>
          <w:shd w:val="clear" w:color="auto" w:fill="auto"/>
        </w:rPr>
        <w:t>按照投标人须知第</w:t>
      </w:r>
      <w:r>
        <w:rPr>
          <w:color w:val="auto"/>
          <w:szCs w:val="21"/>
          <w:highlight w:val="none"/>
          <w:shd w:val="clear" w:color="auto" w:fill="auto"/>
        </w:rPr>
        <w:t>2</w:t>
      </w:r>
      <w:r>
        <w:rPr>
          <w:rFonts w:hint="eastAsia"/>
          <w:color w:val="auto"/>
          <w:szCs w:val="21"/>
          <w:highlight w:val="none"/>
          <w:shd w:val="clear" w:color="auto" w:fill="auto"/>
        </w:rPr>
        <w:t>8条规定，提交了可接受的“撤回”通知的投标将不予开封。</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w:t>
      </w:r>
      <w:r>
        <w:rPr>
          <w:rFonts w:hint="eastAsia"/>
          <w:color w:val="auto"/>
          <w:szCs w:val="21"/>
          <w:highlight w:val="none"/>
          <w:shd w:val="clear" w:color="auto" w:fill="auto"/>
        </w:rPr>
        <w:t xml:space="preserve">3.6 </w:t>
      </w:r>
      <w:r>
        <w:rPr>
          <w:color w:val="auto"/>
          <w:szCs w:val="21"/>
          <w:highlight w:val="none"/>
          <w:shd w:val="clear" w:color="auto" w:fill="auto"/>
        </w:rPr>
        <w:t xml:space="preserve"> </w:t>
      </w:r>
      <w:r>
        <w:rPr>
          <w:rFonts w:hint="eastAsia"/>
          <w:color w:val="auto"/>
          <w:szCs w:val="21"/>
          <w:highlight w:val="none"/>
          <w:shd w:val="clear" w:color="auto" w:fill="auto"/>
        </w:rPr>
        <w:t>无论如何在开标时没有启封和读出的投标书在评标时将不予考虑。撤回的投标书将原封退回投标人。</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9.3.7</w:t>
      </w:r>
      <w:r>
        <w:rPr>
          <w:color w:val="auto"/>
          <w:szCs w:val="21"/>
          <w:highlight w:val="none"/>
          <w:shd w:val="clear" w:color="auto" w:fill="auto"/>
        </w:rPr>
        <w:t xml:space="preserve">  </w:t>
      </w:r>
      <w:r>
        <w:rPr>
          <w:rFonts w:hint="eastAsia"/>
          <w:color w:val="auto"/>
          <w:szCs w:val="21"/>
          <w:highlight w:val="none"/>
          <w:shd w:val="clear" w:color="auto" w:fill="auto"/>
        </w:rPr>
        <w:t>招标机构将做开标记录，开标记录包括按本通用条款第</w:t>
      </w: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w:t>
      </w:r>
      <w:r>
        <w:rPr>
          <w:rFonts w:hint="eastAsia"/>
          <w:color w:val="auto"/>
          <w:szCs w:val="21"/>
          <w:highlight w:val="none"/>
          <w:shd w:val="clear" w:color="auto" w:fill="auto"/>
        </w:rPr>
        <w:t>3.3的规定在开标时宣读的全部内容。</w:t>
      </w:r>
    </w:p>
    <w:p>
      <w:pPr>
        <w:tabs>
          <w:tab w:val="clear" w:pos="426"/>
        </w:tabs>
        <w:rPr>
          <w:color w:val="auto"/>
          <w:highlight w:val="none"/>
          <w:shd w:val="clear" w:color="auto" w:fill="auto"/>
        </w:rPr>
      </w:pPr>
      <w:r>
        <w:rPr>
          <w:rFonts w:hint="eastAsia"/>
          <w:color w:val="auto"/>
          <w:highlight w:val="none"/>
          <w:shd w:val="clear" w:color="auto" w:fill="auto"/>
        </w:rPr>
        <w:t>29.3.8  供应商在开标过程中知道或者应知其权益受到损害时必须现场明确提出，未明确提出的，即视为认可开标结果。</w:t>
      </w:r>
    </w:p>
    <w:p>
      <w:pPr>
        <w:pStyle w:val="6"/>
        <w:tabs>
          <w:tab w:val="clear" w:pos="426"/>
        </w:tabs>
        <w:rPr>
          <w:color w:val="auto"/>
          <w:highlight w:val="none"/>
          <w:shd w:val="clear" w:color="auto" w:fill="auto"/>
        </w:rPr>
      </w:pPr>
      <w:bookmarkStart w:id="298" w:name="_Toc432592825"/>
      <w:bookmarkStart w:id="299" w:name="_Toc398220533"/>
      <w:bookmarkStart w:id="300" w:name="_Toc3628668"/>
      <w:bookmarkStart w:id="301" w:name="_Toc31218"/>
      <w:r>
        <w:rPr>
          <w:rFonts w:hint="eastAsia"/>
          <w:color w:val="auto"/>
          <w:highlight w:val="none"/>
          <w:shd w:val="clear" w:color="auto" w:fill="auto"/>
        </w:rPr>
        <w:t>第五章 评标</w:t>
      </w:r>
      <w:bookmarkEnd w:id="286"/>
      <w:bookmarkEnd w:id="287"/>
      <w:bookmarkEnd w:id="288"/>
      <w:bookmarkEnd w:id="289"/>
      <w:r>
        <w:rPr>
          <w:rFonts w:hint="eastAsia"/>
          <w:color w:val="auto"/>
          <w:highlight w:val="none"/>
          <w:shd w:val="clear" w:color="auto" w:fill="auto"/>
        </w:rPr>
        <w:t>要求</w:t>
      </w:r>
      <w:bookmarkEnd w:id="290"/>
      <w:bookmarkEnd w:id="291"/>
      <w:bookmarkEnd w:id="298"/>
      <w:bookmarkEnd w:id="299"/>
      <w:bookmarkEnd w:id="300"/>
      <w:bookmarkEnd w:id="301"/>
    </w:p>
    <w:p>
      <w:pPr>
        <w:tabs>
          <w:tab w:val="clear" w:pos="426"/>
        </w:tabs>
        <w:rPr>
          <w:color w:val="auto"/>
          <w:highlight w:val="none"/>
          <w:shd w:val="clear" w:color="auto" w:fill="auto"/>
        </w:rPr>
      </w:pPr>
      <w:bookmarkStart w:id="302" w:name="bt评标会议"/>
      <w:bookmarkEnd w:id="302"/>
      <w:bookmarkStart w:id="303" w:name="_Toc73517669"/>
      <w:bookmarkStart w:id="304" w:name="_Toc73518147"/>
      <w:bookmarkStart w:id="305" w:name="_Toc73521577"/>
      <w:bookmarkStart w:id="306" w:name="_Toc73521665"/>
      <w:bookmarkStart w:id="307" w:name="_Toc100052394"/>
      <w:r>
        <w:rPr>
          <w:rFonts w:hint="eastAsia"/>
          <w:color w:val="auto"/>
          <w:highlight w:val="none"/>
          <w:shd w:val="clear" w:color="auto" w:fill="auto"/>
        </w:rPr>
        <w:t>30．评标委员会组成</w:t>
      </w:r>
    </w:p>
    <w:p>
      <w:pPr>
        <w:tabs>
          <w:tab w:val="clear" w:pos="426"/>
        </w:tabs>
        <w:rPr>
          <w:color w:val="auto"/>
          <w:highlight w:val="none"/>
          <w:shd w:val="clear" w:color="auto" w:fill="auto"/>
        </w:rPr>
      </w:pPr>
      <w:r>
        <w:rPr>
          <w:rFonts w:hint="eastAsia"/>
          <w:color w:val="auto"/>
          <w:highlight w:val="none"/>
          <w:shd w:val="clear" w:color="auto" w:fill="auto"/>
        </w:rPr>
        <w:t>30.1开标结束后召开评标会议，评标委员会由采购代理机构依法组建，负责评标活动。</w:t>
      </w:r>
    </w:p>
    <w:p>
      <w:pPr>
        <w:tabs>
          <w:tab w:val="clear" w:pos="426"/>
        </w:tabs>
        <w:rPr>
          <w:color w:val="auto"/>
          <w:highlight w:val="none"/>
          <w:shd w:val="clear" w:color="auto" w:fill="auto"/>
        </w:rPr>
      </w:pPr>
      <w:r>
        <w:rPr>
          <w:rFonts w:hint="eastAsia"/>
          <w:color w:val="auto"/>
          <w:highlight w:val="none"/>
          <w:shd w:val="clear" w:color="auto" w:fill="auto"/>
        </w:rPr>
        <w:t>评标委员会的组成及行为规范执行《关于印发</w:t>
      </w:r>
      <w:r>
        <w:rPr>
          <w:color w:val="auto"/>
          <w:highlight w:val="none"/>
          <w:shd w:val="clear" w:color="auto" w:fill="auto"/>
        </w:rPr>
        <w:t>&lt;</w:t>
      </w:r>
      <w:r>
        <w:rPr>
          <w:rFonts w:hint="eastAsia"/>
          <w:color w:val="auto"/>
          <w:highlight w:val="none"/>
          <w:shd w:val="clear" w:color="auto" w:fill="auto"/>
        </w:rPr>
        <w:t>深圳市政府采购评标委员会和评标方法暂行规定</w:t>
      </w:r>
      <w:r>
        <w:rPr>
          <w:color w:val="auto"/>
          <w:highlight w:val="none"/>
          <w:shd w:val="clear" w:color="auto" w:fill="auto"/>
        </w:rPr>
        <w:t>&gt;</w:t>
      </w:r>
      <w:r>
        <w:rPr>
          <w:rFonts w:hint="eastAsia"/>
          <w:color w:val="auto"/>
          <w:highlight w:val="none"/>
          <w:shd w:val="clear" w:color="auto" w:fill="auto"/>
        </w:rPr>
        <w:t>的通知》</w:t>
      </w:r>
      <w:r>
        <w:rPr>
          <w:color w:val="auto"/>
          <w:highlight w:val="none"/>
          <w:shd w:val="clear" w:color="auto" w:fill="auto"/>
        </w:rPr>
        <w:t>(</w:t>
      </w:r>
      <w:r>
        <w:rPr>
          <w:rFonts w:hint="eastAsia"/>
          <w:color w:val="auto"/>
          <w:highlight w:val="none"/>
          <w:shd w:val="clear" w:color="auto" w:fill="auto"/>
        </w:rPr>
        <w:t>深财购</w:t>
      </w:r>
      <w:r>
        <w:rPr>
          <w:color w:val="auto"/>
          <w:highlight w:val="none"/>
          <w:shd w:val="clear" w:color="auto" w:fill="auto"/>
        </w:rPr>
        <w:t>[2005]5</w:t>
      </w:r>
      <w:r>
        <w:rPr>
          <w:rFonts w:hint="eastAsia"/>
          <w:color w:val="auto"/>
          <w:highlight w:val="none"/>
          <w:shd w:val="clear" w:color="auto" w:fill="auto"/>
        </w:rPr>
        <w:t>号</w:t>
      </w:r>
      <w:r>
        <w:rPr>
          <w:color w:val="auto"/>
          <w:highlight w:val="none"/>
          <w:shd w:val="clear" w:color="auto" w:fill="auto"/>
        </w:rPr>
        <w:t>)</w:t>
      </w:r>
      <w:r>
        <w:rPr>
          <w:rFonts w:hint="eastAsia"/>
          <w:color w:val="auto"/>
          <w:highlight w:val="none"/>
          <w:shd w:val="clear" w:color="auto" w:fill="auto"/>
        </w:rPr>
        <w:t>，评标委员会由采购单位代表和有关技术、经济等方面的专家组成，成员人数为</w:t>
      </w:r>
      <w:r>
        <w:rPr>
          <w:color w:val="auto"/>
          <w:highlight w:val="none"/>
          <w:shd w:val="clear" w:color="auto" w:fill="auto"/>
        </w:rPr>
        <w:t>5</w:t>
      </w:r>
      <w:r>
        <w:rPr>
          <w:rFonts w:hint="eastAsia"/>
          <w:color w:val="auto"/>
          <w:highlight w:val="none"/>
          <w:shd w:val="clear" w:color="auto" w:fill="auto"/>
        </w:rPr>
        <w:t>人以上（含</w:t>
      </w:r>
      <w:r>
        <w:rPr>
          <w:color w:val="auto"/>
          <w:highlight w:val="none"/>
          <w:shd w:val="clear" w:color="auto" w:fill="auto"/>
        </w:rPr>
        <w:t>5</w:t>
      </w:r>
      <w:r>
        <w:rPr>
          <w:rFonts w:hint="eastAsia"/>
          <w:color w:val="auto"/>
          <w:highlight w:val="none"/>
          <w:shd w:val="clear" w:color="auto" w:fill="auto"/>
        </w:rPr>
        <w:t>人）单数，其中技术、经济等方面的专家不少于成员总数的三分之二。</w:t>
      </w:r>
    </w:p>
    <w:p>
      <w:pPr>
        <w:tabs>
          <w:tab w:val="clear" w:pos="426"/>
        </w:tabs>
        <w:rPr>
          <w:color w:val="auto"/>
          <w:highlight w:val="none"/>
          <w:shd w:val="clear" w:color="auto" w:fill="auto"/>
        </w:rPr>
      </w:pPr>
      <w:r>
        <w:rPr>
          <w:rFonts w:hint="eastAsia"/>
          <w:color w:val="auto"/>
          <w:highlight w:val="none"/>
          <w:shd w:val="clear" w:color="auto" w:fill="auto"/>
        </w:rPr>
        <w:t>为保证评委人选的专业性，以及评标中的公平公正性，评标委员会成员从深圳市财政委员会评标专家库中随机抽取。</w:t>
      </w:r>
    </w:p>
    <w:p>
      <w:pPr>
        <w:tabs>
          <w:tab w:val="clear" w:pos="426"/>
        </w:tabs>
        <w:rPr>
          <w:color w:val="auto"/>
          <w:highlight w:val="none"/>
          <w:shd w:val="clear" w:color="auto" w:fill="auto"/>
        </w:rPr>
      </w:pPr>
      <w:r>
        <w:rPr>
          <w:rFonts w:hint="eastAsia"/>
          <w:color w:val="auto"/>
          <w:highlight w:val="none"/>
          <w:shd w:val="clear" w:color="auto" w:fill="auto"/>
        </w:rPr>
        <w:t>采购单位代表须持本单位签发的《评标授权书》参加评标。</w:t>
      </w:r>
    </w:p>
    <w:p>
      <w:pPr>
        <w:tabs>
          <w:tab w:val="clear" w:pos="426"/>
        </w:tabs>
        <w:rPr>
          <w:color w:val="auto"/>
          <w:highlight w:val="none"/>
          <w:shd w:val="clear" w:color="auto" w:fill="auto"/>
        </w:rPr>
      </w:pPr>
      <w:r>
        <w:rPr>
          <w:rFonts w:hint="eastAsia"/>
          <w:color w:val="auto"/>
          <w:highlight w:val="none"/>
          <w:shd w:val="clear" w:color="auto" w:fill="auto"/>
        </w:rPr>
        <w:t>采购单位无代表参与评标，应在开标前一天提交《采购单位不派评委参与项目评标承诺书》给采购代理机构。</w:t>
      </w:r>
    </w:p>
    <w:p>
      <w:pPr>
        <w:tabs>
          <w:tab w:val="clear" w:pos="426"/>
        </w:tabs>
        <w:rPr>
          <w:color w:val="auto"/>
          <w:sz w:val="24"/>
          <w:highlight w:val="none"/>
          <w:shd w:val="clear" w:color="auto" w:fill="auto"/>
        </w:rPr>
      </w:pPr>
      <w:r>
        <w:rPr>
          <w:rFonts w:hint="eastAsia"/>
          <w:color w:val="auto"/>
          <w:highlight w:val="none"/>
          <w:shd w:val="clear" w:color="auto" w:fill="auto"/>
        </w:rPr>
        <w:t>注：《评标授权书》《采购单位不派评委参与项目评标承诺书》模板可以从“深圳市政府采购中心网站”（</w:t>
      </w:r>
      <w:r>
        <w:rPr>
          <w:color w:val="auto"/>
          <w:highlight w:val="none"/>
          <w:shd w:val="clear" w:color="auto" w:fill="auto"/>
        </w:rPr>
        <w:t>http://</w:t>
      </w:r>
      <w:r>
        <w:rPr>
          <w:rFonts w:hint="eastAsia"/>
          <w:color w:val="auto"/>
          <w:highlight w:val="none"/>
          <w:shd w:val="clear" w:color="auto" w:fill="auto"/>
        </w:rPr>
        <w:t>www</w:t>
      </w:r>
      <w:r>
        <w:rPr>
          <w:color w:val="auto"/>
          <w:highlight w:val="none"/>
          <w:shd w:val="clear" w:color="auto" w:fill="auto"/>
        </w:rPr>
        <w:t>.szzfcg.cn/</w:t>
      </w:r>
      <w:r>
        <w:rPr>
          <w:rFonts w:hint="eastAsia"/>
          <w:color w:val="auto"/>
          <w:highlight w:val="none"/>
          <w:shd w:val="clear" w:color="auto" w:fill="auto"/>
        </w:rPr>
        <w:t>）采购单位页面下“采购”环节“通用表格”处下载</w:t>
      </w:r>
      <w:r>
        <w:rPr>
          <w:rFonts w:hint="eastAsia"/>
          <w:color w:val="auto"/>
          <w:sz w:val="24"/>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30.2评标定标应当遵循公平、公正、科学、择优的原则。</w:t>
      </w:r>
    </w:p>
    <w:p>
      <w:pPr>
        <w:tabs>
          <w:tab w:val="clear" w:pos="426"/>
        </w:tabs>
        <w:rPr>
          <w:color w:val="auto"/>
          <w:highlight w:val="none"/>
          <w:shd w:val="clear" w:color="auto" w:fill="auto"/>
        </w:rPr>
      </w:pPr>
      <w:r>
        <w:rPr>
          <w:rFonts w:hint="eastAsia"/>
          <w:color w:val="auto"/>
          <w:highlight w:val="none"/>
          <w:shd w:val="clear" w:color="auto" w:fill="auto"/>
        </w:rPr>
        <w:t>30.3评标活动依法进行，任何单位和个人不得非法干预评标过程和结果。</w:t>
      </w:r>
    </w:p>
    <w:p>
      <w:pPr>
        <w:tabs>
          <w:tab w:val="clear" w:pos="426"/>
        </w:tabs>
        <w:rPr>
          <w:color w:val="auto"/>
          <w:highlight w:val="none"/>
          <w:shd w:val="clear" w:color="auto" w:fill="auto"/>
        </w:rPr>
      </w:pPr>
      <w:r>
        <w:rPr>
          <w:rFonts w:hint="eastAsia"/>
          <w:color w:val="auto"/>
          <w:highlight w:val="none"/>
          <w:shd w:val="clear" w:color="auto" w:fill="auto"/>
        </w:rPr>
        <w:t>30.4评标过程中不允许违背评标程序或采用招标文件未载明的评标方法或评标因素进行评标。</w:t>
      </w:r>
    </w:p>
    <w:p>
      <w:pPr>
        <w:tabs>
          <w:tab w:val="clear" w:pos="426"/>
        </w:tabs>
        <w:rPr>
          <w:color w:val="auto"/>
          <w:highlight w:val="none"/>
          <w:shd w:val="clear" w:color="auto" w:fill="auto"/>
        </w:rPr>
      </w:pPr>
      <w:r>
        <w:rPr>
          <w:rFonts w:hint="eastAsia"/>
          <w:color w:val="auto"/>
          <w:highlight w:val="none"/>
          <w:shd w:val="clear" w:color="auto" w:fill="auto"/>
        </w:rPr>
        <w:t>30.5 开标后，直到授予中标人合同为止，凡属于对投标文件的审查、澄清、评价和比较的有关资料以及中标候选人的推荐情况、与评标有关的其他任何情况均严格保密。</w:t>
      </w:r>
    </w:p>
    <w:p>
      <w:pPr>
        <w:tabs>
          <w:tab w:val="clear" w:pos="426"/>
        </w:tabs>
        <w:rPr>
          <w:color w:val="auto"/>
          <w:highlight w:val="none"/>
          <w:shd w:val="clear" w:color="auto" w:fill="auto"/>
        </w:rPr>
      </w:pPr>
      <w:r>
        <w:rPr>
          <w:rFonts w:hint="eastAsia"/>
          <w:color w:val="auto"/>
          <w:highlight w:val="none"/>
          <w:shd w:val="clear" w:color="auto" w:fill="auto"/>
        </w:rPr>
        <w:t>31．向评标委员会提供的资料</w:t>
      </w:r>
    </w:p>
    <w:p>
      <w:pPr>
        <w:tabs>
          <w:tab w:val="clear" w:pos="426"/>
        </w:tabs>
        <w:rPr>
          <w:color w:val="auto"/>
          <w:highlight w:val="none"/>
          <w:shd w:val="clear" w:color="auto" w:fill="auto"/>
        </w:rPr>
      </w:pPr>
      <w:r>
        <w:rPr>
          <w:rFonts w:hint="eastAsia"/>
          <w:color w:val="auto"/>
          <w:highlight w:val="none"/>
          <w:shd w:val="clear" w:color="auto" w:fill="auto"/>
        </w:rPr>
        <w:t>31.1公开发布的招标文件，包括图纸、服务清单、答疑文件等；</w:t>
      </w:r>
    </w:p>
    <w:p>
      <w:pPr>
        <w:tabs>
          <w:tab w:val="clear" w:pos="426"/>
        </w:tabs>
        <w:rPr>
          <w:color w:val="auto"/>
          <w:highlight w:val="none"/>
          <w:shd w:val="clear" w:color="auto" w:fill="auto"/>
        </w:rPr>
      </w:pPr>
      <w:r>
        <w:rPr>
          <w:rFonts w:hint="eastAsia"/>
          <w:color w:val="auto"/>
          <w:highlight w:val="none"/>
          <w:shd w:val="clear" w:color="auto" w:fill="auto"/>
        </w:rPr>
        <w:t>31.2其他评标必须的资料。</w:t>
      </w:r>
    </w:p>
    <w:p>
      <w:pPr>
        <w:tabs>
          <w:tab w:val="clear" w:pos="426"/>
        </w:tabs>
        <w:rPr>
          <w:color w:val="auto"/>
          <w:highlight w:val="none"/>
          <w:shd w:val="clear" w:color="auto" w:fill="auto"/>
        </w:rPr>
      </w:pPr>
      <w:r>
        <w:rPr>
          <w:rFonts w:hint="eastAsia"/>
          <w:color w:val="auto"/>
          <w:highlight w:val="none"/>
          <w:shd w:val="clear" w:color="auto" w:fill="auto"/>
        </w:rPr>
        <w:t>31.3评标委员会应当认真研究招标文件，至少应了解熟悉以下内容：</w:t>
      </w:r>
    </w:p>
    <w:p>
      <w:pPr>
        <w:tabs>
          <w:tab w:val="clear" w:pos="426"/>
        </w:tabs>
        <w:rPr>
          <w:color w:val="auto"/>
          <w:highlight w:val="none"/>
          <w:shd w:val="clear" w:color="auto" w:fill="auto"/>
        </w:rPr>
      </w:pPr>
      <w:r>
        <w:rPr>
          <w:rFonts w:hint="eastAsia"/>
          <w:color w:val="auto"/>
          <w:highlight w:val="none"/>
          <w:shd w:val="clear" w:color="auto" w:fill="auto"/>
        </w:rPr>
        <w:t>（1）招标的目的；</w:t>
      </w:r>
    </w:p>
    <w:p>
      <w:pPr>
        <w:tabs>
          <w:tab w:val="clear" w:pos="426"/>
        </w:tabs>
        <w:rPr>
          <w:color w:val="auto"/>
          <w:highlight w:val="none"/>
          <w:shd w:val="clear" w:color="auto" w:fill="auto"/>
        </w:rPr>
      </w:pPr>
      <w:r>
        <w:rPr>
          <w:rFonts w:hint="eastAsia"/>
          <w:color w:val="auto"/>
          <w:highlight w:val="none"/>
          <w:shd w:val="clear" w:color="auto" w:fill="auto"/>
        </w:rPr>
        <w:t>（2）招标项目需求的范围和性质；</w:t>
      </w:r>
    </w:p>
    <w:p>
      <w:pPr>
        <w:tabs>
          <w:tab w:val="clear" w:pos="426"/>
        </w:tabs>
        <w:rPr>
          <w:color w:val="auto"/>
          <w:highlight w:val="none"/>
          <w:shd w:val="clear" w:color="auto" w:fill="auto"/>
        </w:rPr>
      </w:pPr>
      <w:r>
        <w:rPr>
          <w:rFonts w:hint="eastAsia"/>
          <w:color w:val="auto"/>
          <w:highlight w:val="none"/>
          <w:shd w:val="clear" w:color="auto" w:fill="auto"/>
        </w:rPr>
        <w:t>（3）招标文件规定的投标人的资格、财政预算限额、商务条款；</w:t>
      </w:r>
    </w:p>
    <w:p>
      <w:pPr>
        <w:tabs>
          <w:tab w:val="clear" w:pos="426"/>
        </w:tabs>
        <w:rPr>
          <w:color w:val="auto"/>
          <w:highlight w:val="none"/>
          <w:shd w:val="clear" w:color="auto" w:fill="auto"/>
        </w:rPr>
      </w:pPr>
      <w:r>
        <w:rPr>
          <w:rFonts w:hint="eastAsia"/>
          <w:color w:val="auto"/>
          <w:highlight w:val="none"/>
          <w:shd w:val="clear" w:color="auto" w:fill="auto"/>
        </w:rPr>
        <w:t>（4）招标文件规定的评标程序、评标方法和评标因素；</w:t>
      </w:r>
    </w:p>
    <w:p>
      <w:pPr>
        <w:tabs>
          <w:tab w:val="clear" w:pos="426"/>
        </w:tabs>
        <w:rPr>
          <w:color w:val="auto"/>
          <w:highlight w:val="none"/>
          <w:shd w:val="clear" w:color="auto" w:fill="auto"/>
        </w:rPr>
      </w:pPr>
      <w:r>
        <w:rPr>
          <w:rFonts w:hint="eastAsia"/>
          <w:color w:val="auto"/>
          <w:highlight w:val="none"/>
          <w:shd w:val="clear" w:color="auto" w:fill="auto"/>
        </w:rPr>
        <w:t>（5）招标文件所列示的投标文件“资格、符合性评审条款”。</w:t>
      </w:r>
    </w:p>
    <w:p>
      <w:pPr>
        <w:tabs>
          <w:tab w:val="clear" w:pos="426"/>
        </w:tabs>
        <w:rPr>
          <w:color w:val="auto"/>
          <w:highlight w:val="none"/>
          <w:shd w:val="clear" w:color="auto" w:fill="auto"/>
        </w:rPr>
      </w:pPr>
      <w:r>
        <w:rPr>
          <w:rFonts w:hint="eastAsia"/>
          <w:color w:val="auto"/>
          <w:highlight w:val="none"/>
          <w:shd w:val="clear" w:color="auto" w:fill="auto"/>
        </w:rPr>
        <w:t>32．独立评标</w:t>
      </w:r>
    </w:p>
    <w:p>
      <w:pPr>
        <w:tabs>
          <w:tab w:val="clear" w:pos="426"/>
        </w:tabs>
        <w:rPr>
          <w:color w:val="auto"/>
          <w:szCs w:val="21"/>
          <w:highlight w:val="none"/>
          <w:shd w:val="clear" w:color="auto" w:fill="auto"/>
        </w:rPr>
      </w:pPr>
      <w:r>
        <w:rPr>
          <w:rFonts w:hint="eastAsia"/>
          <w:color w:val="auto"/>
          <w:highlight w:val="none"/>
          <w:shd w:val="clear" w:color="auto" w:fill="auto"/>
        </w:rPr>
        <w:t>32.1评标委员会成员的评标活动应当独立进行，并应遵循投标文件初审、澄清有关问题、比较与评价、确定中标候选供应商、编写评标报告的工作程序。</w:t>
      </w:r>
      <w:bookmarkEnd w:id="303"/>
      <w:bookmarkEnd w:id="304"/>
      <w:bookmarkEnd w:id="305"/>
      <w:bookmarkEnd w:id="306"/>
      <w:bookmarkEnd w:id="307"/>
      <w:bookmarkStart w:id="308" w:name="bt评标过程的保密"/>
      <w:bookmarkEnd w:id="308"/>
      <w:bookmarkStart w:id="309" w:name="bt错误的修正"/>
      <w:bookmarkEnd w:id="309"/>
    </w:p>
    <w:p>
      <w:pPr>
        <w:pStyle w:val="6"/>
        <w:tabs>
          <w:tab w:val="clear" w:pos="426"/>
        </w:tabs>
        <w:rPr>
          <w:color w:val="auto"/>
          <w:highlight w:val="none"/>
          <w:shd w:val="clear" w:color="auto" w:fill="auto"/>
        </w:rPr>
      </w:pPr>
      <w:bookmarkStart w:id="310" w:name="_Toc100052397"/>
      <w:bookmarkStart w:id="311" w:name="_Toc3628669"/>
      <w:bookmarkStart w:id="312" w:name="_Toc432592826"/>
      <w:bookmarkStart w:id="313" w:name="_Toc398220534"/>
      <w:bookmarkStart w:id="314" w:name="_Toc101074883"/>
      <w:bookmarkStart w:id="315" w:name="_Toc15715"/>
      <w:r>
        <w:rPr>
          <w:rFonts w:hint="eastAsia"/>
          <w:color w:val="auto"/>
          <w:highlight w:val="none"/>
          <w:shd w:val="clear" w:color="auto" w:fill="auto"/>
        </w:rPr>
        <w:t>第六章 评标程序</w:t>
      </w:r>
      <w:bookmarkStart w:id="316" w:name="bt投标文件的审查"/>
      <w:bookmarkEnd w:id="316"/>
      <w:bookmarkStart w:id="317" w:name="_Toc73517671"/>
      <w:bookmarkStart w:id="318" w:name="_Toc73521667"/>
      <w:bookmarkStart w:id="319" w:name="_Toc73521579"/>
      <w:bookmarkStart w:id="320" w:name="_Toc73518149"/>
      <w:r>
        <w:rPr>
          <w:rFonts w:hint="eastAsia"/>
          <w:color w:val="auto"/>
          <w:highlight w:val="none"/>
          <w:shd w:val="clear" w:color="auto" w:fill="auto"/>
        </w:rPr>
        <w:t>及评标方法</w:t>
      </w:r>
      <w:bookmarkEnd w:id="310"/>
      <w:bookmarkEnd w:id="311"/>
      <w:bookmarkEnd w:id="312"/>
      <w:bookmarkEnd w:id="313"/>
      <w:bookmarkEnd w:id="314"/>
      <w:bookmarkEnd w:id="315"/>
    </w:p>
    <w:p>
      <w:pPr>
        <w:tabs>
          <w:tab w:val="clear" w:pos="426"/>
        </w:tabs>
        <w:rPr>
          <w:color w:val="auto"/>
          <w:highlight w:val="none"/>
          <w:shd w:val="clear" w:color="auto" w:fill="auto"/>
        </w:rPr>
      </w:pPr>
      <w:bookmarkStart w:id="321" w:name="_Toc100052398"/>
      <w:r>
        <w:rPr>
          <w:rFonts w:hint="eastAsia"/>
          <w:color w:val="auto"/>
          <w:highlight w:val="none"/>
          <w:shd w:val="clear" w:color="auto" w:fill="auto"/>
        </w:rPr>
        <w:t>33．投标文件初审</w:t>
      </w:r>
      <w:bookmarkEnd w:id="321"/>
    </w:p>
    <w:bookmarkEnd w:id="317"/>
    <w:bookmarkEnd w:id="318"/>
    <w:bookmarkEnd w:id="319"/>
    <w:bookmarkEnd w:id="320"/>
    <w:p>
      <w:pPr>
        <w:widowControl w:val="0"/>
        <w:shd w:val="clear" w:color="auto" w:fill="auto"/>
        <w:tabs>
          <w:tab w:val="clear" w:pos="426"/>
        </w:tabs>
        <w:autoSpaceDE w:val="0"/>
        <w:autoSpaceDN w:val="0"/>
        <w:rPr>
          <w:rFonts w:cs="黑体"/>
          <w:b/>
          <w:bCs/>
          <w:color w:val="auto"/>
          <w:szCs w:val="21"/>
          <w:highlight w:val="none"/>
          <w:shd w:val="clear" w:color="auto" w:fill="auto"/>
        </w:rPr>
      </w:pPr>
      <w:r>
        <w:rPr>
          <w:rFonts w:hint="eastAsia"/>
          <w:color w:val="auto"/>
          <w:highlight w:val="none"/>
          <w:shd w:val="clear" w:color="auto" w:fill="auto"/>
        </w:rPr>
        <w:t xml:space="preserve">33.1 </w:t>
      </w:r>
      <w:r>
        <w:rPr>
          <w:rFonts w:hint="eastAsia"/>
          <w:color w:val="auto"/>
          <w:szCs w:val="21"/>
          <w:highlight w:val="none"/>
          <w:shd w:val="clear" w:color="auto" w:fill="auto"/>
          <w:lang w:eastAsia="zh-TW"/>
        </w:rPr>
        <w:t>评标委员会将</w:t>
      </w:r>
      <w:r>
        <w:rPr>
          <w:rFonts w:hint="eastAsia"/>
          <w:color w:val="auto"/>
          <w:szCs w:val="21"/>
          <w:highlight w:val="none"/>
          <w:shd w:val="clear" w:color="auto" w:fill="auto"/>
        </w:rPr>
        <w:t>依法对投标文件进行初审。</w:t>
      </w:r>
      <w:r>
        <w:rPr>
          <w:rFonts w:hint="eastAsia"/>
          <w:color w:val="auto"/>
          <w:highlight w:val="none"/>
          <w:shd w:val="clear" w:color="auto" w:fill="auto"/>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color w:val="auto"/>
          <w:highlight w:val="none"/>
          <w:shd w:val="clear" w:color="auto" w:fill="auto"/>
        </w:rPr>
      </w:pPr>
      <w:r>
        <w:rPr>
          <w:rFonts w:hint="eastAsia"/>
          <w:color w:val="auto"/>
          <w:highlight w:val="none"/>
          <w:shd w:val="clear" w:color="auto" w:fill="auto"/>
        </w:rPr>
        <w:t>33.2 投标文件初审内容请详见“</w:t>
      </w:r>
      <w:r>
        <w:rPr>
          <w:rFonts w:hint="eastAsia"/>
          <w:b/>
          <w:color w:val="auto"/>
          <w:highlight w:val="none"/>
          <w:shd w:val="clear" w:color="auto" w:fill="auto"/>
        </w:rPr>
        <w:t>资格性审查表、符合性审查表</w:t>
      </w:r>
      <w:r>
        <w:rPr>
          <w:rFonts w:hint="eastAsia"/>
          <w:color w:val="auto"/>
          <w:highlight w:val="none"/>
          <w:shd w:val="clear" w:color="auto" w:fill="auto"/>
        </w:rPr>
        <w:t>”。投标人若有一条审查不通过则按无效标处理。评标委员会对投标单位打√为通过审查，打×为未通过审查。</w:t>
      </w:r>
    </w:p>
    <w:p>
      <w:pPr>
        <w:tabs>
          <w:tab w:val="clear" w:pos="426"/>
        </w:tabs>
        <w:rPr>
          <w:color w:val="auto"/>
          <w:highlight w:val="none"/>
          <w:shd w:val="clear" w:color="auto" w:fill="auto"/>
        </w:rPr>
      </w:pPr>
      <w:r>
        <w:rPr>
          <w:color w:val="auto"/>
          <w:highlight w:val="none"/>
          <w:shd w:val="clear" w:color="auto" w:fill="auto"/>
        </w:rPr>
        <w:t>33.3 投标文件初审中关于供应商家数的计算</w:t>
      </w:r>
    </w:p>
    <w:p>
      <w:pPr>
        <w:tabs>
          <w:tab w:val="clear" w:pos="426"/>
        </w:tabs>
        <w:rPr>
          <w:color w:val="auto"/>
          <w:highlight w:val="none"/>
          <w:shd w:val="clear" w:color="auto" w:fill="auto"/>
        </w:rPr>
      </w:pPr>
      <w:r>
        <w:rPr>
          <w:color w:val="auto"/>
          <w:highlight w:val="none"/>
          <w:shd w:val="clear" w:color="auto" w:fill="auto"/>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color w:val="auto"/>
          <w:highlight w:val="none"/>
          <w:shd w:val="clear" w:color="auto" w:fill="auto"/>
        </w:rPr>
      </w:pPr>
      <w:r>
        <w:rPr>
          <w:color w:val="auto"/>
          <w:highlight w:val="none"/>
          <w:shd w:val="clear" w:color="auto" w:fill="auto"/>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color w:val="auto"/>
          <w:highlight w:val="none"/>
          <w:shd w:val="clear" w:color="auto" w:fill="auto"/>
        </w:rPr>
      </w:pPr>
      <w:r>
        <w:rPr>
          <w:color w:val="auto"/>
          <w:highlight w:val="none"/>
          <w:shd w:val="clear" w:color="auto" w:fill="auto"/>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color w:val="auto"/>
          <w:highlight w:val="none"/>
          <w:shd w:val="clear" w:color="auto" w:fill="auto"/>
        </w:rPr>
      </w:pPr>
      <w:r>
        <w:rPr>
          <w:color w:val="auto"/>
          <w:highlight w:val="none"/>
          <w:shd w:val="clear" w:color="auto" w:fill="auto"/>
        </w:rPr>
        <w:t>33.3.4公开招标以外采购方式以及政府采购服务和工程涉及采购货物的项目，也按此方法计算供应商家数。</w:t>
      </w:r>
    </w:p>
    <w:p>
      <w:pPr>
        <w:tabs>
          <w:tab w:val="clear" w:pos="426"/>
        </w:tabs>
        <w:rPr>
          <w:b/>
          <w:bCs/>
          <w:color w:val="auto"/>
          <w:highlight w:val="none"/>
          <w:shd w:val="clear" w:color="auto" w:fill="auto"/>
        </w:rPr>
      </w:pPr>
      <w:r>
        <w:rPr>
          <w:color w:val="auto"/>
          <w:highlight w:val="none"/>
          <w:shd w:val="clear" w:color="auto" w:fill="auto"/>
        </w:rPr>
        <w:t xml:space="preserve">33.4 </w:t>
      </w:r>
      <w:r>
        <w:rPr>
          <w:rFonts w:hint="eastAsia"/>
          <w:color w:val="auto"/>
          <w:highlight w:val="none"/>
          <w:shd w:val="clear" w:color="auto" w:fill="auto"/>
        </w:rPr>
        <w:t>对不属于投标文件“</w:t>
      </w:r>
      <w:r>
        <w:rPr>
          <w:rFonts w:hint="eastAsia"/>
          <w:b/>
          <w:color w:val="auto"/>
          <w:highlight w:val="none"/>
          <w:shd w:val="clear" w:color="auto" w:fill="auto"/>
        </w:rPr>
        <w:t>资格、符合性评审条款</w:t>
      </w:r>
      <w:r>
        <w:rPr>
          <w:rFonts w:hint="eastAsia"/>
          <w:color w:val="auto"/>
          <w:highlight w:val="none"/>
          <w:shd w:val="clear" w:color="auto" w:fill="auto"/>
        </w:rPr>
        <w:t>”要所列不符合的情形，除法律法规另有规定外，不得作为废标的理由。</w:t>
      </w:r>
    </w:p>
    <w:p>
      <w:pPr>
        <w:tabs>
          <w:tab w:val="clear" w:pos="426"/>
        </w:tabs>
        <w:rPr>
          <w:color w:val="auto"/>
          <w:highlight w:val="none"/>
          <w:shd w:val="clear" w:color="auto" w:fill="auto"/>
        </w:rPr>
      </w:pPr>
      <w:bookmarkStart w:id="322" w:name="_Toc100052399"/>
      <w:r>
        <w:rPr>
          <w:color w:val="auto"/>
          <w:highlight w:val="none"/>
          <w:shd w:val="clear" w:color="auto" w:fill="auto"/>
        </w:rPr>
        <w:t>34．澄清有关问题</w:t>
      </w:r>
      <w:bookmarkEnd w:id="322"/>
    </w:p>
    <w:p>
      <w:pPr>
        <w:tabs>
          <w:tab w:val="clear" w:pos="426"/>
        </w:tabs>
        <w:rPr>
          <w:color w:val="auto"/>
          <w:highlight w:val="none"/>
          <w:shd w:val="clear" w:color="auto" w:fill="auto"/>
        </w:rPr>
      </w:pPr>
      <w:bookmarkStart w:id="323" w:name="bt废标"/>
      <w:bookmarkEnd w:id="323"/>
      <w:bookmarkStart w:id="324" w:name="bt投标文件的评估和比较"/>
      <w:bookmarkEnd w:id="324"/>
      <w:bookmarkStart w:id="325" w:name="bt投标文件的澄清"/>
      <w:bookmarkEnd w:id="325"/>
      <w:bookmarkStart w:id="326" w:name="_Toc73521583"/>
      <w:bookmarkStart w:id="327" w:name="_Toc73521671"/>
      <w:bookmarkStart w:id="328" w:name="_Toc73518153"/>
      <w:bookmarkStart w:id="329" w:name="_Toc73517675"/>
      <w:r>
        <w:rPr>
          <w:rFonts w:hint="eastAsia"/>
          <w:color w:val="auto"/>
          <w:highlight w:val="none"/>
          <w:shd w:val="clear" w:color="auto" w:fill="auto"/>
        </w:rPr>
        <w:t>为了有助于投标文件的审查、评价和比较，对投标文件含义不明确、同类问题表述不一致或者有明显文字和计算错误的内容，评标委员会可以用书面形式</w:t>
      </w:r>
      <w:r>
        <w:rPr>
          <w:color w:val="auto"/>
          <w:highlight w:val="none"/>
          <w:shd w:val="clear" w:color="auto" w:fill="auto"/>
        </w:rPr>
        <w:t>(应当由评标委员会签字)要求投标人</w:t>
      </w:r>
      <w:r>
        <w:rPr>
          <w:rFonts w:hint="eastAsia"/>
          <w:color w:val="auto"/>
          <w:highlight w:val="none"/>
          <w:shd w:val="clear" w:color="auto" w:fill="auto"/>
        </w:rPr>
        <w:t>作出必要的澄清、说明或者纠正。投标人的澄清、说明或者补正应当用采用书面形式（由其授权的代表签字），并不得超出投标文件的范围或者改变投标文件的实质性的内容。根据本通用条款第</w:t>
      </w:r>
      <w:r>
        <w:rPr>
          <w:color w:val="auto"/>
          <w:highlight w:val="none"/>
          <w:shd w:val="clear" w:color="auto" w:fill="auto"/>
        </w:rPr>
        <w:t>34条，凡属于评标委员会在评标中发现的算术错误进行核实的修改不在此列。</w:t>
      </w:r>
    </w:p>
    <w:p>
      <w:pPr>
        <w:tabs>
          <w:tab w:val="clear" w:pos="426"/>
        </w:tabs>
        <w:rPr>
          <w:color w:val="auto"/>
          <w:highlight w:val="none"/>
          <w:shd w:val="clear" w:color="auto" w:fill="auto"/>
        </w:rPr>
      </w:pPr>
      <w:bookmarkStart w:id="330" w:name="_Toc100052400"/>
      <w:bookmarkStart w:id="331" w:name="_Toc73518151"/>
      <w:bookmarkStart w:id="332" w:name="_Toc73521581"/>
      <w:bookmarkStart w:id="333" w:name="_Toc73517673"/>
      <w:bookmarkStart w:id="334" w:name="_Toc73521669"/>
      <w:r>
        <w:rPr>
          <w:color w:val="auto"/>
          <w:highlight w:val="none"/>
          <w:shd w:val="clear" w:color="auto" w:fill="auto"/>
        </w:rPr>
        <w:t>35．错误的修正</w:t>
      </w:r>
      <w:bookmarkEnd w:id="330"/>
      <w:bookmarkEnd w:id="331"/>
      <w:bookmarkEnd w:id="332"/>
      <w:bookmarkEnd w:id="333"/>
      <w:bookmarkEnd w:id="334"/>
    </w:p>
    <w:p>
      <w:pPr>
        <w:tabs>
          <w:tab w:val="clear" w:pos="426"/>
        </w:tabs>
        <w:rPr>
          <w:color w:val="auto"/>
          <w:highlight w:val="none"/>
          <w:shd w:val="clear" w:color="auto" w:fill="auto"/>
        </w:rPr>
      </w:pPr>
      <w:r>
        <w:rPr>
          <w:color w:val="auto"/>
          <w:highlight w:val="none"/>
          <w:shd w:val="clear" w:color="auto" w:fill="auto"/>
        </w:rPr>
        <w:t xml:space="preserve">35.1 </w:t>
      </w:r>
      <w:r>
        <w:rPr>
          <w:rFonts w:hint="eastAsia"/>
          <w:color w:val="auto"/>
          <w:highlight w:val="none"/>
          <w:shd w:val="clear" w:color="auto" w:fill="auto"/>
        </w:rPr>
        <w:t>评标委员会将审查投标文件是否完整、总体编排是否有序、文件签署是否合格、有无计算上的错误等。</w:t>
      </w:r>
    </w:p>
    <w:p>
      <w:pPr>
        <w:tabs>
          <w:tab w:val="clear" w:pos="426"/>
        </w:tabs>
        <w:rPr>
          <w:color w:val="auto"/>
          <w:highlight w:val="none"/>
          <w:shd w:val="clear" w:color="auto" w:fill="auto"/>
        </w:rPr>
      </w:pPr>
      <w:r>
        <w:rPr>
          <w:color w:val="auto"/>
          <w:highlight w:val="none"/>
          <w:shd w:val="clear" w:color="auto" w:fill="auto"/>
        </w:rPr>
        <w:t xml:space="preserve">35.2  </w:t>
      </w:r>
      <w:r>
        <w:rPr>
          <w:rFonts w:hint="eastAsia"/>
          <w:color w:val="auto"/>
          <w:highlight w:val="none"/>
          <w:shd w:val="clear" w:color="auto" w:fill="auto"/>
        </w:rPr>
        <w:t>算术错误将按以下方法更正（次序排先者优先）：</w:t>
      </w:r>
    </w:p>
    <w:p>
      <w:pPr>
        <w:tabs>
          <w:tab w:val="clear" w:pos="426"/>
        </w:tabs>
        <w:rPr>
          <w:color w:val="auto"/>
          <w:highlight w:val="none"/>
          <w:shd w:val="clear" w:color="auto" w:fill="auto"/>
        </w:rPr>
      </w:pPr>
      <w:r>
        <w:rPr>
          <w:color w:val="auto"/>
          <w:highlight w:val="none"/>
          <w:shd w:val="clear" w:color="auto" w:fill="auto"/>
        </w:rPr>
        <w:t>35.2.1投标文件中开标一览表（报价表）内容与投标文件中相应内容不一致的，以开标一览表（报价表）为准；</w:t>
      </w:r>
    </w:p>
    <w:p>
      <w:pPr>
        <w:tabs>
          <w:tab w:val="clear" w:pos="426"/>
        </w:tabs>
        <w:rPr>
          <w:color w:val="auto"/>
          <w:highlight w:val="none"/>
          <w:shd w:val="clear" w:color="auto" w:fill="auto"/>
        </w:rPr>
      </w:pPr>
      <w:r>
        <w:rPr>
          <w:color w:val="auto"/>
          <w:highlight w:val="none"/>
          <w:shd w:val="clear" w:color="auto" w:fill="auto"/>
        </w:rPr>
        <w:t>35.2.2大写金额和小写金额不一致的，以大写金额为准；</w:t>
      </w:r>
    </w:p>
    <w:p>
      <w:pPr>
        <w:tabs>
          <w:tab w:val="clear" w:pos="426"/>
        </w:tabs>
        <w:rPr>
          <w:color w:val="auto"/>
          <w:highlight w:val="none"/>
          <w:shd w:val="clear" w:color="auto" w:fill="auto"/>
        </w:rPr>
      </w:pPr>
      <w:r>
        <w:rPr>
          <w:color w:val="auto"/>
          <w:highlight w:val="none"/>
          <w:shd w:val="clear" w:color="auto" w:fill="auto"/>
        </w:rPr>
        <w:t>35.2.3单价金额小数点或者百分比有明显错位的，以开标一览表的总价为准，并修改单价；</w:t>
      </w:r>
    </w:p>
    <w:p>
      <w:pPr>
        <w:tabs>
          <w:tab w:val="clear" w:pos="426"/>
        </w:tabs>
        <w:rPr>
          <w:color w:val="auto"/>
          <w:highlight w:val="none"/>
          <w:shd w:val="clear" w:color="auto" w:fill="auto"/>
        </w:rPr>
      </w:pPr>
      <w:r>
        <w:rPr>
          <w:color w:val="auto"/>
          <w:highlight w:val="none"/>
          <w:shd w:val="clear" w:color="auto" w:fill="auto"/>
        </w:rPr>
        <w:t>35.2.4总价金额与按单价汇总金额不一致的，以单价金额计算结果为准；</w:t>
      </w:r>
    </w:p>
    <w:p>
      <w:pPr>
        <w:tabs>
          <w:tab w:val="clear" w:pos="426"/>
        </w:tabs>
        <w:rPr>
          <w:color w:val="auto"/>
          <w:highlight w:val="none"/>
          <w:shd w:val="clear" w:color="auto" w:fill="auto"/>
        </w:rPr>
      </w:pPr>
      <w:r>
        <w:rPr>
          <w:color w:val="auto"/>
          <w:highlight w:val="none"/>
          <w:shd w:val="clear" w:color="auto" w:fill="auto"/>
        </w:rPr>
        <w:t xml:space="preserve">35.2.5 </w:t>
      </w:r>
      <w:r>
        <w:rPr>
          <w:rFonts w:hint="eastAsia"/>
          <w:color w:val="auto"/>
          <w:highlight w:val="none"/>
          <w:shd w:val="clear" w:color="auto" w:fill="auto"/>
        </w:rPr>
        <w:t>对不同文字文本投标文件的解释发生异议的，以中文文本为准。</w:t>
      </w:r>
    </w:p>
    <w:p>
      <w:pPr>
        <w:tabs>
          <w:tab w:val="clear" w:pos="426"/>
        </w:tabs>
        <w:rPr>
          <w:color w:val="auto"/>
          <w:highlight w:val="none"/>
          <w:shd w:val="clear" w:color="auto" w:fill="auto"/>
        </w:rPr>
      </w:pPr>
      <w:r>
        <w:rPr>
          <w:rFonts w:hint="eastAsia"/>
          <w:color w:val="auto"/>
          <w:highlight w:val="none"/>
          <w:shd w:val="clear" w:color="auto" w:fill="auto"/>
        </w:rPr>
        <w:t>35</w:t>
      </w:r>
      <w:r>
        <w:rPr>
          <w:color w:val="auto"/>
          <w:highlight w:val="none"/>
          <w:shd w:val="clear" w:color="auto" w:fill="auto"/>
        </w:rPr>
        <w:t xml:space="preserve">.3  </w:t>
      </w:r>
      <w:r>
        <w:rPr>
          <w:rFonts w:hint="eastAsia"/>
          <w:color w:val="auto"/>
          <w:highlight w:val="none"/>
          <w:shd w:val="clear" w:color="auto" w:fill="auto"/>
        </w:rPr>
        <w:t>对于投标文件中不构成实质性偏差的不正规、不一致或不规则，给评审带来不便，评标委员会可以接受。</w:t>
      </w:r>
    </w:p>
    <w:p>
      <w:pPr>
        <w:tabs>
          <w:tab w:val="clear" w:pos="426"/>
        </w:tabs>
        <w:rPr>
          <w:color w:val="auto"/>
          <w:highlight w:val="none"/>
          <w:shd w:val="clear" w:color="auto" w:fill="auto"/>
        </w:rPr>
      </w:pPr>
      <w:r>
        <w:rPr>
          <w:rFonts w:hint="eastAsia"/>
          <w:color w:val="auto"/>
          <w:highlight w:val="none"/>
          <w:shd w:val="clear" w:color="auto" w:fill="auto"/>
        </w:rPr>
        <w:t>35.4  投标人的投标报价是可变动价格的，或包含了价格调整要求的，或投标报价中提供</w:t>
      </w:r>
      <w:r>
        <w:rPr>
          <w:color w:val="auto"/>
          <w:highlight w:val="none"/>
          <w:shd w:val="clear" w:color="auto" w:fill="auto"/>
        </w:rPr>
        <w:t>两个</w:t>
      </w:r>
      <w:r>
        <w:rPr>
          <w:rFonts w:hint="eastAsia"/>
          <w:color w:val="auto"/>
          <w:highlight w:val="none"/>
          <w:shd w:val="clear" w:color="auto" w:fill="auto"/>
        </w:rPr>
        <w:t>（含两个）以上的</w:t>
      </w:r>
      <w:r>
        <w:rPr>
          <w:color w:val="auto"/>
          <w:highlight w:val="none"/>
          <w:shd w:val="clear" w:color="auto" w:fill="auto"/>
        </w:rPr>
        <w:t>报价</w:t>
      </w:r>
      <w:r>
        <w:rPr>
          <w:rFonts w:hint="eastAsia"/>
          <w:color w:val="auto"/>
          <w:highlight w:val="none"/>
          <w:shd w:val="clear" w:color="auto" w:fill="auto"/>
        </w:rPr>
        <w:t>（</w:t>
      </w:r>
      <w:r>
        <w:rPr>
          <w:color w:val="auto"/>
          <w:highlight w:val="none"/>
          <w:shd w:val="clear" w:color="auto" w:fill="auto"/>
        </w:rPr>
        <w:t>招标文件规定提交备选投标方案的除外</w:t>
      </w:r>
      <w:r>
        <w:rPr>
          <w:rFonts w:hint="eastAsia"/>
          <w:color w:val="auto"/>
          <w:highlight w:val="none"/>
          <w:shd w:val="clear" w:color="auto" w:fill="auto"/>
        </w:rPr>
        <w:t>），或严重漏项，评标委员会无法进行判断的，评标委员会可以作无效标处理。</w:t>
      </w:r>
    </w:p>
    <w:p>
      <w:pPr>
        <w:tabs>
          <w:tab w:val="clear" w:pos="426"/>
        </w:tabs>
        <w:rPr>
          <w:color w:val="auto"/>
          <w:highlight w:val="none"/>
          <w:shd w:val="clear" w:color="auto" w:fill="auto"/>
        </w:rPr>
      </w:pPr>
      <w:r>
        <w:rPr>
          <w:rFonts w:hint="eastAsia"/>
          <w:color w:val="auto"/>
          <w:highlight w:val="none"/>
          <w:shd w:val="clear" w:color="auto" w:fill="auto"/>
        </w:rPr>
        <w:t>35.5根据上述修正错误的原则及方法调整或修正投标文件的投标报价，投标人同意后，调整后的投标报价对投标人起约束作用。</w:t>
      </w:r>
      <w:r>
        <w:rPr>
          <w:rFonts w:hint="eastAsia"/>
          <w:b/>
          <w:bCs/>
          <w:color w:val="auto"/>
          <w:highlight w:val="none"/>
          <w:shd w:val="clear" w:color="auto" w:fill="auto"/>
        </w:rPr>
        <w:t>如果投标人不接受修正后的报价，则其投标将被拒绝，并不影响评标工作。</w:t>
      </w:r>
    </w:p>
    <w:p>
      <w:pPr>
        <w:tabs>
          <w:tab w:val="clear" w:pos="426"/>
        </w:tabs>
        <w:rPr>
          <w:color w:val="auto"/>
          <w:highlight w:val="none"/>
          <w:shd w:val="clear" w:color="auto" w:fill="auto"/>
        </w:rPr>
      </w:pPr>
      <w:bookmarkStart w:id="335" w:name="_Toc100052401"/>
      <w:r>
        <w:rPr>
          <w:rFonts w:hint="eastAsia"/>
          <w:color w:val="auto"/>
          <w:highlight w:val="none"/>
          <w:shd w:val="clear" w:color="auto" w:fill="auto"/>
        </w:rPr>
        <w:t>36．投标文件的</w:t>
      </w:r>
      <w:bookmarkEnd w:id="326"/>
      <w:bookmarkEnd w:id="327"/>
      <w:bookmarkEnd w:id="328"/>
      <w:bookmarkEnd w:id="329"/>
      <w:r>
        <w:rPr>
          <w:rFonts w:hint="eastAsia"/>
          <w:color w:val="auto"/>
          <w:highlight w:val="none"/>
          <w:shd w:val="clear" w:color="auto" w:fill="auto"/>
        </w:rPr>
        <w:t>比较与评价</w:t>
      </w:r>
      <w:bookmarkEnd w:id="335"/>
    </w:p>
    <w:p>
      <w:pPr>
        <w:tabs>
          <w:tab w:val="clear" w:pos="426"/>
        </w:tabs>
        <w:rPr>
          <w:color w:val="auto"/>
          <w:highlight w:val="none"/>
          <w:shd w:val="clear" w:color="auto" w:fill="auto"/>
        </w:rPr>
      </w:pPr>
      <w:r>
        <w:rPr>
          <w:rFonts w:hint="eastAsia"/>
          <w:color w:val="auto"/>
          <w:highlight w:val="none"/>
          <w:shd w:val="clear" w:color="auto" w:fill="auto"/>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color w:val="auto"/>
          <w:highlight w:val="none"/>
          <w:shd w:val="clear" w:color="auto" w:fill="auto"/>
        </w:rPr>
      </w:pPr>
      <w:r>
        <w:rPr>
          <w:rFonts w:hint="eastAsia"/>
          <w:bCs/>
          <w:color w:val="auto"/>
          <w:highlight w:val="none"/>
          <w:shd w:val="clear" w:color="auto" w:fill="auto"/>
        </w:rPr>
        <w:t xml:space="preserve">36.2  </w:t>
      </w:r>
      <w:r>
        <w:rPr>
          <w:rFonts w:hint="eastAsia"/>
          <w:color w:val="auto"/>
          <w:highlight w:val="none"/>
          <w:shd w:val="clear" w:color="auto" w:fill="auto"/>
        </w:rPr>
        <w:t>评标委员会应当根据招标文件，审查并逐项列出投标文件的全部投标偏离。投标偏离分为重大偏离和细微偏离。</w:t>
      </w:r>
    </w:p>
    <w:p>
      <w:pPr>
        <w:tabs>
          <w:tab w:val="clear" w:pos="426"/>
        </w:tabs>
        <w:rPr>
          <w:color w:val="auto"/>
          <w:highlight w:val="none"/>
          <w:shd w:val="clear" w:color="auto" w:fill="auto"/>
        </w:rPr>
      </w:pPr>
      <w:r>
        <w:rPr>
          <w:rFonts w:hint="eastAsia"/>
          <w:color w:val="auto"/>
          <w:highlight w:val="none"/>
          <w:shd w:val="clear" w:color="auto" w:fill="auto"/>
        </w:rPr>
        <w:t>36.3 评标委员会应当对投标人的投标文件进行分析和比较。</w:t>
      </w:r>
    </w:p>
    <w:p>
      <w:pPr>
        <w:tabs>
          <w:tab w:val="clear" w:pos="426"/>
        </w:tabs>
        <w:rPr>
          <w:color w:val="auto"/>
          <w:highlight w:val="none"/>
          <w:shd w:val="clear" w:color="auto" w:fill="auto"/>
        </w:rPr>
      </w:pPr>
      <w:r>
        <w:rPr>
          <w:rFonts w:hint="eastAsia"/>
          <w:color w:val="auto"/>
          <w:highlight w:val="none"/>
          <w:shd w:val="clear" w:color="auto" w:fill="auto"/>
        </w:rPr>
        <w:t>36.4  评标委员会应当根据招标文件规定，对投标文件中的每项评审内容进行评审。</w:t>
      </w:r>
    </w:p>
    <w:p>
      <w:pPr>
        <w:tabs>
          <w:tab w:val="clear" w:pos="426"/>
        </w:tabs>
        <w:rPr>
          <w:color w:val="auto"/>
          <w:kern w:val="10"/>
          <w:highlight w:val="none"/>
          <w:shd w:val="clear" w:color="auto" w:fill="auto"/>
        </w:rPr>
      </w:pPr>
      <w:r>
        <w:rPr>
          <w:rFonts w:hint="eastAsia"/>
          <w:color w:val="auto"/>
          <w:kern w:val="10"/>
          <w:highlight w:val="none"/>
          <w:shd w:val="clear" w:color="auto" w:fill="auto"/>
        </w:rPr>
        <w:t>36.5  投标文件存在重大偏离的，应作废标处理。下列情况属于重大偏离：</w:t>
      </w:r>
    </w:p>
    <w:p>
      <w:pPr>
        <w:tabs>
          <w:tab w:val="clear" w:pos="426"/>
        </w:tabs>
        <w:rPr>
          <w:color w:val="auto"/>
          <w:kern w:val="10"/>
          <w:highlight w:val="none"/>
          <w:shd w:val="clear" w:color="auto" w:fill="auto"/>
        </w:rPr>
      </w:pPr>
      <w:r>
        <w:rPr>
          <w:rFonts w:hint="eastAsia"/>
          <w:color w:val="auto"/>
          <w:kern w:val="10"/>
          <w:highlight w:val="none"/>
          <w:shd w:val="clear" w:color="auto" w:fill="auto"/>
        </w:rPr>
        <w:t>36.5.1  投标人以他人的名义投标或出现下列串通投标、弄虚作假投标嫌疑的：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36.5.1.1  </w:t>
      </w:r>
      <w:r>
        <w:rPr>
          <w:color w:val="auto"/>
          <w:kern w:val="10"/>
          <w:highlight w:val="none"/>
          <w:shd w:val="clear" w:color="auto" w:fill="auto"/>
        </w:rPr>
        <w:t>不同投标人的投标文件内容存在非正常一致</w:t>
      </w:r>
      <w:r>
        <w:rPr>
          <w:rFonts w:hint="eastAsia"/>
          <w:color w:val="auto"/>
          <w:kern w:val="10"/>
          <w:highlight w:val="none"/>
          <w:shd w:val="clear" w:color="auto" w:fill="auto"/>
        </w:rPr>
        <w:t>的</w:t>
      </w:r>
      <w:r>
        <w:rPr>
          <w:color w:val="auto"/>
          <w:kern w:val="10"/>
          <w:highlight w:val="none"/>
          <w:shd w:val="clear" w:color="auto" w:fill="auto"/>
        </w:rPr>
        <w:t>；</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36.5.1.2  </w:t>
      </w:r>
      <w:r>
        <w:rPr>
          <w:color w:val="auto"/>
          <w:kern w:val="10"/>
          <w:highlight w:val="none"/>
          <w:shd w:val="clear" w:color="auto" w:fill="auto"/>
        </w:rPr>
        <w:t>不同投标人的投标文件错漏之处一致的；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36.5.1.3  </w:t>
      </w:r>
      <w:r>
        <w:rPr>
          <w:color w:val="auto"/>
          <w:kern w:val="10"/>
          <w:highlight w:val="none"/>
          <w:shd w:val="clear" w:color="auto" w:fill="auto"/>
        </w:rPr>
        <w:t>不同投标人的投标报价或者报价组成异常一致或者呈规律性变化的；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36.5.1.4  </w:t>
      </w:r>
      <w:r>
        <w:rPr>
          <w:color w:val="auto"/>
          <w:kern w:val="10"/>
          <w:highlight w:val="none"/>
          <w:shd w:val="clear" w:color="auto" w:fill="auto"/>
        </w:rPr>
        <w:t>不同投标人的投标文件由同一单位或者同一个人编制的；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36.5.1.5  </w:t>
      </w:r>
      <w:r>
        <w:rPr>
          <w:color w:val="auto"/>
          <w:kern w:val="10"/>
          <w:highlight w:val="none"/>
          <w:shd w:val="clear" w:color="auto" w:fill="auto"/>
        </w:rPr>
        <w:t>不同投标人的投标文件载明的</w:t>
      </w:r>
      <w:r>
        <w:rPr>
          <w:rFonts w:hint="eastAsia"/>
          <w:color w:val="auto"/>
          <w:kern w:val="10"/>
          <w:highlight w:val="none"/>
          <w:shd w:val="clear" w:color="auto" w:fill="auto"/>
        </w:rPr>
        <w:t>项目负责人与主要技术人员</w:t>
      </w:r>
      <w:r>
        <w:rPr>
          <w:color w:val="auto"/>
          <w:kern w:val="10"/>
          <w:highlight w:val="none"/>
          <w:shd w:val="clear" w:color="auto" w:fill="auto"/>
        </w:rPr>
        <w:t>出现同一人的；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36.5.1.6  </w:t>
      </w:r>
      <w:r>
        <w:rPr>
          <w:color w:val="auto"/>
          <w:kern w:val="10"/>
          <w:highlight w:val="none"/>
          <w:shd w:val="clear" w:color="auto" w:fill="auto"/>
        </w:rPr>
        <w:t>不同投标人的投标文件相互混装的；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36.5.1.7  </w:t>
      </w:r>
      <w:r>
        <w:rPr>
          <w:color w:val="auto"/>
          <w:kern w:val="10"/>
          <w:highlight w:val="none"/>
          <w:shd w:val="clear" w:color="auto" w:fill="auto"/>
        </w:rPr>
        <w:t>不同投标人委托同一人投标的</w:t>
      </w:r>
      <w:r>
        <w:rPr>
          <w:rFonts w:hint="eastAsia"/>
          <w:color w:val="auto"/>
          <w:kern w:val="10"/>
          <w:highlight w:val="none"/>
          <w:shd w:val="clear" w:color="auto" w:fill="auto"/>
        </w:rPr>
        <w:t>；</w:t>
      </w:r>
    </w:p>
    <w:p>
      <w:pPr>
        <w:tabs>
          <w:tab w:val="clear" w:pos="426"/>
        </w:tabs>
        <w:rPr>
          <w:color w:val="auto"/>
          <w:kern w:val="10"/>
          <w:highlight w:val="none"/>
          <w:shd w:val="clear" w:color="auto" w:fill="auto"/>
        </w:rPr>
      </w:pPr>
      <w:r>
        <w:rPr>
          <w:rFonts w:hint="eastAsia"/>
          <w:color w:val="auto"/>
          <w:kern w:val="10"/>
          <w:highlight w:val="none"/>
          <w:shd w:val="clear" w:color="auto" w:fill="auto"/>
        </w:rPr>
        <w:t>36.5.1.8  不同投标人聘请同一人为其投标提供技术或者经济咨询服务的，但招标工程本身要求采用专有技术的除外；</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36.5.1.9  </w:t>
      </w:r>
      <w:r>
        <w:rPr>
          <w:color w:val="auto"/>
          <w:kern w:val="10"/>
          <w:highlight w:val="none"/>
          <w:shd w:val="clear" w:color="auto" w:fill="auto"/>
        </w:rPr>
        <w:t>评标委员会认定的其他串通投标情形。</w:t>
      </w:r>
    </w:p>
    <w:p>
      <w:pPr>
        <w:tabs>
          <w:tab w:val="clear" w:pos="426"/>
        </w:tabs>
        <w:rPr>
          <w:color w:val="auto"/>
          <w:highlight w:val="none"/>
          <w:shd w:val="clear" w:color="auto" w:fill="auto"/>
        </w:rPr>
      </w:pPr>
      <w:r>
        <w:rPr>
          <w:rFonts w:hint="eastAsia"/>
          <w:color w:val="auto"/>
          <w:kern w:val="10"/>
          <w:highlight w:val="none"/>
          <w:shd w:val="clear" w:color="auto" w:fill="auto"/>
        </w:rPr>
        <w:t xml:space="preserve">36.5.2 </w:t>
      </w:r>
      <w:r>
        <w:rPr>
          <w:rFonts w:hint="eastAsia"/>
          <w:color w:val="auto"/>
          <w:highlight w:val="none"/>
          <w:shd w:val="clear" w:color="auto" w:fill="auto"/>
        </w:rPr>
        <w:t xml:space="preserve"> 投标文件不满足招标文件规定的任何一项实质性要求的；</w:t>
      </w:r>
    </w:p>
    <w:p>
      <w:pPr>
        <w:tabs>
          <w:tab w:val="clear" w:pos="426"/>
        </w:tabs>
        <w:rPr>
          <w:color w:val="auto"/>
          <w:highlight w:val="none"/>
          <w:shd w:val="clear" w:color="auto" w:fill="auto"/>
        </w:rPr>
      </w:pPr>
      <w:r>
        <w:rPr>
          <w:rFonts w:hint="eastAsia"/>
          <w:bCs/>
          <w:color w:val="auto"/>
          <w:kern w:val="10"/>
          <w:highlight w:val="none"/>
          <w:shd w:val="clear" w:color="auto" w:fill="auto"/>
        </w:rPr>
        <w:t xml:space="preserve">36.5.3 </w:t>
      </w:r>
      <w:r>
        <w:rPr>
          <w:rFonts w:hint="eastAsia"/>
          <w:color w:val="auto"/>
          <w:highlight w:val="none"/>
          <w:shd w:val="clear" w:color="auto" w:fill="auto"/>
        </w:rPr>
        <w:t xml:space="preserve"> 投标文件对招标文件规定的非实质性要求的偏离，超出允许偏离的最大范围或最高项数的；</w:t>
      </w:r>
    </w:p>
    <w:p>
      <w:pPr>
        <w:tabs>
          <w:tab w:val="clear" w:pos="426"/>
        </w:tabs>
        <w:rPr>
          <w:color w:val="auto"/>
          <w:highlight w:val="none"/>
          <w:shd w:val="clear" w:color="auto" w:fill="auto"/>
        </w:rPr>
      </w:pPr>
      <w:r>
        <w:rPr>
          <w:color w:val="auto"/>
          <w:kern w:val="10"/>
          <w:highlight w:val="none"/>
          <w:shd w:val="clear" w:color="auto" w:fill="auto"/>
        </w:rPr>
        <w:t>3</w:t>
      </w:r>
      <w:r>
        <w:rPr>
          <w:rFonts w:hint="eastAsia"/>
          <w:color w:val="auto"/>
          <w:kern w:val="10"/>
          <w:highlight w:val="none"/>
          <w:shd w:val="clear" w:color="auto" w:fill="auto"/>
        </w:rPr>
        <w:t>6</w:t>
      </w:r>
      <w:r>
        <w:rPr>
          <w:color w:val="auto"/>
          <w:kern w:val="10"/>
          <w:highlight w:val="none"/>
          <w:shd w:val="clear" w:color="auto" w:fill="auto"/>
        </w:rPr>
        <w:t>.5.</w:t>
      </w:r>
      <w:r>
        <w:rPr>
          <w:rFonts w:hint="eastAsia"/>
          <w:color w:val="auto"/>
          <w:kern w:val="10"/>
          <w:highlight w:val="none"/>
          <w:shd w:val="clear" w:color="auto" w:fill="auto"/>
        </w:rPr>
        <w:t xml:space="preserve">4 </w:t>
      </w:r>
      <w:r>
        <w:rPr>
          <w:rFonts w:hint="eastAsia"/>
          <w:color w:val="auto"/>
          <w:highlight w:val="none"/>
          <w:shd w:val="clear" w:color="auto" w:fill="auto"/>
        </w:rPr>
        <w:t xml:space="preserve"> 评标委员会根据招标文件的规定对投标文件的投标价格进行调整，投标人不接受调整方式的，或不接受调整后的价格的；</w:t>
      </w:r>
    </w:p>
    <w:p>
      <w:pPr>
        <w:tabs>
          <w:tab w:val="clear" w:pos="426"/>
        </w:tabs>
        <w:rPr>
          <w:color w:val="auto"/>
          <w:kern w:val="10"/>
          <w:highlight w:val="none"/>
          <w:shd w:val="clear" w:color="auto" w:fill="auto"/>
        </w:rPr>
      </w:pPr>
      <w:r>
        <w:rPr>
          <w:rFonts w:hint="eastAsia"/>
          <w:color w:val="auto"/>
          <w:kern w:val="10"/>
          <w:highlight w:val="none"/>
          <w:shd w:val="clear" w:color="auto" w:fill="auto"/>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color w:val="auto"/>
          <w:kern w:val="10"/>
          <w:highlight w:val="none"/>
          <w:shd w:val="clear" w:color="auto" w:fill="auto"/>
        </w:rPr>
      </w:pPr>
      <w:r>
        <w:rPr>
          <w:rFonts w:hint="eastAsia"/>
          <w:color w:val="auto"/>
          <w:kern w:val="10"/>
          <w:highlight w:val="none"/>
          <w:shd w:val="clear" w:color="auto" w:fill="auto"/>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color w:val="auto"/>
          <w:highlight w:val="none"/>
          <w:shd w:val="clear" w:color="auto" w:fill="auto"/>
        </w:rPr>
      </w:pPr>
      <w:r>
        <w:rPr>
          <w:rFonts w:hint="eastAsia"/>
          <w:color w:val="auto"/>
          <w:highlight w:val="none"/>
          <w:shd w:val="clear" w:color="auto" w:fill="auto"/>
        </w:rPr>
        <w:t>37.实地考察、演示或设备测试</w:t>
      </w:r>
    </w:p>
    <w:p>
      <w:pPr>
        <w:tabs>
          <w:tab w:val="clear" w:pos="426"/>
        </w:tabs>
        <w:rPr>
          <w:color w:val="auto"/>
          <w:highlight w:val="none"/>
          <w:shd w:val="clear" w:color="auto" w:fill="auto"/>
        </w:rPr>
      </w:pPr>
      <w:r>
        <w:rPr>
          <w:rFonts w:hint="eastAsia"/>
          <w:color w:val="auto"/>
          <w:highlight w:val="none"/>
          <w:shd w:val="clear" w:color="auto" w:fill="auto"/>
        </w:rPr>
        <w:t>37.1在招标过程中，评标委员会有权决定是否对本项目投标人进行现场勘察或实地考察或检验有关证明材料的原件。投标人应随时做好接受检查的准备。</w:t>
      </w:r>
    </w:p>
    <w:p>
      <w:pPr>
        <w:tabs>
          <w:tab w:val="clear" w:pos="426"/>
        </w:tabs>
        <w:rPr>
          <w:color w:val="auto"/>
          <w:highlight w:val="none"/>
          <w:shd w:val="clear" w:color="auto" w:fill="auto"/>
        </w:rPr>
      </w:pPr>
      <w:r>
        <w:rPr>
          <w:rFonts w:hint="eastAsia"/>
          <w:color w:val="auto"/>
          <w:highlight w:val="none"/>
          <w:shd w:val="clear" w:color="auto" w:fill="auto"/>
        </w:rPr>
        <w:t>37.2若招标文件要求进行现场演示或设备测试的，投标人应做好相应准备。</w:t>
      </w:r>
    </w:p>
    <w:p>
      <w:pPr>
        <w:tabs>
          <w:tab w:val="clear" w:pos="426"/>
        </w:tabs>
        <w:rPr>
          <w:color w:val="auto"/>
          <w:highlight w:val="none"/>
          <w:shd w:val="clear" w:color="auto" w:fill="auto"/>
        </w:rPr>
      </w:pPr>
      <w:bookmarkStart w:id="336" w:name="_Toc100052402"/>
      <w:r>
        <w:rPr>
          <w:rFonts w:hint="eastAsia"/>
          <w:color w:val="auto"/>
          <w:highlight w:val="none"/>
          <w:shd w:val="clear" w:color="auto" w:fill="auto"/>
        </w:rPr>
        <w:t>38．评标方法</w:t>
      </w:r>
      <w:bookmarkEnd w:id="336"/>
    </w:p>
    <w:p>
      <w:pPr>
        <w:tabs>
          <w:tab w:val="clear" w:pos="426"/>
        </w:tabs>
        <w:rPr>
          <w:color w:val="auto"/>
          <w:szCs w:val="21"/>
          <w:highlight w:val="none"/>
          <w:shd w:val="clear" w:color="auto" w:fill="auto"/>
        </w:rPr>
      </w:pPr>
      <w:r>
        <w:rPr>
          <w:rFonts w:hint="eastAsia"/>
          <w:color w:val="auto"/>
          <w:szCs w:val="21"/>
          <w:highlight w:val="none"/>
          <w:shd w:val="clear" w:color="auto" w:fill="auto"/>
        </w:rPr>
        <w:t>38.1</w:t>
      </w:r>
      <w:r>
        <w:rPr>
          <w:rFonts w:hint="eastAsia"/>
          <w:color w:val="auto"/>
          <w:highlight w:val="none"/>
          <w:shd w:val="clear" w:color="auto" w:fill="auto"/>
        </w:rPr>
        <w:t>根据《转发财政部关于加强政府采购货物和服务项目价格评审管理的通知》（深财购[2007]9号）和《关于印发&lt;深圳市政府采购评标委员会和评标方法暂行规定&gt;的通知》(深财购[2005]5号)《</w:t>
      </w:r>
      <w:r>
        <w:rPr>
          <w:color w:val="auto"/>
          <w:highlight w:val="none"/>
          <w:shd w:val="clear" w:color="auto" w:fill="auto"/>
        </w:rPr>
        <w:t>深圳市政府采购评标定标分离管理暂行办法</w:t>
      </w:r>
      <w:r>
        <w:rPr>
          <w:rFonts w:hint="eastAsia"/>
          <w:color w:val="auto"/>
          <w:highlight w:val="none"/>
          <w:shd w:val="clear" w:color="auto" w:fill="auto"/>
        </w:rPr>
        <w:t>》的有关要求，</w:t>
      </w:r>
      <w:r>
        <w:rPr>
          <w:rFonts w:hint="eastAsia"/>
          <w:color w:val="auto"/>
          <w:szCs w:val="21"/>
          <w:highlight w:val="none"/>
          <w:shd w:val="clear" w:color="auto" w:fill="auto"/>
        </w:rPr>
        <w:t>项目评标方法根据是否是评定分离项目进行选择。</w:t>
      </w:r>
    </w:p>
    <w:p>
      <w:pPr>
        <w:tabs>
          <w:tab w:val="clear" w:pos="426"/>
        </w:tabs>
        <w:rPr>
          <w:color w:val="auto"/>
          <w:highlight w:val="none"/>
          <w:shd w:val="clear" w:color="auto" w:fill="auto"/>
        </w:rPr>
      </w:pPr>
      <w:r>
        <w:rPr>
          <w:rFonts w:hint="eastAsia"/>
          <w:color w:val="auto"/>
          <w:highlight w:val="none"/>
          <w:shd w:val="clear" w:color="auto" w:fill="auto"/>
        </w:rPr>
        <w:t>38.2非评定分离项目</w:t>
      </w:r>
    </w:p>
    <w:p>
      <w:pPr>
        <w:tabs>
          <w:tab w:val="clear" w:pos="426"/>
        </w:tabs>
        <w:rPr>
          <w:color w:val="auto"/>
          <w:highlight w:val="none"/>
          <w:shd w:val="clear" w:color="auto" w:fill="auto"/>
        </w:rPr>
      </w:pPr>
      <w:r>
        <w:rPr>
          <w:rFonts w:hint="eastAsia"/>
          <w:color w:val="auto"/>
          <w:highlight w:val="none"/>
          <w:shd w:val="clear" w:color="auto" w:fill="auto"/>
        </w:rPr>
        <w:t>非评定分离项目评分方法为最低评标价法、综合评标法、性价比法及法律、法规允许的其它评标办法。</w:t>
      </w:r>
    </w:p>
    <w:p>
      <w:pPr>
        <w:tabs>
          <w:tab w:val="clear" w:pos="426"/>
        </w:tabs>
        <w:rPr>
          <w:b/>
          <w:color w:val="auto"/>
          <w:highlight w:val="none"/>
          <w:shd w:val="clear" w:color="auto" w:fill="auto"/>
        </w:rPr>
      </w:pPr>
      <w:r>
        <w:rPr>
          <w:rFonts w:hint="eastAsia"/>
          <w:color w:val="auto"/>
          <w:highlight w:val="none"/>
          <w:shd w:val="clear" w:color="auto" w:fill="auto"/>
        </w:rPr>
        <w:t>38.2.1</w:t>
      </w:r>
      <w:bookmarkStart w:id="337" w:name="评标方法2"/>
      <w:r>
        <w:rPr>
          <w:rFonts w:hint="eastAsia"/>
          <w:color w:val="auto"/>
          <w:highlight w:val="none"/>
          <w:shd w:val="clear" w:color="auto" w:fill="auto"/>
        </w:rPr>
        <w:t>最低评标价法</w:t>
      </w:r>
    </w:p>
    <w:p>
      <w:pPr>
        <w:tabs>
          <w:tab w:val="clear" w:pos="426"/>
        </w:tabs>
        <w:rPr>
          <w:color w:val="auto"/>
          <w:highlight w:val="none"/>
          <w:shd w:val="clear" w:color="auto" w:fill="auto"/>
        </w:rPr>
      </w:pPr>
      <w:r>
        <w:rPr>
          <w:rFonts w:hint="eastAsia"/>
          <w:color w:val="auto"/>
          <w:highlight w:val="none"/>
          <w:shd w:val="clear" w:color="auto" w:fill="auto"/>
        </w:rPr>
        <w:t>最低价法是指以价格因素确定中标候选供应商的评标方法，即在满足招标文件实质性要求前提下，以报价最低的投标人作为中标候选供应商或中标人的评标方法；</w:t>
      </w:r>
    </w:p>
    <w:p>
      <w:pPr>
        <w:tabs>
          <w:tab w:val="clear" w:pos="426"/>
        </w:tabs>
        <w:rPr>
          <w:b/>
          <w:color w:val="auto"/>
          <w:highlight w:val="none"/>
          <w:shd w:val="clear" w:color="auto" w:fill="auto"/>
        </w:rPr>
      </w:pPr>
      <w:r>
        <w:rPr>
          <w:rFonts w:hint="eastAsia"/>
          <w:color w:val="auto"/>
          <w:highlight w:val="none"/>
          <w:shd w:val="clear" w:color="auto" w:fill="auto"/>
        </w:rPr>
        <w:t>38.2.2综合评分法</w:t>
      </w:r>
      <w:bookmarkEnd w:id="337"/>
    </w:p>
    <w:p>
      <w:pPr>
        <w:tabs>
          <w:tab w:val="clear" w:pos="426"/>
        </w:tabs>
        <w:rPr>
          <w:color w:val="auto"/>
          <w:highlight w:val="none"/>
          <w:shd w:val="clear" w:color="auto" w:fill="auto"/>
        </w:rPr>
      </w:pPr>
      <w:bookmarkStart w:id="338" w:name="评标方法3"/>
      <w:r>
        <w:rPr>
          <w:rFonts w:hint="eastAsia"/>
          <w:color w:val="auto"/>
          <w:highlight w:val="none"/>
          <w:shd w:val="clear" w:color="auto" w:fill="auto"/>
        </w:rPr>
        <w:t>是指投标文件满足招标文件全部实质性要求，且按照评审因素的量化指标评审得分最高的投标人为中标候选人的评标方法。</w:t>
      </w:r>
    </w:p>
    <w:p>
      <w:pPr>
        <w:tabs>
          <w:tab w:val="clear" w:pos="426"/>
        </w:tabs>
        <w:rPr>
          <w:b/>
          <w:bCs/>
          <w:color w:val="auto"/>
          <w:highlight w:val="none"/>
          <w:shd w:val="clear" w:color="auto" w:fill="auto"/>
        </w:rPr>
      </w:pPr>
      <w:r>
        <w:rPr>
          <w:rFonts w:hint="eastAsia"/>
          <w:color w:val="auto"/>
          <w:highlight w:val="none"/>
          <w:shd w:val="clear" w:color="auto" w:fill="auto"/>
        </w:rPr>
        <w:t>38.2.3</w:t>
      </w:r>
      <w:r>
        <w:rPr>
          <w:rFonts w:hint="eastAsia"/>
          <w:bCs/>
          <w:color w:val="auto"/>
          <w:highlight w:val="none"/>
          <w:shd w:val="clear" w:color="auto" w:fill="auto"/>
        </w:rPr>
        <w:t>性价比法</w:t>
      </w:r>
    </w:p>
    <w:p>
      <w:pPr>
        <w:tabs>
          <w:tab w:val="clear" w:pos="426"/>
        </w:tabs>
        <w:rPr>
          <w:color w:val="auto"/>
          <w:highlight w:val="none"/>
          <w:shd w:val="clear" w:color="auto" w:fill="auto"/>
        </w:rPr>
      </w:pPr>
      <w:r>
        <w:rPr>
          <w:rFonts w:hint="eastAsia"/>
          <w:color w:val="auto"/>
          <w:highlight w:val="none"/>
          <w:shd w:val="clear" w:color="auto" w:fill="auto"/>
        </w:rPr>
        <w:t>性价比法是指除价格因素外，经对投标文件进行评审，计算出评分因素的总分，除以投标报价，以商数最高的投标人作为中标候选供应商或中标人的评标方法。</w:t>
      </w:r>
    </w:p>
    <w:p>
      <w:pPr>
        <w:tabs>
          <w:tab w:val="clear" w:pos="426"/>
        </w:tabs>
        <w:rPr>
          <w:color w:val="auto"/>
          <w:highlight w:val="none"/>
          <w:shd w:val="clear" w:color="auto" w:fill="auto"/>
        </w:rPr>
      </w:pPr>
      <w:r>
        <w:rPr>
          <w:rFonts w:hint="eastAsia"/>
          <w:color w:val="auto"/>
          <w:highlight w:val="none"/>
          <w:shd w:val="clear" w:color="auto" w:fill="auto"/>
        </w:rPr>
        <w:t>38.3评定分离项目</w:t>
      </w:r>
    </w:p>
    <w:p>
      <w:pPr>
        <w:tabs>
          <w:tab w:val="clear" w:pos="426"/>
        </w:tabs>
        <w:rPr>
          <w:color w:val="auto"/>
          <w:highlight w:val="none"/>
          <w:shd w:val="clear" w:color="auto" w:fill="auto"/>
        </w:rPr>
      </w:pPr>
      <w:r>
        <w:rPr>
          <w:rFonts w:hint="eastAsia"/>
          <w:color w:val="auto"/>
          <w:highlight w:val="none"/>
          <w:shd w:val="clear" w:color="auto" w:fill="auto"/>
        </w:rPr>
        <w:t>评定分离项目，评审委员会应当按照综合评分法、定性评审法、最低价法或者法律、法规及规章规定的其他评审方法对投标文件进行评审。</w:t>
      </w:r>
    </w:p>
    <w:p>
      <w:pPr>
        <w:tabs>
          <w:tab w:val="clear" w:pos="426"/>
        </w:tabs>
        <w:rPr>
          <w:b/>
          <w:color w:val="auto"/>
          <w:highlight w:val="none"/>
          <w:shd w:val="clear" w:color="auto" w:fill="auto"/>
        </w:rPr>
      </w:pPr>
      <w:r>
        <w:rPr>
          <w:rFonts w:hint="eastAsia"/>
          <w:color w:val="auto"/>
          <w:highlight w:val="none"/>
          <w:shd w:val="clear" w:color="auto" w:fill="auto"/>
        </w:rPr>
        <w:t>38.3.1综合评分法</w:t>
      </w:r>
    </w:p>
    <w:p>
      <w:pPr>
        <w:tabs>
          <w:tab w:val="clear" w:pos="426"/>
        </w:tabs>
        <w:rPr>
          <w:color w:val="auto"/>
          <w:highlight w:val="none"/>
          <w:shd w:val="clear" w:color="auto" w:fill="auto"/>
        </w:rPr>
      </w:pPr>
      <w:r>
        <w:rPr>
          <w:rFonts w:hint="eastAsia"/>
          <w:color w:val="auto"/>
          <w:highlight w:val="none"/>
          <w:shd w:val="clear" w:color="auto" w:fill="auto"/>
        </w:rPr>
        <w:t>是指投标文件满足招标文件全部实质性要求，且按照评审因素的量化指标评审得分最高的投标人为中标候选人的评标方法。</w:t>
      </w:r>
    </w:p>
    <w:p>
      <w:pPr>
        <w:tabs>
          <w:tab w:val="clear" w:pos="426"/>
        </w:tabs>
        <w:rPr>
          <w:color w:val="auto"/>
          <w:sz w:val="18"/>
          <w:szCs w:val="18"/>
          <w:highlight w:val="none"/>
          <w:shd w:val="clear" w:color="auto" w:fill="auto"/>
        </w:rPr>
      </w:pPr>
      <w:r>
        <w:rPr>
          <w:rFonts w:hint="eastAsia"/>
          <w:color w:val="auto"/>
          <w:highlight w:val="none"/>
          <w:shd w:val="clear" w:color="auto" w:fill="auto"/>
        </w:rPr>
        <w:t>38.3.2</w:t>
      </w:r>
      <w:r>
        <w:rPr>
          <w:rFonts w:hint="eastAsia"/>
          <w:bCs/>
          <w:color w:val="auto"/>
          <w:highlight w:val="none"/>
          <w:shd w:val="clear" w:color="auto" w:fill="auto"/>
        </w:rPr>
        <w:t>定性评审法</w:t>
      </w:r>
    </w:p>
    <w:p>
      <w:pPr>
        <w:tabs>
          <w:tab w:val="clear" w:pos="426"/>
        </w:tabs>
        <w:rPr>
          <w:color w:val="auto"/>
          <w:highlight w:val="none"/>
          <w:shd w:val="clear" w:color="auto" w:fill="auto"/>
        </w:rPr>
      </w:pPr>
      <w:r>
        <w:rPr>
          <w:rFonts w:hint="eastAsia"/>
          <w:color w:val="auto"/>
          <w:highlight w:val="none"/>
          <w:shd w:val="clear" w:color="auto" w:fill="auto"/>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color w:val="auto"/>
          <w:highlight w:val="none"/>
          <w:shd w:val="clear" w:color="auto" w:fill="auto"/>
        </w:rPr>
      </w:pPr>
      <w:r>
        <w:rPr>
          <w:rFonts w:hint="eastAsia"/>
          <w:color w:val="auto"/>
          <w:highlight w:val="none"/>
          <w:shd w:val="clear" w:color="auto" w:fill="auto"/>
        </w:rPr>
        <w:t>38.3.3最低价法</w:t>
      </w:r>
    </w:p>
    <w:p>
      <w:pPr>
        <w:tabs>
          <w:tab w:val="clear" w:pos="426"/>
        </w:tabs>
        <w:rPr>
          <w:color w:val="auto"/>
          <w:highlight w:val="none"/>
          <w:shd w:val="clear" w:color="auto" w:fill="auto"/>
        </w:rPr>
      </w:pPr>
      <w:r>
        <w:rPr>
          <w:rFonts w:hint="eastAsia"/>
          <w:color w:val="auto"/>
          <w:highlight w:val="none"/>
          <w:shd w:val="clear" w:color="auto" w:fill="auto"/>
        </w:rPr>
        <w:t>最低价法是指以价格为主要因素确定候选中标人的评审方法。</w:t>
      </w:r>
    </w:p>
    <w:p>
      <w:pPr>
        <w:tabs>
          <w:tab w:val="clear" w:pos="426"/>
        </w:tabs>
        <w:rPr>
          <w:color w:val="auto"/>
          <w:highlight w:val="none"/>
          <w:shd w:val="clear" w:color="auto" w:fill="auto"/>
        </w:rPr>
      </w:pPr>
      <w:r>
        <w:rPr>
          <w:rFonts w:hint="eastAsia"/>
          <w:color w:val="auto"/>
          <w:highlight w:val="none"/>
          <w:shd w:val="clear" w:color="auto" w:fill="auto"/>
        </w:rPr>
        <w:t>38.4本项目采用的评标方法</w:t>
      </w:r>
      <w:bookmarkEnd w:id="338"/>
      <w:r>
        <w:rPr>
          <w:rFonts w:hint="eastAsia"/>
          <w:color w:val="auto"/>
          <w:highlight w:val="none"/>
          <w:shd w:val="clear" w:color="auto" w:fill="auto"/>
        </w:rPr>
        <w:t>见本项目招标文件专用条款的相关内容。</w:t>
      </w:r>
    </w:p>
    <w:p>
      <w:pPr>
        <w:pStyle w:val="6"/>
        <w:tabs>
          <w:tab w:val="clear" w:pos="426"/>
        </w:tabs>
        <w:rPr>
          <w:color w:val="auto"/>
          <w:highlight w:val="none"/>
          <w:shd w:val="clear" w:color="auto" w:fill="auto"/>
        </w:rPr>
      </w:pPr>
      <w:bookmarkStart w:id="339" w:name="_Toc3628670"/>
      <w:bookmarkStart w:id="340" w:name="_Toc432592827"/>
      <w:bookmarkStart w:id="341" w:name="_Toc398220535"/>
      <w:bookmarkStart w:id="342" w:name="_Toc14279"/>
      <w:r>
        <w:rPr>
          <w:rFonts w:hint="eastAsia"/>
          <w:color w:val="auto"/>
          <w:highlight w:val="none"/>
          <w:shd w:val="clear" w:color="auto" w:fill="auto"/>
        </w:rPr>
        <w:t>第七章 定标及公示</w:t>
      </w:r>
      <w:bookmarkEnd w:id="339"/>
      <w:bookmarkEnd w:id="340"/>
      <w:bookmarkEnd w:id="341"/>
      <w:bookmarkEnd w:id="342"/>
    </w:p>
    <w:p>
      <w:pPr>
        <w:tabs>
          <w:tab w:val="clear" w:pos="426"/>
        </w:tabs>
        <w:rPr>
          <w:color w:val="auto"/>
          <w:highlight w:val="none"/>
          <w:shd w:val="clear" w:color="auto" w:fill="auto"/>
        </w:rPr>
      </w:pPr>
      <w:r>
        <w:rPr>
          <w:rFonts w:hint="eastAsia"/>
          <w:color w:val="auto"/>
          <w:highlight w:val="none"/>
          <w:shd w:val="clear" w:color="auto" w:fill="auto"/>
        </w:rPr>
        <w:t>39．定标方法</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1项目定标方法根据是否是评定分离项目进行选择。</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2非评定分离项目</w:t>
      </w:r>
    </w:p>
    <w:p>
      <w:pPr>
        <w:tabs>
          <w:tab w:val="clear" w:pos="426"/>
        </w:tabs>
        <w:rPr>
          <w:color w:val="auto"/>
          <w:highlight w:val="none"/>
          <w:shd w:val="clear" w:color="auto" w:fill="auto"/>
        </w:rPr>
      </w:pPr>
      <w:r>
        <w:rPr>
          <w:rFonts w:hint="eastAsia"/>
          <w:color w:val="auto"/>
          <w:highlight w:val="none"/>
          <w:shd w:val="clear" w:color="auto" w:fill="auto"/>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color w:val="auto"/>
          <w:highlight w:val="none"/>
          <w:shd w:val="clear" w:color="auto" w:fill="auto"/>
        </w:rPr>
      </w:pPr>
      <w:r>
        <w:rPr>
          <w:color w:val="auto"/>
          <w:highlight w:val="none"/>
          <w:shd w:val="clear" w:color="auto" w:fill="auto"/>
        </w:rPr>
        <w:t>39.2.2采用综合评</w:t>
      </w:r>
      <w:r>
        <w:rPr>
          <w:rFonts w:hint="eastAsia"/>
          <w:color w:val="auto"/>
          <w:highlight w:val="none"/>
          <w:shd w:val="clear" w:color="auto" w:fill="auto"/>
        </w:rPr>
        <w:t>分</w:t>
      </w:r>
      <w:r>
        <w:rPr>
          <w:color w:val="auto"/>
          <w:highlight w:val="none"/>
          <w:shd w:val="clear" w:color="auto" w:fill="auto"/>
        </w:rPr>
        <w:t>法的，按评审后得分由高到低顺序排列。得分相同的，按投标报价由低到高顺序排列。得分且投标报价相同的，按技术指标优劣顺序排列。</w:t>
      </w:r>
      <w:r>
        <w:rPr>
          <w:rFonts w:hint="eastAsia"/>
          <w:b/>
          <w:color w:val="auto"/>
          <w:szCs w:val="21"/>
          <w:highlight w:val="none"/>
          <w:shd w:val="clear" w:color="auto" w:fill="auto"/>
        </w:rPr>
        <w:t>得分且投标报价相同的且技术指标或服务方案优劣相同的，</w:t>
      </w:r>
      <w:r>
        <w:rPr>
          <w:rFonts w:cs="Times New Roman"/>
          <w:b/>
          <w:bCs/>
          <w:color w:val="auto"/>
          <w:kern w:val="2"/>
          <w:szCs w:val="21"/>
          <w:highlight w:val="none"/>
          <w:shd w:val="clear" w:color="auto" w:fill="auto"/>
        </w:rPr>
        <w:t>采取随机抽取方式确定中标人推荐资格</w:t>
      </w:r>
      <w:r>
        <w:rPr>
          <w:rFonts w:hint="eastAsia" w:cs="Times New Roman"/>
          <w:b/>
          <w:bCs/>
          <w:color w:val="auto"/>
          <w:kern w:val="2"/>
          <w:szCs w:val="21"/>
          <w:highlight w:val="none"/>
          <w:shd w:val="clear" w:color="auto" w:fill="auto"/>
        </w:rPr>
        <w:t>。</w:t>
      </w:r>
      <w:r>
        <w:rPr>
          <w:rFonts w:hint="eastAsia"/>
          <w:color w:val="auto"/>
          <w:highlight w:val="none"/>
          <w:shd w:val="clear" w:color="auto" w:fil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2.3</w:t>
      </w:r>
      <w:r>
        <w:rPr>
          <w:color w:val="auto"/>
          <w:highlight w:val="none"/>
          <w:shd w:val="clear" w:color="auto" w:fill="auto"/>
        </w:rPr>
        <w:t>采用</w:t>
      </w:r>
      <w:r>
        <w:rPr>
          <w:rFonts w:hint="eastAsia"/>
          <w:color w:val="auto"/>
          <w:highlight w:val="none"/>
          <w:shd w:val="clear" w:color="auto" w:fill="auto"/>
        </w:rPr>
        <w:t>性价比</w:t>
      </w:r>
      <w:r>
        <w:rPr>
          <w:color w:val="auto"/>
          <w:highlight w:val="none"/>
          <w:shd w:val="clear" w:color="auto" w:fill="auto"/>
        </w:rPr>
        <w:t>法的</w:t>
      </w:r>
      <w:r>
        <w:rPr>
          <w:rFonts w:hint="eastAsia"/>
          <w:color w:val="auto"/>
          <w:highlight w:val="none"/>
          <w:shd w:val="clear" w:color="auto" w:fill="auto"/>
        </w:rPr>
        <w:t>，按商数得分由高到低顺序排列。商数得分相同的，按投标报价由低到高顺序排列。商数得分且投标报价相同的，按技术指标优劣顺序排列。</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3评定分离项目</w:t>
      </w:r>
    </w:p>
    <w:p>
      <w:pPr>
        <w:tabs>
          <w:tab w:val="clear" w:pos="426"/>
        </w:tabs>
        <w:rPr>
          <w:color w:val="auto"/>
          <w:highlight w:val="none"/>
          <w:shd w:val="clear" w:color="auto" w:fill="auto"/>
        </w:rPr>
      </w:pPr>
      <w:r>
        <w:rPr>
          <w:rFonts w:hint="eastAsia"/>
          <w:color w:val="auto"/>
          <w:highlight w:val="none"/>
          <w:shd w:val="clear" w:color="auto" w:fill="auto"/>
        </w:rPr>
        <w:t>适用评定分离的政府采购项目，采购人应当根据不同的项目选用自定法、抽签法、竞价法或者法律、法规及规章规定的其他定标方法确定中标人。</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3.1自定法是指采购人组织定标委员会，由定标委员会在候选中标人中确定中标人。</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3.2 抽签法是指候选中标人产生后，由采购人委托招标机构按照随机抽签的方式在候选中标人中确定中标人。 </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3.3竞价法是指候选中标人产生后，由采购人委托招标机构组织候选中标人进行二次竞价，最终报价最低的为中标人</w:t>
      </w:r>
    </w:p>
    <w:p>
      <w:pPr>
        <w:tabs>
          <w:tab w:val="clear" w:pos="426"/>
        </w:tabs>
        <w:rPr>
          <w:color w:val="auto"/>
          <w:highlight w:val="none"/>
          <w:shd w:val="clear" w:color="auto" w:fill="auto"/>
        </w:rPr>
      </w:pPr>
      <w:r>
        <w:rPr>
          <w:rFonts w:hint="eastAsia"/>
          <w:color w:val="auto"/>
          <w:highlight w:val="none"/>
          <w:shd w:val="clear" w:color="auto" w:fill="auto"/>
        </w:rPr>
        <w:t>39.4本项目采用的定标方法见本项目招标文件专用条款的相关内容。</w:t>
      </w:r>
    </w:p>
    <w:p>
      <w:pPr>
        <w:tabs>
          <w:tab w:val="clear" w:pos="426"/>
        </w:tabs>
        <w:rPr>
          <w:color w:val="auto"/>
          <w:highlight w:val="none"/>
          <w:shd w:val="clear" w:color="auto" w:fill="auto"/>
        </w:rPr>
      </w:pPr>
      <w:bookmarkStart w:id="343" w:name="_Toc100052404"/>
      <w:r>
        <w:rPr>
          <w:rFonts w:hint="eastAsia"/>
          <w:color w:val="auto"/>
          <w:highlight w:val="none"/>
          <w:shd w:val="clear" w:color="auto" w:fill="auto"/>
        </w:rPr>
        <w:t>40．编写评标报告</w:t>
      </w:r>
      <w:bookmarkEnd w:id="343"/>
    </w:p>
    <w:p>
      <w:pPr>
        <w:tabs>
          <w:tab w:val="clear" w:pos="426"/>
        </w:tabs>
        <w:rPr>
          <w:color w:val="auto"/>
          <w:highlight w:val="none"/>
          <w:shd w:val="clear" w:color="auto" w:fill="auto"/>
        </w:rPr>
      </w:pPr>
      <w:r>
        <w:rPr>
          <w:rFonts w:hint="eastAsia"/>
          <w:color w:val="auto"/>
          <w:highlight w:val="none"/>
          <w:shd w:val="clear" w:color="auto" w:fill="auto"/>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color w:val="auto"/>
          <w:highlight w:val="none"/>
          <w:shd w:val="clear" w:color="auto" w:fill="auto"/>
        </w:rPr>
      </w:pPr>
      <w:bookmarkStart w:id="344" w:name="_Toc100052405"/>
      <w:bookmarkStart w:id="345" w:name="_Toc73518159"/>
      <w:bookmarkStart w:id="346" w:name="_Toc73521676"/>
      <w:bookmarkStart w:id="347" w:name="_Toc73517681"/>
      <w:bookmarkStart w:id="348" w:name="_Toc73521588"/>
      <w:r>
        <w:rPr>
          <w:rFonts w:hint="eastAsia"/>
          <w:color w:val="auto"/>
          <w:highlight w:val="none"/>
          <w:shd w:val="clear" w:color="auto" w:fill="auto"/>
        </w:rPr>
        <w:t>41．中标公告</w:t>
      </w:r>
      <w:bookmarkEnd w:id="344"/>
    </w:p>
    <w:p>
      <w:pPr>
        <w:tabs>
          <w:tab w:val="clear" w:pos="426"/>
        </w:tabs>
        <w:rPr>
          <w:color w:val="auto"/>
          <w:highlight w:val="none"/>
          <w:shd w:val="clear" w:color="auto" w:fill="auto"/>
        </w:rPr>
      </w:pPr>
      <w:r>
        <w:rPr>
          <w:rFonts w:hint="eastAsia"/>
          <w:color w:val="auto"/>
          <w:highlight w:val="none"/>
          <w:shd w:val="clear" w:color="auto" w:fill="auto"/>
        </w:rPr>
        <w:t>41.1为体现“公开、公平、公正”的原则，评标结束后，采购代理机构将在“深圳政府采购网”（</w:t>
      </w:r>
      <w:r>
        <w:rPr>
          <w:color w:val="auto"/>
          <w:highlight w:val="none"/>
          <w:shd w:val="clear" w:color="auto" w:fill="auto"/>
        </w:rPr>
        <w:fldChar w:fldCharType="begin"/>
      </w:r>
      <w:r>
        <w:rPr>
          <w:color w:val="auto"/>
          <w:highlight w:val="none"/>
          <w:shd w:val="clear" w:color="auto" w:fill="auto"/>
        </w:rPr>
        <w:instrText xml:space="preserve"> HYPERLINK "http://www.szfb.gov.cn:8080/" </w:instrText>
      </w:r>
      <w:r>
        <w:rPr>
          <w:color w:val="auto"/>
          <w:highlight w:val="none"/>
          <w:shd w:val="clear" w:color="auto" w:fill="auto"/>
        </w:rPr>
        <w:fldChar w:fldCharType="separate"/>
      </w:r>
      <w:r>
        <w:rPr>
          <w:color w:val="auto"/>
          <w:highlight w:val="none"/>
          <w:u w:val="single"/>
          <w:shd w:val="clear" w:color="auto" w:fill="auto"/>
        </w:rPr>
        <w:t>http://www.szzfcg.cn/</w:t>
      </w:r>
      <w:r>
        <w:rPr>
          <w:color w:val="auto"/>
          <w:highlight w:val="none"/>
          <w:u w:val="single"/>
          <w:shd w:val="clear" w:color="auto" w:fill="auto"/>
        </w:rPr>
        <w:fldChar w:fldCharType="end"/>
      </w:r>
      <w:r>
        <w:rPr>
          <w:rFonts w:hint="eastAsia"/>
          <w:color w:val="auto"/>
          <w:highlight w:val="none"/>
          <w:shd w:val="clear" w:color="auto" w:fill="auto"/>
        </w:rPr>
        <w:t>）及采购代理机构官网：（</w:t>
      </w:r>
      <w:r>
        <w:rPr>
          <w:color w:val="auto"/>
          <w:highlight w:val="none"/>
          <w:shd w:val="clear" w:color="auto" w:fill="auto"/>
        </w:rPr>
        <w:t>http://www.szsszx.com/</w:t>
      </w:r>
      <w:r>
        <w:rPr>
          <w:rFonts w:hint="eastAsia"/>
          <w:color w:val="auto"/>
          <w:highlight w:val="none"/>
          <w:shd w:val="clear" w:color="auto" w:fill="auto"/>
        </w:rPr>
        <w:t>）上发布中标结果公告，公示期为72小时。供应商如对评标结果有异议，请于公示期内，以书面的形式向我公司反映。若在公示期内未提出异议，则视为认同该评标结果。</w:t>
      </w:r>
    </w:p>
    <w:p>
      <w:pPr>
        <w:tabs>
          <w:tab w:val="clear" w:pos="426"/>
        </w:tabs>
        <w:rPr>
          <w:color w:val="auto"/>
          <w:highlight w:val="none"/>
          <w:shd w:val="clear" w:color="auto" w:fill="auto"/>
        </w:rPr>
      </w:pPr>
      <w:r>
        <w:rPr>
          <w:rFonts w:hint="eastAsia"/>
          <w:color w:val="auto"/>
          <w:highlight w:val="none"/>
          <w:shd w:val="clear" w:color="auto" w:fill="auto"/>
        </w:rPr>
        <w:t>41.2质疑投诉人应保证质疑投诉内容的真实性和可靠性，并承担相应的法律责任。</w:t>
      </w:r>
    </w:p>
    <w:p>
      <w:pPr>
        <w:tabs>
          <w:tab w:val="clear" w:pos="426"/>
        </w:tabs>
        <w:rPr>
          <w:color w:val="auto"/>
          <w:highlight w:val="none"/>
          <w:shd w:val="clear" w:color="auto" w:fill="auto"/>
        </w:rPr>
      </w:pPr>
      <w:bookmarkStart w:id="349" w:name="_Toc100052406"/>
      <w:r>
        <w:rPr>
          <w:rFonts w:hint="eastAsia"/>
          <w:color w:val="auto"/>
          <w:highlight w:val="none"/>
          <w:shd w:val="clear" w:color="auto" w:fill="auto"/>
        </w:rPr>
        <w:t>42．中标通知书</w:t>
      </w:r>
      <w:bookmarkEnd w:id="349"/>
    </w:p>
    <w:bookmarkEnd w:id="345"/>
    <w:bookmarkEnd w:id="346"/>
    <w:bookmarkEnd w:id="347"/>
    <w:bookmarkEnd w:id="348"/>
    <w:p>
      <w:pPr>
        <w:tabs>
          <w:tab w:val="clear" w:pos="426"/>
        </w:tabs>
        <w:rPr>
          <w:color w:val="auto"/>
          <w:highlight w:val="none"/>
          <w:shd w:val="clear" w:color="auto" w:fill="auto"/>
        </w:rPr>
      </w:pPr>
      <w:r>
        <w:rPr>
          <w:rFonts w:hint="eastAsia"/>
          <w:color w:val="auto"/>
          <w:highlight w:val="none"/>
          <w:shd w:val="clear" w:color="auto" w:fill="auto"/>
        </w:rPr>
        <w:t>42</w:t>
      </w:r>
      <w:r>
        <w:rPr>
          <w:color w:val="auto"/>
          <w:highlight w:val="none"/>
          <w:shd w:val="clear" w:color="auto" w:fill="auto"/>
        </w:rPr>
        <w:t>.</w:t>
      </w:r>
      <w:r>
        <w:rPr>
          <w:rFonts w:hint="eastAsia"/>
          <w:color w:val="auto"/>
          <w:highlight w:val="none"/>
          <w:shd w:val="clear" w:color="auto" w:fill="auto"/>
        </w:rPr>
        <w:t>1中标公告公布后,公示期内无人投诉,请中标人凭单位证明及本人身份证到采购代理机构领取《中标通知书》。</w:t>
      </w:r>
    </w:p>
    <w:p>
      <w:pPr>
        <w:tabs>
          <w:tab w:val="clear" w:pos="426"/>
        </w:tabs>
        <w:rPr>
          <w:color w:val="auto"/>
          <w:highlight w:val="none"/>
          <w:shd w:val="clear" w:color="auto" w:fill="auto"/>
        </w:rPr>
      </w:pPr>
      <w:r>
        <w:rPr>
          <w:rFonts w:hint="eastAsia"/>
          <w:color w:val="auto"/>
          <w:highlight w:val="none"/>
          <w:shd w:val="clear" w:color="auto" w:fill="auto"/>
        </w:rPr>
        <w:t>42</w:t>
      </w:r>
      <w:r>
        <w:rPr>
          <w:color w:val="auto"/>
          <w:highlight w:val="none"/>
          <w:shd w:val="clear" w:color="auto" w:fill="auto"/>
        </w:rPr>
        <w:t>.2</w:t>
      </w:r>
      <w:r>
        <w:rPr>
          <w:rFonts w:hint="eastAsia"/>
          <w:color w:val="auto"/>
          <w:highlight w:val="none"/>
          <w:shd w:val="clear" w:color="auto" w:fill="auto"/>
        </w:rPr>
        <w:t>中标通知书是合同的重要组成部分。</w:t>
      </w:r>
    </w:p>
    <w:p>
      <w:pPr>
        <w:tabs>
          <w:tab w:val="clear" w:pos="426"/>
        </w:tabs>
        <w:rPr>
          <w:color w:val="auto"/>
          <w:highlight w:val="none"/>
          <w:shd w:val="clear" w:color="auto" w:fill="auto"/>
        </w:rPr>
      </w:pPr>
      <w:r>
        <w:rPr>
          <w:rFonts w:hint="eastAsia"/>
          <w:color w:val="auto"/>
          <w:highlight w:val="none"/>
          <w:shd w:val="clear" w:color="auto" w:fill="auto"/>
        </w:rPr>
        <w:t>42.3因质疑投诉或其它原因导致项目结果变更或采购终止的，我公司有权收回中标通知书或终止采购合同。</w:t>
      </w:r>
    </w:p>
    <w:p>
      <w:pPr>
        <w:pStyle w:val="6"/>
        <w:tabs>
          <w:tab w:val="clear" w:pos="426"/>
        </w:tabs>
        <w:rPr>
          <w:color w:val="auto"/>
          <w:highlight w:val="none"/>
          <w:shd w:val="clear" w:color="auto" w:fill="auto"/>
        </w:rPr>
      </w:pPr>
      <w:bookmarkStart w:id="350" w:name="bt合同的授予"/>
      <w:bookmarkEnd w:id="350"/>
      <w:bookmarkStart w:id="351" w:name="_Toc398220536"/>
      <w:bookmarkStart w:id="352" w:name="_Toc3628671"/>
      <w:bookmarkStart w:id="353" w:name="_Toc432592828"/>
      <w:bookmarkStart w:id="354" w:name="_Toc23140"/>
      <w:bookmarkStart w:id="355" w:name="_Toc73517678"/>
      <w:bookmarkStart w:id="356" w:name="_Toc73518156"/>
      <w:bookmarkStart w:id="357" w:name="_Toc101074884"/>
      <w:bookmarkStart w:id="358" w:name="_Toc100052407"/>
      <w:r>
        <w:rPr>
          <w:rFonts w:hint="eastAsia"/>
          <w:color w:val="auto"/>
          <w:highlight w:val="none"/>
          <w:shd w:val="clear" w:color="auto" w:fill="auto"/>
        </w:rPr>
        <w:t>第八章 公开招标失败的后续处理</w:t>
      </w:r>
      <w:bookmarkEnd w:id="351"/>
      <w:bookmarkEnd w:id="352"/>
      <w:bookmarkEnd w:id="353"/>
      <w:bookmarkEnd w:id="354"/>
    </w:p>
    <w:p>
      <w:pPr>
        <w:tabs>
          <w:tab w:val="clear" w:pos="426"/>
        </w:tabs>
        <w:rPr>
          <w:color w:val="auto"/>
          <w:highlight w:val="none"/>
          <w:shd w:val="clear" w:color="auto" w:fill="auto"/>
        </w:rPr>
      </w:pPr>
      <w:r>
        <w:rPr>
          <w:rFonts w:hint="eastAsia"/>
          <w:color w:val="auto"/>
          <w:highlight w:val="none"/>
          <w:shd w:val="clear" w:color="auto" w:fill="auto"/>
        </w:rPr>
        <w:t>43．公开招标失败的处理</w:t>
      </w:r>
    </w:p>
    <w:p>
      <w:pPr>
        <w:tabs>
          <w:tab w:val="clear" w:pos="426"/>
        </w:tabs>
        <w:rPr>
          <w:color w:val="auto"/>
          <w:highlight w:val="none"/>
          <w:shd w:val="clear" w:color="auto" w:fill="auto"/>
        </w:rPr>
      </w:pPr>
      <w:r>
        <w:rPr>
          <w:rFonts w:hint="eastAsia"/>
          <w:color w:val="auto"/>
          <w:szCs w:val="21"/>
          <w:highlight w:val="none"/>
          <w:shd w:val="clear" w:color="auto" w:fill="auto"/>
        </w:rPr>
        <w:t>43.1本项目公开招标过程中若由于投标截止后</w:t>
      </w:r>
      <w:r>
        <w:rPr>
          <w:rFonts w:hint="eastAsia"/>
          <w:color w:val="auto"/>
          <w:highlight w:val="none"/>
          <w:shd w:val="clear" w:color="auto" w:fill="auto"/>
        </w:rPr>
        <w:t>实际递交</w:t>
      </w:r>
      <w:r>
        <w:rPr>
          <w:color w:val="auto"/>
          <w:highlight w:val="none"/>
          <w:shd w:val="clear" w:color="auto" w:fill="auto"/>
        </w:rPr>
        <w:t>投标</w:t>
      </w:r>
      <w:r>
        <w:rPr>
          <w:rFonts w:hint="eastAsia"/>
          <w:color w:val="auto"/>
          <w:highlight w:val="none"/>
          <w:shd w:val="clear" w:color="auto" w:fill="auto"/>
        </w:rPr>
        <w:t>文件的供应商数量不足、经评标委员会评审对招标文件作实质响应的供应商不足等原因造成公开招标失败，可由采购代理机构重新组织采购。</w:t>
      </w:r>
    </w:p>
    <w:p>
      <w:pPr>
        <w:tabs>
          <w:tab w:val="clear" w:pos="426"/>
        </w:tabs>
        <w:rPr>
          <w:color w:val="auto"/>
          <w:highlight w:val="none"/>
          <w:shd w:val="clear" w:color="auto" w:fill="auto"/>
        </w:rPr>
      </w:pPr>
      <w:r>
        <w:rPr>
          <w:rFonts w:hint="eastAsia"/>
          <w:color w:val="auto"/>
          <w:highlight w:val="none"/>
          <w:shd w:val="clear" w:color="auto" w:fill="auto"/>
        </w:rPr>
        <w:t>43.2对公开招标失败的项目，评标委员会在出具该项目招标失败结论的同时，提出重新采购组织形式的建议，以及进一步完善招标文件的资格、技术、商务要求的修改建议。</w:t>
      </w:r>
    </w:p>
    <w:p>
      <w:pPr>
        <w:tabs>
          <w:tab w:val="clear" w:pos="426"/>
        </w:tabs>
        <w:rPr>
          <w:color w:val="auto"/>
          <w:highlight w:val="none"/>
          <w:shd w:val="clear" w:color="auto" w:fill="auto"/>
        </w:rPr>
      </w:pPr>
      <w:r>
        <w:rPr>
          <w:rFonts w:hint="eastAsia"/>
          <w:color w:val="auto"/>
          <w:highlight w:val="none"/>
          <w:shd w:val="clear" w:color="auto" w:fill="auto"/>
        </w:rPr>
        <w:t>43.3重新组织采购有以下两种组织形式：</w:t>
      </w:r>
    </w:p>
    <w:p>
      <w:pPr>
        <w:tabs>
          <w:tab w:val="clear" w:pos="426"/>
        </w:tabs>
        <w:rPr>
          <w:color w:val="auto"/>
          <w:highlight w:val="none"/>
          <w:shd w:val="clear" w:color="auto" w:fill="auto"/>
        </w:rPr>
      </w:pPr>
      <w:r>
        <w:rPr>
          <w:rFonts w:hint="eastAsia"/>
          <w:color w:val="auto"/>
          <w:highlight w:val="none"/>
          <w:shd w:val="clear" w:color="auto" w:fill="auto"/>
        </w:rPr>
        <w:t>（1）由采购代理机构重新组织公开招标；</w:t>
      </w:r>
    </w:p>
    <w:p>
      <w:pPr>
        <w:tabs>
          <w:tab w:val="clear" w:pos="426"/>
        </w:tabs>
        <w:rPr>
          <w:color w:val="auto"/>
          <w:highlight w:val="none"/>
          <w:shd w:val="clear" w:color="auto" w:fill="auto"/>
        </w:rPr>
      </w:pPr>
      <w:r>
        <w:rPr>
          <w:rFonts w:hint="eastAsia"/>
          <w:color w:val="auto"/>
          <w:highlight w:val="none"/>
          <w:shd w:val="clear" w:color="auto" w:fill="auto"/>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color w:val="auto"/>
          <w:highlight w:val="none"/>
          <w:shd w:val="clear" w:color="auto" w:fill="auto"/>
        </w:rPr>
      </w:pPr>
      <w:r>
        <w:rPr>
          <w:rFonts w:hint="eastAsia"/>
          <w:color w:val="auto"/>
          <w:highlight w:val="none"/>
          <w:shd w:val="clear" w:color="auto" w:fill="auto"/>
        </w:rPr>
        <w:t>43.4公开招标失败的采购项目重新组织公开招标，采购代理机构要重新按公开招标流程发布采购公告和招标文件、组成评标委员会等组织采购活动。</w:t>
      </w:r>
    </w:p>
    <w:p>
      <w:pPr>
        <w:tabs>
          <w:tab w:val="clear" w:pos="426"/>
        </w:tabs>
        <w:rPr>
          <w:color w:val="auto"/>
          <w:highlight w:val="none"/>
          <w:shd w:val="clear" w:color="auto" w:fill="auto"/>
        </w:rPr>
      </w:pPr>
      <w:r>
        <w:rPr>
          <w:rFonts w:hint="eastAsia"/>
          <w:color w:val="auto"/>
          <w:highlight w:val="none"/>
          <w:shd w:val="clear" w:color="auto" w:fill="auto"/>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color w:val="auto"/>
          <w:highlight w:val="none"/>
          <w:shd w:val="clear" w:color="auto" w:fill="auto"/>
        </w:rPr>
      </w:pPr>
      <w:r>
        <w:rPr>
          <w:rFonts w:hint="eastAsia"/>
          <w:color w:val="auto"/>
          <w:highlight w:val="none"/>
          <w:shd w:val="clear" w:color="auto" w:fill="auto"/>
        </w:rPr>
        <w:t>44．公开招标失败项目转为竞争性谈判方式采购的</w:t>
      </w:r>
    </w:p>
    <w:p>
      <w:pPr>
        <w:tabs>
          <w:tab w:val="clear" w:pos="426"/>
        </w:tabs>
        <w:rPr>
          <w:color w:val="auto"/>
          <w:highlight w:val="none"/>
          <w:shd w:val="clear" w:color="auto" w:fill="auto"/>
        </w:rPr>
      </w:pPr>
      <w:r>
        <w:rPr>
          <w:rFonts w:hint="eastAsia"/>
          <w:color w:val="auto"/>
          <w:highlight w:val="none"/>
          <w:shd w:val="clear" w:color="auto" w:fill="auto"/>
        </w:rPr>
        <w:t>44.1谈判文件</w:t>
      </w:r>
    </w:p>
    <w:p>
      <w:pPr>
        <w:tabs>
          <w:tab w:val="clear" w:pos="426"/>
        </w:tabs>
        <w:rPr>
          <w:color w:val="auto"/>
          <w:highlight w:val="none"/>
          <w:shd w:val="clear" w:color="auto" w:fill="auto"/>
        </w:rPr>
      </w:pPr>
      <w:r>
        <w:rPr>
          <w:rFonts w:hint="eastAsia"/>
          <w:color w:val="auto"/>
          <w:highlight w:val="none"/>
          <w:shd w:val="clear" w:color="auto" w:fill="auto"/>
        </w:rPr>
        <w:t>44.1.1公开招标失败项目转为竞争性谈判方式采购的，原招标文件转为谈判文件。</w:t>
      </w:r>
    </w:p>
    <w:p>
      <w:pPr>
        <w:tabs>
          <w:tab w:val="clear" w:pos="426"/>
        </w:tabs>
        <w:rPr>
          <w:color w:val="auto"/>
          <w:highlight w:val="none"/>
          <w:shd w:val="clear" w:color="auto" w:fill="auto"/>
        </w:rPr>
      </w:pPr>
      <w:r>
        <w:rPr>
          <w:rFonts w:hint="eastAsia"/>
          <w:color w:val="auto"/>
          <w:highlight w:val="none"/>
          <w:shd w:val="clear" w:color="auto" w:fill="auto"/>
        </w:rPr>
        <w:t>44.2谈判小组</w:t>
      </w:r>
    </w:p>
    <w:p>
      <w:pPr>
        <w:tabs>
          <w:tab w:val="clear" w:pos="426"/>
        </w:tabs>
        <w:rPr>
          <w:color w:val="auto"/>
          <w:highlight w:val="none"/>
          <w:shd w:val="clear" w:color="auto" w:fill="auto"/>
        </w:rPr>
      </w:pPr>
      <w:r>
        <w:rPr>
          <w:rFonts w:hint="eastAsia"/>
          <w:color w:val="auto"/>
          <w:highlight w:val="none"/>
          <w:shd w:val="clear" w:color="auto" w:fill="auto"/>
        </w:rPr>
        <w:t>44.2.1公开招标失败项目转为竞争性谈判方式采购后，评标委员会转为谈判小组；专家可重新抽取也可继续采用评标委员会内专家。</w:t>
      </w:r>
    </w:p>
    <w:p>
      <w:pPr>
        <w:tabs>
          <w:tab w:val="clear" w:pos="426"/>
        </w:tabs>
        <w:rPr>
          <w:b/>
          <w:color w:val="auto"/>
          <w:highlight w:val="none"/>
          <w:shd w:val="clear" w:color="auto" w:fill="auto"/>
        </w:rPr>
      </w:pPr>
      <w:r>
        <w:rPr>
          <w:rFonts w:hint="eastAsia"/>
          <w:color w:val="auto"/>
          <w:szCs w:val="21"/>
          <w:highlight w:val="none"/>
          <w:shd w:val="clear" w:color="auto" w:fill="auto"/>
        </w:rPr>
        <w:t>44.2.2</w:t>
      </w:r>
      <w:r>
        <w:rPr>
          <w:rFonts w:hint="eastAsia"/>
          <w:color w:val="auto"/>
          <w:highlight w:val="none"/>
          <w:shd w:val="clear" w:color="auto" w:fill="auto"/>
        </w:rPr>
        <w:t>谈判前，谈判小组将对各供应商的谈判应答文件进行审查，</w:t>
      </w:r>
      <w:r>
        <w:rPr>
          <w:rFonts w:hint="eastAsia"/>
          <w:bCs/>
          <w:color w:val="auto"/>
          <w:highlight w:val="none"/>
          <w:shd w:val="clear" w:color="auto" w:fill="auto"/>
        </w:rPr>
        <w:t>当谈判应答文件出现下列情况之一的将视为无效，按无效标或废标处理，不得进入谈判，</w:t>
      </w:r>
      <w:r>
        <w:rPr>
          <w:rFonts w:hint="eastAsia"/>
          <w:b/>
          <w:color w:val="auto"/>
          <w:highlight w:val="none"/>
          <w:shd w:val="clear" w:color="auto" w:fill="auto"/>
        </w:rPr>
        <w:t>具体内容见原招标文件中“资格、符合性评审</w:t>
      </w:r>
      <w:r>
        <w:rPr>
          <w:rFonts w:hint="eastAsia"/>
          <w:b/>
          <w:bCs/>
          <w:color w:val="auto"/>
          <w:highlight w:val="none"/>
          <w:shd w:val="clear" w:color="auto" w:fill="auto"/>
        </w:rPr>
        <w:t>”</w:t>
      </w:r>
      <w:r>
        <w:rPr>
          <w:rFonts w:hint="eastAsia"/>
          <w:b/>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44.3谈判程序</w:t>
      </w:r>
    </w:p>
    <w:p>
      <w:pPr>
        <w:tabs>
          <w:tab w:val="clear" w:pos="426"/>
        </w:tabs>
        <w:rPr>
          <w:color w:val="auto"/>
          <w:highlight w:val="none"/>
          <w:shd w:val="clear" w:color="auto" w:fill="auto"/>
        </w:rPr>
      </w:pPr>
      <w:r>
        <w:rPr>
          <w:rFonts w:hint="eastAsia"/>
          <w:color w:val="auto"/>
          <w:highlight w:val="none"/>
          <w:shd w:val="clear" w:color="auto" w:fill="auto"/>
        </w:rPr>
        <w:t>44.3.1参加谈判的供应商和谈判小组成员填写谈判登记表，并交验证明文件（法定代表人证明书、法人授权委托书、被授权的谈判代表身份证原件）。</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.2</w:t>
      </w:r>
      <w:r>
        <w:rPr>
          <w:rFonts w:hint="eastAsia"/>
          <w:color w:val="auto"/>
          <w:highlight w:val="none"/>
          <w:shd w:val="clear" w:color="auto" w:fill="auto"/>
        </w:rPr>
        <w:t>谈判小组主持人宣布谈判规则和谈判纪律。</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.3</w:t>
      </w:r>
      <w:r>
        <w:rPr>
          <w:rFonts w:hint="eastAsia"/>
          <w:color w:val="auto"/>
          <w:highlight w:val="none"/>
          <w:shd w:val="clear" w:color="auto" w:fill="auto"/>
        </w:rPr>
        <w:t>在谈判中，谈判小组将就以下谈判内容跟供应商进行谈判：</w:t>
      </w:r>
    </w:p>
    <w:p>
      <w:pPr>
        <w:tabs>
          <w:tab w:val="clear" w:pos="426"/>
        </w:tabs>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）项目方案；</w:t>
      </w:r>
    </w:p>
    <w:p>
      <w:pPr>
        <w:tabs>
          <w:tab w:val="clear" w:pos="426"/>
        </w:tabs>
        <w:rPr>
          <w:color w:val="auto"/>
          <w:highlight w:val="none"/>
          <w:shd w:val="clear" w:color="auto" w:fill="auto"/>
        </w:rPr>
      </w:pPr>
      <w:r>
        <w:rPr>
          <w:rFonts w:hint="eastAsia"/>
          <w:color w:val="auto"/>
          <w:highlight w:val="none"/>
          <w:shd w:val="clear" w:color="auto" w:fill="auto"/>
        </w:rPr>
        <w:t>（2）报价；</w:t>
      </w:r>
    </w:p>
    <w:p>
      <w:pPr>
        <w:tabs>
          <w:tab w:val="clear" w:pos="426"/>
        </w:tabs>
        <w:rPr>
          <w:color w:val="auto"/>
          <w:highlight w:val="none"/>
          <w:shd w:val="clear" w:color="auto" w:fill="auto"/>
        </w:rPr>
      </w:pPr>
      <w:r>
        <w:rPr>
          <w:rFonts w:hint="eastAsia"/>
          <w:color w:val="auto"/>
          <w:highlight w:val="none"/>
          <w:shd w:val="clear" w:color="auto" w:fill="auto"/>
        </w:rPr>
        <w:t>（3）其它相关事项。</w:t>
      </w:r>
    </w:p>
    <w:p>
      <w:pPr>
        <w:tabs>
          <w:tab w:val="clear" w:pos="426"/>
        </w:tabs>
        <w:rPr>
          <w:color w:val="auto"/>
          <w:highlight w:val="none"/>
          <w:shd w:val="clear" w:color="auto" w:fill="auto"/>
        </w:rPr>
      </w:pPr>
      <w:r>
        <w:rPr>
          <w:rFonts w:hint="eastAsia"/>
          <w:color w:val="auto"/>
          <w:highlight w:val="none"/>
          <w:shd w:val="clear" w:color="auto" w:fill="auto"/>
        </w:rPr>
        <w:t>原招标文件或谈判邀请文件有实质性变动的，谈判小组应当通过采购代理机构通知所有参加谈判的供应商。</w:t>
      </w:r>
    </w:p>
    <w:p>
      <w:pPr>
        <w:tabs>
          <w:tab w:val="clear" w:pos="426"/>
        </w:tabs>
        <w:rPr>
          <w:color w:val="auto"/>
          <w:highlight w:val="none"/>
          <w:shd w:val="clear" w:color="auto" w:fill="auto"/>
        </w:rPr>
      </w:pPr>
      <w:r>
        <w:rPr>
          <w:rFonts w:hint="eastAsia"/>
          <w:color w:val="auto"/>
          <w:highlight w:val="none"/>
          <w:shd w:val="clear" w:color="auto" w:fill="auto"/>
        </w:rPr>
        <w:t>44.3.4谈判小组可以用书面形式要求各供应商对其谈判应答文件含义不明确的内容作必要的澄清或者说明，重要问题供应商应以书面形式进行澄清、说明。</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w:t>
      </w:r>
      <w:r>
        <w:rPr>
          <w:rFonts w:hint="eastAsia"/>
          <w:color w:val="auto"/>
          <w:highlight w:val="none"/>
          <w:shd w:val="clear" w:color="auto" w:fill="auto"/>
        </w:rPr>
        <w:t>5 允许供应商在谈判结束之前根据谈判小组提出的内容进行澄清、修改或完善，或对项目方案进行相应的调整。</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w:t>
      </w:r>
      <w:r>
        <w:rPr>
          <w:rFonts w:hint="eastAsia"/>
          <w:color w:val="auto"/>
          <w:highlight w:val="none"/>
          <w:shd w:val="clear" w:color="auto" w:fill="auto"/>
        </w:rPr>
        <w:t>6供应商对谈判应答文件进行修改，都应形成文字材料，并经供应商谈判授权人签字认可。</w:t>
      </w:r>
    </w:p>
    <w:p>
      <w:pPr>
        <w:tabs>
          <w:tab w:val="clear" w:pos="426"/>
        </w:tabs>
        <w:rPr>
          <w:color w:val="auto"/>
          <w:highlight w:val="none"/>
          <w:shd w:val="clear" w:color="auto" w:fill="auto"/>
        </w:rPr>
      </w:pPr>
      <w:r>
        <w:rPr>
          <w:rFonts w:hint="eastAsia"/>
          <w:color w:val="auto"/>
          <w:highlight w:val="none"/>
          <w:shd w:val="clear" w:color="auto" w:fill="auto"/>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color w:val="auto"/>
          <w:szCs w:val="21"/>
          <w:highlight w:val="none"/>
          <w:shd w:val="clear" w:color="auto" w:fill="auto"/>
        </w:rPr>
      </w:pPr>
      <w:r>
        <w:rPr>
          <w:rFonts w:hint="eastAsia"/>
          <w:color w:val="auto"/>
          <w:szCs w:val="21"/>
          <w:highlight w:val="none"/>
          <w:shd w:val="clear" w:color="auto" w:fill="auto"/>
        </w:rPr>
        <w:t>44.3.8有下列情形之一的，该供应商的谈判结果</w:t>
      </w:r>
      <w:r>
        <w:rPr>
          <w:rFonts w:hint="eastAsia"/>
          <w:bCs/>
          <w:color w:val="auto"/>
          <w:highlight w:val="none"/>
          <w:shd w:val="clear" w:color="auto" w:fill="auto"/>
        </w:rPr>
        <w:t>按无效标或废标处理</w:t>
      </w:r>
      <w:r>
        <w:rPr>
          <w:rFonts w:hint="eastAsia"/>
          <w:color w:val="auto"/>
          <w:szCs w:val="21"/>
          <w:highlight w:val="none"/>
          <w:shd w:val="clear" w:color="auto" w:fill="auto"/>
        </w:rPr>
        <w:t>，</w:t>
      </w:r>
      <w:r>
        <w:rPr>
          <w:rFonts w:hint="eastAsia"/>
          <w:color w:val="auto"/>
          <w:highlight w:val="none"/>
          <w:shd w:val="clear" w:color="auto" w:fill="auto"/>
        </w:rPr>
        <w:t>具体内容见原招标文件中不符合“</w:t>
      </w:r>
      <w:r>
        <w:rPr>
          <w:rFonts w:hint="eastAsia"/>
          <w:b/>
          <w:color w:val="auto"/>
          <w:highlight w:val="none"/>
          <w:shd w:val="clear" w:color="auto" w:fill="auto"/>
        </w:rPr>
        <w:t>资格、符合性评审条款</w:t>
      </w:r>
      <w:r>
        <w:rPr>
          <w:rFonts w:hint="eastAsia"/>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w:t>
      </w:r>
      <w:r>
        <w:rPr>
          <w:rFonts w:hint="eastAsia"/>
          <w:color w:val="auto"/>
          <w:highlight w:val="none"/>
          <w:shd w:val="clear" w:color="auto" w:fill="auto"/>
        </w:rPr>
        <w:t>9谈判结束后，谈判小组根据供应商提供的谈判应答文件、谈判过程中产生的相关资料，对供应商谈判应答文件进行评估与比较，提出书面评审意见。</w:t>
      </w:r>
    </w:p>
    <w:p>
      <w:pPr>
        <w:tabs>
          <w:tab w:val="clear" w:pos="426"/>
        </w:tabs>
        <w:rPr>
          <w:color w:val="auto"/>
          <w:highlight w:val="none"/>
          <w:shd w:val="clear" w:color="auto" w:fill="auto"/>
        </w:rPr>
      </w:pPr>
      <w:r>
        <w:rPr>
          <w:rFonts w:hint="eastAsia"/>
          <w:color w:val="auto"/>
          <w:highlight w:val="none"/>
          <w:shd w:val="clear" w:color="auto" w:fill="auto"/>
        </w:rPr>
        <w:t>44.3.10谈判小组将对谈判过程进行记录，以存档备查。</w:t>
      </w:r>
    </w:p>
    <w:p>
      <w:pPr>
        <w:tabs>
          <w:tab w:val="clear" w:pos="426"/>
        </w:tabs>
        <w:rPr>
          <w:color w:val="auto"/>
          <w:highlight w:val="none"/>
          <w:shd w:val="clear" w:color="auto" w:fill="auto"/>
        </w:rPr>
      </w:pPr>
      <w:r>
        <w:rPr>
          <w:rFonts w:hint="eastAsia"/>
          <w:color w:val="auto"/>
          <w:highlight w:val="none"/>
          <w:shd w:val="clear" w:color="auto" w:fill="auto"/>
        </w:rPr>
        <w:t>44.4评标方法和定标原则</w:t>
      </w:r>
    </w:p>
    <w:p>
      <w:pPr>
        <w:tabs>
          <w:tab w:val="clear" w:pos="426"/>
        </w:tabs>
        <w:rPr>
          <w:color w:val="auto"/>
          <w:highlight w:val="none"/>
          <w:shd w:val="clear" w:color="auto" w:fill="auto"/>
        </w:rPr>
      </w:pPr>
      <w:r>
        <w:rPr>
          <w:rFonts w:hint="eastAsia"/>
          <w:color w:val="auto"/>
          <w:highlight w:val="none"/>
          <w:shd w:val="clear" w:color="auto" w:fill="auto"/>
        </w:rPr>
        <w:t>44.4.1根据《深圳市政府采购评标委员会和评标方法暂行规定》（深财购[2005]5号），竞争性谈判采购项目的评标方法要比照</w:t>
      </w:r>
      <w:r>
        <w:rPr>
          <w:rFonts w:hint="eastAsia"/>
          <w:b/>
          <w:color w:val="auto"/>
          <w:highlight w:val="none"/>
          <w:shd w:val="clear" w:color="auto" w:fill="auto"/>
        </w:rPr>
        <w:t>最低评标价法规定执行</w:t>
      </w:r>
      <w:r>
        <w:rPr>
          <w:rFonts w:hint="eastAsia"/>
          <w:color w:val="auto"/>
          <w:highlight w:val="none"/>
          <w:shd w:val="clear" w:color="auto" w:fill="auto"/>
        </w:rPr>
        <w:t>。如确因实际情况需要采用其他评标方法的，应报经同级政府采购监督管理部门批准。</w:t>
      </w:r>
      <w:r>
        <w:rPr>
          <w:rFonts w:hint="eastAsia"/>
          <w:b/>
          <w:color w:val="auto"/>
          <w:highlight w:val="none"/>
          <w:shd w:val="clear" w:color="auto" w:fill="auto"/>
        </w:rPr>
        <w:t>原招标文件若采用</w:t>
      </w:r>
      <w:r>
        <w:rPr>
          <w:rFonts w:hint="eastAsia"/>
          <w:b/>
          <w:bCs/>
          <w:color w:val="auto"/>
          <w:highlight w:val="none"/>
          <w:shd w:val="clear" w:color="auto" w:fill="auto"/>
        </w:rPr>
        <w:t>最低评标价法以外的评标方法，转为竞争性谈判后，评标方法应采用</w:t>
      </w:r>
      <w:r>
        <w:rPr>
          <w:rFonts w:hint="eastAsia"/>
          <w:b/>
          <w:color w:val="auto"/>
          <w:highlight w:val="none"/>
          <w:shd w:val="clear" w:color="auto" w:fill="auto"/>
        </w:rPr>
        <w:t>最低评标价法。</w:t>
      </w:r>
    </w:p>
    <w:p>
      <w:pPr>
        <w:tabs>
          <w:tab w:val="clear" w:pos="426"/>
        </w:tabs>
        <w:rPr>
          <w:color w:val="auto"/>
          <w:highlight w:val="none"/>
          <w:shd w:val="clear" w:color="auto" w:fill="auto"/>
        </w:rPr>
      </w:pPr>
      <w:r>
        <w:rPr>
          <w:rFonts w:hint="eastAsia"/>
          <w:color w:val="auto"/>
          <w:szCs w:val="21"/>
          <w:highlight w:val="none"/>
          <w:shd w:val="clear" w:color="auto" w:fill="auto"/>
        </w:rPr>
        <w:t>44.4.2对公开招标失败转为竞争性谈判方式采购的项目，谈判小组</w:t>
      </w:r>
      <w:r>
        <w:rPr>
          <w:rFonts w:hint="eastAsia"/>
          <w:color w:val="auto"/>
          <w:highlight w:val="none"/>
          <w:shd w:val="clear" w:color="auto" w:fill="auto"/>
        </w:rPr>
        <w:t>对谈判应答文件进行评审和比较，综合各家供应商最终的方案、服务和投资等谈判结果并按本通用条款第</w:t>
      </w:r>
      <w:r>
        <w:rPr>
          <w:rFonts w:hint="eastAsia"/>
          <w:bCs/>
          <w:color w:val="auto"/>
          <w:szCs w:val="21"/>
          <w:highlight w:val="none"/>
          <w:shd w:val="clear" w:color="auto" w:fill="auto"/>
        </w:rPr>
        <w:t>37.1.1款</w:t>
      </w:r>
      <w:r>
        <w:rPr>
          <w:rFonts w:hint="eastAsia"/>
          <w:color w:val="auto"/>
          <w:highlight w:val="none"/>
          <w:shd w:val="clear" w:color="auto" w:fill="auto"/>
        </w:rPr>
        <w:t>的</w:t>
      </w:r>
      <w:r>
        <w:rPr>
          <w:rFonts w:hint="eastAsia"/>
          <w:b/>
          <w:bCs/>
          <w:color w:val="auto"/>
          <w:highlight w:val="none"/>
          <w:shd w:val="clear" w:color="auto" w:fill="auto"/>
        </w:rPr>
        <w:t>最低评标价法</w:t>
      </w:r>
      <w:r>
        <w:rPr>
          <w:rFonts w:hint="eastAsia"/>
          <w:color w:val="auto"/>
          <w:highlight w:val="none"/>
          <w:shd w:val="clear" w:color="auto" w:fill="auto"/>
        </w:rPr>
        <w:t>进行评审。</w:t>
      </w:r>
    </w:p>
    <w:p>
      <w:pPr>
        <w:tabs>
          <w:tab w:val="clear" w:pos="426"/>
        </w:tabs>
        <w:rPr>
          <w:color w:val="auto"/>
          <w:highlight w:val="none"/>
          <w:shd w:val="clear" w:color="auto" w:fill="auto"/>
        </w:rPr>
      </w:pPr>
      <w:r>
        <w:rPr>
          <w:rFonts w:hint="eastAsia"/>
          <w:color w:val="auto"/>
          <w:highlight w:val="none"/>
          <w:shd w:val="clear" w:color="auto" w:fill="auto"/>
        </w:rPr>
        <w:t>44.4.3若要采用其他评标方法的，必须报经政府采购监督管理部门批准，谈判小组按批准的评标方法进行评审。谈判邀请文件中应注明批准的评标方法。</w:t>
      </w:r>
    </w:p>
    <w:p>
      <w:pPr>
        <w:tabs>
          <w:tab w:val="clear" w:pos="426"/>
        </w:tabs>
        <w:rPr>
          <w:color w:val="auto"/>
          <w:highlight w:val="none"/>
          <w:shd w:val="clear" w:color="auto" w:fill="auto"/>
        </w:rPr>
      </w:pPr>
      <w:r>
        <w:rPr>
          <w:rFonts w:hint="eastAsia"/>
          <w:color w:val="auto"/>
          <w:highlight w:val="none"/>
          <w:shd w:val="clear" w:color="auto" w:fill="auto"/>
        </w:rPr>
        <w:t>44.4.4谈判小组向采购代理机构提交书面评标报告，并推荐中标候选人或确定中标人。</w:t>
      </w:r>
    </w:p>
    <w:p>
      <w:pPr>
        <w:tabs>
          <w:tab w:val="clear" w:pos="426"/>
        </w:tabs>
        <w:rPr>
          <w:color w:val="auto"/>
          <w:highlight w:val="none"/>
          <w:shd w:val="clear" w:color="auto" w:fill="auto"/>
        </w:rPr>
      </w:pPr>
      <w:r>
        <w:rPr>
          <w:rFonts w:hint="eastAsia"/>
          <w:color w:val="auto"/>
          <w:highlight w:val="none"/>
          <w:shd w:val="clear" w:color="auto" w:fill="auto"/>
        </w:rPr>
        <w:t>45．公开招标失败项目转为单一来源谈判方式采购</w:t>
      </w:r>
    </w:p>
    <w:p>
      <w:pPr>
        <w:tabs>
          <w:tab w:val="clear" w:pos="426"/>
        </w:tabs>
        <w:rPr>
          <w:color w:val="auto"/>
          <w:highlight w:val="none"/>
          <w:shd w:val="clear" w:color="auto" w:fill="auto"/>
        </w:rPr>
      </w:pPr>
      <w:r>
        <w:rPr>
          <w:rFonts w:hint="eastAsia"/>
          <w:color w:val="auto"/>
          <w:highlight w:val="none"/>
          <w:shd w:val="clear" w:color="auto" w:fill="auto"/>
        </w:rPr>
        <w:t>45.1谈判文件</w:t>
      </w:r>
    </w:p>
    <w:p>
      <w:pPr>
        <w:tabs>
          <w:tab w:val="clear" w:pos="426"/>
        </w:tabs>
        <w:rPr>
          <w:color w:val="auto"/>
          <w:highlight w:val="none"/>
          <w:shd w:val="clear" w:color="auto" w:fill="auto"/>
        </w:rPr>
      </w:pPr>
      <w:r>
        <w:rPr>
          <w:rFonts w:hint="eastAsia"/>
          <w:color w:val="auto"/>
          <w:highlight w:val="none"/>
          <w:shd w:val="clear" w:color="auto" w:fill="auto"/>
        </w:rPr>
        <w:t>45.1.1公开招标失败项目转为单一来源谈判方式采购的，原招标文件转为谈判文件。</w:t>
      </w:r>
    </w:p>
    <w:p>
      <w:pPr>
        <w:tabs>
          <w:tab w:val="clear" w:pos="426"/>
        </w:tabs>
        <w:rPr>
          <w:color w:val="auto"/>
          <w:highlight w:val="none"/>
          <w:shd w:val="clear" w:color="auto" w:fill="auto"/>
        </w:rPr>
      </w:pPr>
      <w:r>
        <w:rPr>
          <w:rFonts w:hint="eastAsia"/>
          <w:color w:val="auto"/>
          <w:highlight w:val="none"/>
          <w:shd w:val="clear" w:color="auto" w:fill="auto"/>
        </w:rPr>
        <w:t>45.2谈判小组</w:t>
      </w:r>
    </w:p>
    <w:p>
      <w:pPr>
        <w:tabs>
          <w:tab w:val="clear" w:pos="426"/>
        </w:tabs>
        <w:rPr>
          <w:color w:val="auto"/>
          <w:highlight w:val="none"/>
          <w:shd w:val="clear" w:color="auto" w:fill="auto"/>
        </w:rPr>
      </w:pPr>
      <w:r>
        <w:rPr>
          <w:rFonts w:hint="eastAsia"/>
          <w:color w:val="auto"/>
          <w:highlight w:val="none"/>
          <w:shd w:val="clear" w:color="auto" w:fill="auto"/>
        </w:rPr>
        <w:t>45.2.1公开招标失败项目转为单一来源谈判方式采购后，评标委员会转为谈判小组，专家可重新抽取也可继续采用评标委员会内专家。</w:t>
      </w:r>
    </w:p>
    <w:p>
      <w:pPr>
        <w:tabs>
          <w:tab w:val="clear" w:pos="426"/>
        </w:tabs>
        <w:rPr>
          <w:color w:val="auto"/>
          <w:highlight w:val="none"/>
          <w:shd w:val="clear" w:color="auto" w:fill="auto"/>
        </w:rPr>
      </w:pPr>
      <w:r>
        <w:rPr>
          <w:rFonts w:hint="eastAsia"/>
          <w:color w:val="auto"/>
          <w:szCs w:val="21"/>
          <w:highlight w:val="none"/>
          <w:shd w:val="clear" w:color="auto" w:fill="auto"/>
        </w:rPr>
        <w:t>45.2.2</w:t>
      </w:r>
      <w:r>
        <w:rPr>
          <w:rFonts w:hint="eastAsia"/>
          <w:color w:val="auto"/>
          <w:highlight w:val="none"/>
          <w:shd w:val="clear" w:color="auto" w:fill="auto"/>
        </w:rPr>
        <w:t>谈判前，谈判小组将对单一来源供应商的谈判应答文件进行审查，</w:t>
      </w:r>
      <w:r>
        <w:rPr>
          <w:rFonts w:hint="eastAsia"/>
          <w:bCs/>
          <w:color w:val="auto"/>
          <w:highlight w:val="none"/>
          <w:shd w:val="clear" w:color="auto" w:fill="auto"/>
        </w:rPr>
        <w:t>当谈判应答文件出现下列情况之一的将视为无效，按无效标或废标处理，不得进入谈判，</w:t>
      </w:r>
      <w:r>
        <w:rPr>
          <w:rFonts w:hint="eastAsia"/>
          <w:b/>
          <w:color w:val="auto"/>
          <w:highlight w:val="none"/>
          <w:shd w:val="clear" w:color="auto" w:fill="auto"/>
        </w:rPr>
        <w:t>具体内容见原招标文件中“资格、符合性评审条款</w:t>
      </w:r>
      <w:r>
        <w:rPr>
          <w:rFonts w:hint="eastAsia"/>
          <w:b/>
          <w:bCs/>
          <w:color w:val="auto"/>
          <w:highlight w:val="none"/>
          <w:shd w:val="clear" w:color="auto" w:fill="auto"/>
        </w:rPr>
        <w:t>”</w:t>
      </w:r>
      <w:r>
        <w:rPr>
          <w:rFonts w:hint="eastAsia"/>
          <w:b/>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45.3谈判程序</w:t>
      </w:r>
    </w:p>
    <w:p>
      <w:pPr>
        <w:tabs>
          <w:tab w:val="clear" w:pos="426"/>
        </w:tabs>
        <w:rPr>
          <w:color w:val="auto"/>
          <w:highlight w:val="none"/>
          <w:shd w:val="clear" w:color="auto" w:fill="auto"/>
        </w:rPr>
      </w:pPr>
      <w:r>
        <w:rPr>
          <w:rFonts w:hint="eastAsia"/>
          <w:color w:val="auto"/>
          <w:highlight w:val="none"/>
          <w:shd w:val="clear" w:color="auto" w:fill="auto"/>
        </w:rPr>
        <w:t>45.3.1参加谈判的供应商和谈判小组成员填写谈判登记表，并交验证明文件（法定代表人证明书、法人授权委托书、被授权的谈判代表身份证原件）。</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.2</w:t>
      </w:r>
      <w:r>
        <w:rPr>
          <w:rFonts w:hint="eastAsia"/>
          <w:color w:val="auto"/>
          <w:highlight w:val="none"/>
          <w:shd w:val="clear" w:color="auto" w:fill="auto"/>
        </w:rPr>
        <w:t>谈判小组主持人宣布谈判规则和谈判纪律。</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.3</w:t>
      </w:r>
      <w:r>
        <w:rPr>
          <w:rFonts w:hint="eastAsia"/>
          <w:color w:val="auto"/>
          <w:highlight w:val="none"/>
          <w:shd w:val="clear" w:color="auto" w:fill="auto"/>
        </w:rPr>
        <w:t>在谈判中，谈判小组将就以下谈判内容跟供应商进行谈判：</w:t>
      </w:r>
    </w:p>
    <w:p>
      <w:pPr>
        <w:tabs>
          <w:tab w:val="clear" w:pos="426"/>
        </w:tabs>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）项目方案；</w:t>
      </w:r>
    </w:p>
    <w:p>
      <w:pPr>
        <w:tabs>
          <w:tab w:val="clear" w:pos="426"/>
        </w:tabs>
        <w:rPr>
          <w:color w:val="auto"/>
          <w:highlight w:val="none"/>
          <w:shd w:val="clear" w:color="auto" w:fill="auto"/>
        </w:rPr>
      </w:pPr>
      <w:r>
        <w:rPr>
          <w:rFonts w:hint="eastAsia"/>
          <w:color w:val="auto"/>
          <w:highlight w:val="none"/>
          <w:shd w:val="clear" w:color="auto" w:fill="auto"/>
        </w:rPr>
        <w:t>（2）报价；</w:t>
      </w:r>
    </w:p>
    <w:p>
      <w:pPr>
        <w:tabs>
          <w:tab w:val="clear" w:pos="426"/>
        </w:tabs>
        <w:rPr>
          <w:color w:val="auto"/>
          <w:highlight w:val="none"/>
          <w:shd w:val="clear" w:color="auto" w:fill="auto"/>
        </w:rPr>
      </w:pPr>
      <w:r>
        <w:rPr>
          <w:rFonts w:hint="eastAsia"/>
          <w:color w:val="auto"/>
          <w:highlight w:val="none"/>
          <w:shd w:val="clear" w:color="auto" w:fill="auto"/>
        </w:rPr>
        <w:t>（3）其它相关事项。</w:t>
      </w:r>
    </w:p>
    <w:p>
      <w:pPr>
        <w:tabs>
          <w:tab w:val="clear" w:pos="426"/>
        </w:tabs>
        <w:rPr>
          <w:color w:val="auto"/>
          <w:highlight w:val="none"/>
          <w:shd w:val="clear" w:color="auto" w:fill="auto"/>
        </w:rPr>
      </w:pPr>
      <w:r>
        <w:rPr>
          <w:rFonts w:hint="eastAsia"/>
          <w:color w:val="auto"/>
          <w:highlight w:val="none"/>
          <w:shd w:val="clear" w:color="auto" w:fill="auto"/>
        </w:rPr>
        <w:t>原招标文件或谈判邀请文件有实质性变动的，谈判小组应当通过采购代理机构通知供应商。</w:t>
      </w:r>
    </w:p>
    <w:p>
      <w:pPr>
        <w:tabs>
          <w:tab w:val="clear" w:pos="426"/>
        </w:tabs>
        <w:rPr>
          <w:color w:val="auto"/>
          <w:highlight w:val="none"/>
          <w:shd w:val="clear" w:color="auto" w:fill="auto"/>
        </w:rPr>
      </w:pPr>
      <w:r>
        <w:rPr>
          <w:rFonts w:hint="eastAsia"/>
          <w:color w:val="auto"/>
          <w:highlight w:val="none"/>
          <w:shd w:val="clear" w:color="auto" w:fill="auto"/>
        </w:rPr>
        <w:t>45.3.4谈判小组可以用书面形式要求供应商对其谈判应答文件含义不明确的内容作必要的澄清或者说明，重要问题供应商应以书面形式进行澄清、说明。</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w:t>
      </w:r>
      <w:r>
        <w:rPr>
          <w:rFonts w:hint="eastAsia"/>
          <w:color w:val="auto"/>
          <w:highlight w:val="none"/>
          <w:shd w:val="clear" w:color="auto" w:fill="auto"/>
        </w:rPr>
        <w:t>5 允许供应商在谈判结束之前根据谈判小组提出的内容进行澄清、修改或完善，或对项目方案进行相应的调整。</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w:t>
      </w:r>
      <w:r>
        <w:rPr>
          <w:rFonts w:hint="eastAsia"/>
          <w:color w:val="auto"/>
          <w:highlight w:val="none"/>
          <w:shd w:val="clear" w:color="auto" w:fill="auto"/>
        </w:rPr>
        <w:t>6供应商对谈判应答文件进行修改，都应形成文字材料，并经供应商谈判授权人签字认可。</w:t>
      </w:r>
    </w:p>
    <w:p>
      <w:pPr>
        <w:tabs>
          <w:tab w:val="clear" w:pos="426"/>
        </w:tabs>
        <w:rPr>
          <w:color w:val="auto"/>
          <w:highlight w:val="none"/>
          <w:shd w:val="clear" w:color="auto" w:fill="auto"/>
        </w:rPr>
      </w:pPr>
      <w:r>
        <w:rPr>
          <w:rFonts w:hint="eastAsia"/>
          <w:color w:val="auto"/>
          <w:highlight w:val="none"/>
          <w:shd w:val="clear" w:color="auto" w:fill="auto"/>
        </w:rPr>
        <w:t>45.3.7谈判小组与单一来源供应商进行谈判。供应商有两次更改机会；供应商应在规定的时间内提出最后更改及书面承诺。</w:t>
      </w:r>
    </w:p>
    <w:p>
      <w:pPr>
        <w:tabs>
          <w:tab w:val="clear" w:pos="426"/>
        </w:tabs>
        <w:rPr>
          <w:color w:val="auto"/>
          <w:szCs w:val="21"/>
          <w:highlight w:val="none"/>
          <w:shd w:val="clear" w:color="auto" w:fill="auto"/>
        </w:rPr>
      </w:pPr>
      <w:r>
        <w:rPr>
          <w:rFonts w:hint="eastAsia"/>
          <w:color w:val="auto"/>
          <w:szCs w:val="21"/>
          <w:highlight w:val="none"/>
          <w:shd w:val="clear" w:color="auto" w:fill="auto"/>
        </w:rPr>
        <w:t>45.3.8有下列情形之一的，供应商的谈判结果作废标处理，</w:t>
      </w:r>
      <w:r>
        <w:rPr>
          <w:rFonts w:hint="eastAsia"/>
          <w:color w:val="auto"/>
          <w:highlight w:val="none"/>
          <w:shd w:val="clear" w:color="auto" w:fill="auto"/>
        </w:rPr>
        <w:t>具体内容见原招标文件中不符合“</w:t>
      </w:r>
      <w:r>
        <w:rPr>
          <w:rFonts w:hint="eastAsia"/>
          <w:b/>
          <w:color w:val="auto"/>
          <w:highlight w:val="none"/>
          <w:shd w:val="clear" w:color="auto" w:fill="auto"/>
        </w:rPr>
        <w:t>资格、符合性评审条款</w:t>
      </w:r>
      <w:r>
        <w:rPr>
          <w:rFonts w:hint="eastAsia"/>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w:t>
      </w:r>
      <w:r>
        <w:rPr>
          <w:rFonts w:hint="eastAsia"/>
          <w:color w:val="auto"/>
          <w:highlight w:val="none"/>
          <w:shd w:val="clear" w:color="auto" w:fill="auto"/>
        </w:rPr>
        <w:t>9谈判结束后，谈判小组根据供应商提供的谈判应答文件、谈判过程中产生的相关资料，对供应商谈判应答文件进行评估与比较，提出书面评审意见。</w:t>
      </w:r>
    </w:p>
    <w:p>
      <w:pPr>
        <w:tabs>
          <w:tab w:val="clear" w:pos="426"/>
        </w:tabs>
        <w:rPr>
          <w:color w:val="auto"/>
          <w:highlight w:val="none"/>
          <w:shd w:val="clear" w:color="auto" w:fill="auto"/>
        </w:rPr>
      </w:pPr>
      <w:r>
        <w:rPr>
          <w:rFonts w:hint="eastAsia"/>
          <w:color w:val="auto"/>
          <w:highlight w:val="none"/>
          <w:shd w:val="clear" w:color="auto" w:fill="auto"/>
        </w:rPr>
        <w:t>45.3.10谈判小组将对谈判过程进行记录，以存档备查。</w:t>
      </w:r>
    </w:p>
    <w:p>
      <w:pPr>
        <w:tabs>
          <w:tab w:val="clear" w:pos="426"/>
        </w:tabs>
        <w:rPr>
          <w:color w:val="auto"/>
          <w:highlight w:val="none"/>
          <w:shd w:val="clear" w:color="auto" w:fill="auto"/>
        </w:rPr>
      </w:pPr>
      <w:r>
        <w:rPr>
          <w:rFonts w:hint="eastAsia"/>
          <w:color w:val="auto"/>
          <w:highlight w:val="none"/>
          <w:shd w:val="clear" w:color="auto" w:fill="auto"/>
        </w:rPr>
        <w:t>45.4评标方法和定标原则</w:t>
      </w:r>
    </w:p>
    <w:p>
      <w:pPr>
        <w:tabs>
          <w:tab w:val="clear" w:pos="426"/>
        </w:tabs>
        <w:rPr>
          <w:color w:val="auto"/>
          <w:highlight w:val="none"/>
          <w:shd w:val="clear" w:color="auto" w:fill="auto"/>
        </w:rPr>
      </w:pPr>
      <w:r>
        <w:rPr>
          <w:rFonts w:hint="eastAsia"/>
          <w:color w:val="auto"/>
          <w:szCs w:val="21"/>
          <w:highlight w:val="none"/>
          <w:shd w:val="clear" w:color="auto" w:fill="auto"/>
        </w:rPr>
        <w:t>45.4.1</w:t>
      </w:r>
      <w:r>
        <w:rPr>
          <w:rFonts w:hint="eastAsia"/>
          <w:b/>
          <w:color w:val="auto"/>
          <w:szCs w:val="21"/>
          <w:highlight w:val="none"/>
          <w:shd w:val="clear" w:color="auto" w:fill="auto"/>
        </w:rPr>
        <w:t>单一来源谈判采用最低评标价法。</w:t>
      </w:r>
      <w:r>
        <w:rPr>
          <w:rFonts w:hint="eastAsia"/>
          <w:color w:val="auto"/>
          <w:highlight w:val="none"/>
          <w:shd w:val="clear" w:color="auto" w:fill="auto"/>
        </w:rPr>
        <w:t>原招标文件若采用</w:t>
      </w:r>
      <w:r>
        <w:rPr>
          <w:rFonts w:hint="eastAsia"/>
          <w:bCs/>
          <w:color w:val="auto"/>
          <w:highlight w:val="none"/>
          <w:shd w:val="clear" w:color="auto" w:fill="auto"/>
        </w:rPr>
        <w:t>最低评标价法以外的评标方法，转为单一来源谈判后，评标方法改为</w:t>
      </w:r>
      <w:r>
        <w:rPr>
          <w:rFonts w:hint="eastAsia"/>
          <w:color w:val="auto"/>
          <w:szCs w:val="21"/>
          <w:highlight w:val="none"/>
          <w:shd w:val="clear" w:color="auto" w:fill="auto"/>
        </w:rPr>
        <w:t>最低评标价法。谈判小组</w:t>
      </w:r>
      <w:r>
        <w:rPr>
          <w:rFonts w:hint="eastAsia"/>
          <w:color w:val="auto"/>
          <w:highlight w:val="none"/>
          <w:shd w:val="clear" w:color="auto" w:fill="auto"/>
        </w:rPr>
        <w:t>对谈判应答文件进行评审和比较，对供应商最终的方案、服务和投资等谈判结果按本通用条款第37.1.1的</w:t>
      </w:r>
      <w:r>
        <w:rPr>
          <w:rFonts w:hint="eastAsia"/>
          <w:b/>
          <w:bCs/>
          <w:color w:val="auto"/>
          <w:highlight w:val="none"/>
          <w:shd w:val="clear" w:color="auto" w:fill="auto"/>
        </w:rPr>
        <w:t>最低评标价法</w:t>
      </w:r>
      <w:r>
        <w:rPr>
          <w:rFonts w:hint="eastAsia"/>
          <w:color w:val="auto"/>
          <w:highlight w:val="none"/>
          <w:shd w:val="clear" w:color="auto" w:fill="auto"/>
        </w:rPr>
        <w:t>进行评审。</w:t>
      </w:r>
    </w:p>
    <w:p>
      <w:pPr>
        <w:tabs>
          <w:tab w:val="clear" w:pos="426"/>
        </w:tabs>
        <w:rPr>
          <w:color w:val="auto"/>
          <w:szCs w:val="21"/>
          <w:highlight w:val="none"/>
          <w:shd w:val="clear" w:color="auto" w:fill="auto"/>
        </w:rPr>
      </w:pPr>
      <w:r>
        <w:rPr>
          <w:rFonts w:hint="eastAsia"/>
          <w:color w:val="auto"/>
          <w:highlight w:val="none"/>
          <w:shd w:val="clear" w:color="auto" w:fill="auto"/>
        </w:rPr>
        <w:t>45.4.2谈判小组向采购代理机构提交书面评标报告，并推荐中标候选人或确定中标人。</w:t>
      </w:r>
    </w:p>
    <w:bookmarkEnd w:id="355"/>
    <w:bookmarkEnd w:id="356"/>
    <w:bookmarkEnd w:id="357"/>
    <w:bookmarkEnd w:id="358"/>
    <w:p>
      <w:pPr>
        <w:pStyle w:val="6"/>
        <w:tabs>
          <w:tab w:val="clear" w:pos="426"/>
        </w:tabs>
        <w:rPr>
          <w:color w:val="auto"/>
          <w:sz w:val="28"/>
          <w:szCs w:val="28"/>
          <w:highlight w:val="none"/>
          <w:shd w:val="clear" w:color="auto" w:fill="auto"/>
        </w:rPr>
      </w:pPr>
      <w:bookmarkStart w:id="359" w:name="_Toc398220537"/>
      <w:bookmarkStart w:id="360" w:name="_Toc3628672"/>
      <w:bookmarkStart w:id="361" w:name="_Toc432592829"/>
      <w:bookmarkStart w:id="362" w:name="_Toc23902"/>
      <w:r>
        <w:rPr>
          <w:rFonts w:hint="eastAsia"/>
          <w:color w:val="auto"/>
          <w:highlight w:val="none"/>
          <w:shd w:val="clear" w:color="auto" w:fill="auto"/>
        </w:rPr>
        <w:t>第九章 合同的授予与备案</w:t>
      </w:r>
      <w:bookmarkEnd w:id="359"/>
      <w:bookmarkEnd w:id="360"/>
      <w:bookmarkEnd w:id="361"/>
      <w:bookmarkEnd w:id="362"/>
    </w:p>
    <w:p>
      <w:pPr>
        <w:tabs>
          <w:tab w:val="clear" w:pos="426"/>
        </w:tabs>
        <w:rPr>
          <w:color w:val="auto"/>
          <w:highlight w:val="none"/>
          <w:shd w:val="clear" w:color="auto" w:fill="auto"/>
        </w:rPr>
      </w:pPr>
      <w:bookmarkStart w:id="363" w:name="_33._合同授予标准"/>
      <w:bookmarkEnd w:id="363"/>
      <w:bookmarkStart w:id="364" w:name="_Toc201401407"/>
      <w:bookmarkStart w:id="365" w:name="_Toc201401599"/>
      <w:bookmarkStart w:id="366" w:name="_Toc201997860"/>
      <w:r>
        <w:rPr>
          <w:rFonts w:hint="eastAsia"/>
          <w:color w:val="auto"/>
          <w:highlight w:val="none"/>
          <w:shd w:val="clear" w:color="auto" w:fill="auto"/>
        </w:rPr>
        <w:t xml:space="preserve">46．  </w:t>
      </w:r>
      <w:bookmarkEnd w:id="364"/>
      <w:bookmarkEnd w:id="365"/>
      <w:r>
        <w:rPr>
          <w:rFonts w:hint="eastAsia"/>
          <w:color w:val="auto"/>
          <w:highlight w:val="none"/>
          <w:shd w:val="clear" w:color="auto" w:fill="auto"/>
        </w:rPr>
        <w:t>履约担保</w:t>
      </w:r>
      <w:bookmarkEnd w:id="366"/>
    </w:p>
    <w:p>
      <w:pPr>
        <w:tabs>
          <w:tab w:val="clear" w:pos="426"/>
        </w:tabs>
        <w:rPr>
          <w:color w:val="auto"/>
          <w:highlight w:val="none"/>
          <w:shd w:val="clear" w:color="auto" w:fill="auto"/>
        </w:rPr>
      </w:pPr>
      <w:r>
        <w:rPr>
          <w:rFonts w:hint="eastAsia"/>
          <w:color w:val="auto"/>
          <w:highlight w:val="none"/>
          <w:shd w:val="clear" w:color="auto" w:fill="auto"/>
        </w:rPr>
        <w:t>46.1  本项目履约担保的相关要求：详见“投标须知前附表”。</w:t>
      </w:r>
    </w:p>
    <w:p>
      <w:pPr>
        <w:tabs>
          <w:tab w:val="clear" w:pos="426"/>
        </w:tabs>
        <w:rPr>
          <w:color w:val="auto"/>
          <w:highlight w:val="none"/>
          <w:shd w:val="clear" w:color="auto" w:fill="auto"/>
        </w:rPr>
      </w:pPr>
      <w:r>
        <w:rPr>
          <w:rFonts w:hint="eastAsia"/>
          <w:color w:val="auto"/>
          <w:highlight w:val="none"/>
          <w:shd w:val="clear" w:color="auto" w:fill="auto"/>
        </w:rPr>
        <w:t>46.2  在签订合同前，中标人应按规定向采购人提交履约担保，采用履约保函形式的可参照使用本招标文件提供的格式。</w:t>
      </w:r>
    </w:p>
    <w:p>
      <w:pPr>
        <w:tabs>
          <w:tab w:val="clear" w:pos="426"/>
        </w:tabs>
        <w:rPr>
          <w:color w:val="auto"/>
          <w:highlight w:val="none"/>
          <w:shd w:val="clear" w:color="auto" w:fill="auto"/>
        </w:rPr>
      </w:pPr>
      <w:r>
        <w:rPr>
          <w:rFonts w:hint="eastAsia"/>
          <w:color w:val="auto"/>
          <w:highlight w:val="none"/>
          <w:shd w:val="clear" w:color="auto" w:fill="auto"/>
        </w:rPr>
        <w:t>46.3  联合体中标的，其履约担保由联合体牵头人提交，并应符合本节第42.1条、第45.2条的规定。</w:t>
      </w:r>
    </w:p>
    <w:p>
      <w:pPr>
        <w:tabs>
          <w:tab w:val="clear" w:pos="426"/>
        </w:tabs>
        <w:rPr>
          <w:color w:val="auto"/>
          <w:highlight w:val="none"/>
          <w:shd w:val="clear" w:color="auto" w:fill="auto"/>
        </w:rPr>
      </w:pPr>
      <w:r>
        <w:rPr>
          <w:rFonts w:hint="eastAsia"/>
          <w:color w:val="auto"/>
          <w:highlight w:val="none"/>
          <w:shd w:val="clear" w:color="auto" w:fill="auto"/>
        </w:rPr>
        <w:t>46.4  如果中标人拒不提交本节第42.1条、第42.2条要求的履约担保的，采购人可取消其中标资格，并没收其投标担保。</w:t>
      </w:r>
    </w:p>
    <w:p>
      <w:pPr>
        <w:tabs>
          <w:tab w:val="clear" w:pos="426"/>
        </w:tabs>
        <w:rPr>
          <w:color w:val="auto"/>
          <w:highlight w:val="none"/>
          <w:shd w:val="clear" w:color="auto" w:fill="auto"/>
        </w:rPr>
      </w:pPr>
      <w:bookmarkStart w:id="367" w:name="_Toc201401600"/>
      <w:bookmarkStart w:id="368" w:name="_Toc201997862"/>
      <w:bookmarkStart w:id="369" w:name="_Toc201401408"/>
      <w:r>
        <w:rPr>
          <w:rFonts w:hint="eastAsia"/>
          <w:color w:val="auto"/>
          <w:highlight w:val="none"/>
          <w:shd w:val="clear" w:color="auto" w:fill="auto"/>
        </w:rPr>
        <w:t>47．  签订合同</w:t>
      </w:r>
      <w:bookmarkEnd w:id="367"/>
      <w:bookmarkEnd w:id="368"/>
      <w:bookmarkEnd w:id="369"/>
    </w:p>
    <w:p>
      <w:pPr>
        <w:tabs>
          <w:tab w:val="clear" w:pos="426"/>
        </w:tabs>
        <w:rPr>
          <w:color w:val="auto"/>
          <w:highlight w:val="none"/>
          <w:shd w:val="clear" w:color="auto" w:fill="auto"/>
        </w:rPr>
      </w:pPr>
      <w:r>
        <w:rPr>
          <w:rFonts w:hint="eastAsia"/>
          <w:color w:val="auto"/>
          <w:highlight w:val="none"/>
          <w:shd w:val="clear" w:color="auto" w:fill="auto"/>
        </w:rPr>
        <w:t>47.1  采购人和中标人应当按“投标须知前附表”的规定，依据招标文件和中标人的投标文件订立书面合同。</w:t>
      </w:r>
    </w:p>
    <w:p>
      <w:pPr>
        <w:tabs>
          <w:tab w:val="clear" w:pos="426"/>
        </w:tabs>
        <w:rPr>
          <w:color w:val="auto"/>
          <w:highlight w:val="none"/>
          <w:shd w:val="clear" w:color="auto" w:fill="auto"/>
        </w:rPr>
      </w:pPr>
      <w:r>
        <w:rPr>
          <w:rFonts w:hint="eastAsia"/>
          <w:color w:val="auto"/>
          <w:highlight w:val="none"/>
          <w:shd w:val="clear" w:color="auto" w:fill="auto"/>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6"/>
        <w:tabs>
          <w:tab w:val="clear" w:pos="426"/>
        </w:tabs>
        <w:rPr>
          <w:color w:val="auto"/>
          <w:highlight w:val="none"/>
          <w:shd w:val="clear" w:color="auto" w:fill="auto"/>
        </w:rPr>
      </w:pPr>
      <w:bookmarkStart w:id="370" w:name="_Toc3628673"/>
      <w:bookmarkStart w:id="371" w:name="_Toc432592830"/>
      <w:bookmarkStart w:id="372" w:name="_Toc398220538"/>
      <w:bookmarkStart w:id="373" w:name="_Toc29548"/>
      <w:r>
        <w:rPr>
          <w:rFonts w:hint="eastAsia"/>
          <w:color w:val="auto"/>
          <w:highlight w:val="none"/>
          <w:shd w:val="clear" w:color="auto" w:fill="auto"/>
        </w:rPr>
        <w:t>第十章 质疑受理</w:t>
      </w:r>
      <w:bookmarkEnd w:id="370"/>
      <w:bookmarkEnd w:id="371"/>
      <w:bookmarkEnd w:id="372"/>
      <w:bookmarkEnd w:id="373"/>
    </w:p>
    <w:p>
      <w:pPr>
        <w:tabs>
          <w:tab w:val="clear" w:pos="426"/>
        </w:tabs>
        <w:rPr>
          <w:color w:val="auto"/>
          <w:highlight w:val="none"/>
          <w:shd w:val="clear" w:color="auto" w:fill="auto"/>
        </w:rPr>
      </w:pPr>
      <w:r>
        <w:rPr>
          <w:rFonts w:hint="eastAsia"/>
          <w:color w:val="auto"/>
          <w:highlight w:val="none"/>
          <w:shd w:val="clear" w:color="auto" w:fill="auto"/>
        </w:rPr>
        <w:t>48.质疑受理机构</w:t>
      </w:r>
    </w:p>
    <w:p>
      <w:pPr>
        <w:tabs>
          <w:tab w:val="clear" w:pos="426"/>
        </w:tabs>
        <w:rPr>
          <w:color w:val="auto"/>
          <w:sz w:val="22"/>
          <w:szCs w:val="22"/>
          <w:highlight w:val="none"/>
          <w:shd w:val="clear" w:color="auto" w:fill="auto"/>
        </w:rPr>
      </w:pPr>
      <w:r>
        <w:rPr>
          <w:rFonts w:hint="eastAsia"/>
          <w:color w:val="auto"/>
          <w:highlight w:val="none"/>
          <w:shd w:val="clear" w:color="auto" w:fill="auto"/>
        </w:rPr>
        <w:t>采购代理机构及采购人</w:t>
      </w:r>
      <w:r>
        <w:rPr>
          <w:color w:val="auto"/>
          <w:highlight w:val="none"/>
          <w:shd w:val="clear" w:color="auto" w:fill="auto"/>
        </w:rPr>
        <w:t>负责受理和答复质疑</w:t>
      </w:r>
      <w:r>
        <w:rPr>
          <w:color w:val="auto"/>
          <w:sz w:val="22"/>
          <w:szCs w:val="22"/>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49.质疑处理原则</w:t>
      </w:r>
    </w:p>
    <w:p>
      <w:pPr>
        <w:tabs>
          <w:tab w:val="clear" w:pos="426"/>
        </w:tabs>
        <w:rPr>
          <w:color w:val="auto"/>
          <w:highlight w:val="none"/>
          <w:shd w:val="clear" w:color="auto" w:fill="auto"/>
        </w:rPr>
      </w:pPr>
      <w:r>
        <w:rPr>
          <w:rFonts w:hint="eastAsia"/>
          <w:color w:val="auto"/>
          <w:highlight w:val="none"/>
          <w:shd w:val="clear" w:color="auto" w:fill="auto"/>
        </w:rPr>
        <w:t>49.1</w:t>
      </w:r>
      <w:r>
        <w:rPr>
          <w:color w:val="auto"/>
          <w:highlight w:val="none"/>
          <w:shd w:val="clear" w:color="auto" w:fill="auto"/>
        </w:rPr>
        <w:t>质疑处理遵循公平、公正、规范、高效的原则。</w:t>
      </w:r>
    </w:p>
    <w:p>
      <w:pPr>
        <w:tabs>
          <w:tab w:val="clear" w:pos="426"/>
        </w:tabs>
        <w:rPr>
          <w:color w:val="auto"/>
          <w:highlight w:val="none"/>
          <w:shd w:val="clear" w:color="auto" w:fill="auto"/>
        </w:rPr>
      </w:pPr>
      <w:r>
        <w:rPr>
          <w:rFonts w:hint="eastAsia"/>
          <w:color w:val="auto"/>
          <w:highlight w:val="none"/>
          <w:shd w:val="clear" w:color="auto" w:fill="auto"/>
        </w:rPr>
        <w:t>49.2</w:t>
      </w:r>
      <w:r>
        <w:rPr>
          <w:color w:val="auto"/>
          <w:highlight w:val="none"/>
          <w:shd w:val="clear" w:color="auto" w:fill="auto"/>
        </w:rPr>
        <w:t>供应商质疑实行实名制和“谁质疑，谁举证”的原则，质疑应有具体的事项及事实根据。</w:t>
      </w:r>
    </w:p>
    <w:p>
      <w:pPr>
        <w:tabs>
          <w:tab w:val="clear" w:pos="426"/>
        </w:tabs>
        <w:rPr>
          <w:color w:val="auto"/>
          <w:highlight w:val="none"/>
          <w:shd w:val="clear" w:color="auto" w:fill="auto"/>
        </w:rPr>
      </w:pPr>
      <w:r>
        <w:rPr>
          <w:rFonts w:hint="eastAsia"/>
          <w:color w:val="auto"/>
          <w:highlight w:val="none"/>
          <w:shd w:val="clear" w:color="auto" w:fill="auto"/>
        </w:rPr>
        <w:t>50.质疑受理的时效和范围</w:t>
      </w:r>
    </w:p>
    <w:p>
      <w:pPr>
        <w:tabs>
          <w:tab w:val="clear" w:pos="426"/>
        </w:tabs>
        <w:rPr>
          <w:color w:val="auto"/>
          <w:highlight w:val="none"/>
          <w:shd w:val="clear" w:color="auto" w:fill="auto"/>
        </w:rPr>
      </w:pPr>
      <w:r>
        <w:rPr>
          <w:rFonts w:hint="eastAsia"/>
          <w:color w:val="auto"/>
          <w:highlight w:val="none"/>
          <w:shd w:val="clear" w:color="auto" w:fill="auto"/>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color w:val="auto"/>
          <w:highlight w:val="none"/>
          <w:shd w:val="clear" w:color="auto" w:fill="auto"/>
        </w:rPr>
      </w:pPr>
      <w:r>
        <w:rPr>
          <w:rFonts w:hint="eastAsia"/>
          <w:color w:val="auto"/>
          <w:highlight w:val="none"/>
          <w:shd w:val="clear" w:color="auto" w:fill="auto"/>
        </w:rPr>
        <w:t>50.2供应商对采购文件有疑问的，采购代理机构及采购人按答疑程序处理；供应商对采购文件有异议的，按质疑程序处理。</w:t>
      </w:r>
    </w:p>
    <w:p>
      <w:pPr>
        <w:tabs>
          <w:tab w:val="clear" w:pos="426"/>
        </w:tabs>
        <w:rPr>
          <w:color w:val="auto"/>
          <w:highlight w:val="none"/>
          <w:shd w:val="clear" w:color="auto" w:fill="auto"/>
        </w:rPr>
      </w:pPr>
      <w:r>
        <w:rPr>
          <w:rFonts w:hint="eastAsia"/>
          <w:color w:val="auto"/>
          <w:highlight w:val="none"/>
          <w:shd w:val="clear" w:color="auto" w:fill="auto"/>
        </w:rPr>
        <w:t>51.质疑条件</w:t>
      </w:r>
    </w:p>
    <w:p>
      <w:pPr>
        <w:tabs>
          <w:tab w:val="clear" w:pos="426"/>
        </w:tabs>
        <w:rPr>
          <w:color w:val="auto"/>
          <w:highlight w:val="none"/>
          <w:shd w:val="clear" w:color="auto" w:fill="auto"/>
        </w:rPr>
      </w:pPr>
      <w:r>
        <w:rPr>
          <w:rFonts w:hint="eastAsia"/>
          <w:color w:val="auto"/>
          <w:highlight w:val="none"/>
          <w:shd w:val="clear" w:color="auto" w:fill="auto"/>
        </w:rPr>
        <w:t>51.1提出质疑的应是直接参与相应采购项目的供应商。以联合体形式参与的，由联合体共同提出；</w:t>
      </w:r>
    </w:p>
    <w:p>
      <w:pPr>
        <w:tabs>
          <w:tab w:val="clear" w:pos="426"/>
        </w:tabs>
        <w:rPr>
          <w:color w:val="auto"/>
          <w:highlight w:val="none"/>
          <w:shd w:val="clear" w:color="auto" w:fill="auto"/>
        </w:rPr>
      </w:pPr>
      <w:r>
        <w:rPr>
          <w:rFonts w:hint="eastAsia"/>
          <w:color w:val="auto"/>
          <w:highlight w:val="none"/>
          <w:shd w:val="clear" w:color="auto" w:fill="auto"/>
        </w:rPr>
        <w:t>51.2提供质疑的项目名称和编号、质疑供应商的单位名称、详细地址、邮政编码、联系人及联系电话等基本情况；</w:t>
      </w:r>
    </w:p>
    <w:p>
      <w:pPr>
        <w:tabs>
          <w:tab w:val="clear" w:pos="426"/>
        </w:tabs>
        <w:rPr>
          <w:color w:val="auto"/>
          <w:highlight w:val="none"/>
          <w:shd w:val="clear" w:color="auto" w:fill="auto"/>
        </w:rPr>
      </w:pPr>
      <w:r>
        <w:rPr>
          <w:rFonts w:hint="eastAsia"/>
          <w:color w:val="auto"/>
          <w:highlight w:val="none"/>
          <w:shd w:val="clear" w:color="auto" w:fill="auto"/>
        </w:rPr>
        <w:t>51.3有质疑的具体事项、请求及理由，并附相关证据材料；</w:t>
      </w:r>
    </w:p>
    <w:p>
      <w:pPr>
        <w:tabs>
          <w:tab w:val="clear" w:pos="426"/>
        </w:tabs>
        <w:rPr>
          <w:color w:val="auto"/>
          <w:highlight w:val="none"/>
          <w:shd w:val="clear" w:color="auto" w:fill="auto"/>
        </w:rPr>
      </w:pPr>
      <w:r>
        <w:rPr>
          <w:rFonts w:hint="eastAsia"/>
          <w:color w:val="auto"/>
          <w:highlight w:val="none"/>
          <w:shd w:val="clear" w:color="auto" w:fill="auto"/>
        </w:rPr>
        <w:t>51.4质疑书加盖公章，被授权人进行质疑的同时提交法人授权委托书；</w:t>
      </w:r>
    </w:p>
    <w:p>
      <w:pPr>
        <w:tabs>
          <w:tab w:val="clear" w:pos="426"/>
        </w:tabs>
        <w:rPr>
          <w:color w:val="auto"/>
          <w:highlight w:val="none"/>
          <w:shd w:val="clear" w:color="auto" w:fill="auto"/>
        </w:rPr>
      </w:pPr>
      <w:r>
        <w:rPr>
          <w:rFonts w:hint="eastAsia"/>
          <w:color w:val="auto"/>
          <w:highlight w:val="none"/>
          <w:shd w:val="clear" w:color="auto" w:fill="auto"/>
        </w:rPr>
        <w:t>51.5质疑材料中有外文资料的，应一并附上中文译本，并以中文译本为准。</w:t>
      </w:r>
    </w:p>
    <w:p>
      <w:pPr>
        <w:tabs>
          <w:tab w:val="clear" w:pos="426"/>
        </w:tabs>
        <w:rPr>
          <w:color w:val="auto"/>
          <w:highlight w:val="none"/>
          <w:shd w:val="clear" w:color="auto" w:fill="auto"/>
        </w:rPr>
      </w:pPr>
      <w:r>
        <w:rPr>
          <w:rFonts w:hint="eastAsia"/>
          <w:color w:val="auto"/>
          <w:highlight w:val="none"/>
          <w:shd w:val="clear" w:color="auto" w:fill="auto"/>
        </w:rPr>
        <w:t>51.6质疑不得超过质疑受理的时效和范围。</w:t>
      </w:r>
    </w:p>
    <w:p>
      <w:pPr>
        <w:tabs>
          <w:tab w:val="clear" w:pos="426"/>
        </w:tabs>
        <w:rPr>
          <w:color w:val="auto"/>
          <w:highlight w:val="none"/>
          <w:shd w:val="clear" w:color="auto" w:fill="auto"/>
        </w:rPr>
      </w:pPr>
      <w:r>
        <w:rPr>
          <w:rFonts w:hint="eastAsia"/>
          <w:color w:val="auto"/>
          <w:highlight w:val="none"/>
          <w:shd w:val="clear" w:color="auto" w:fill="auto"/>
        </w:rPr>
        <w:t>不符合上述条件的，我采购代理机构不予受理。</w:t>
      </w:r>
    </w:p>
    <w:p>
      <w:pPr>
        <w:tabs>
          <w:tab w:val="clear" w:pos="426"/>
        </w:tabs>
        <w:rPr>
          <w:color w:val="auto"/>
          <w:highlight w:val="none"/>
          <w:shd w:val="clear" w:color="auto" w:fill="auto"/>
        </w:rPr>
      </w:pPr>
      <w:r>
        <w:rPr>
          <w:rFonts w:hint="eastAsia"/>
          <w:color w:val="auto"/>
          <w:highlight w:val="none"/>
          <w:shd w:val="clear" w:color="auto" w:fill="auto"/>
        </w:rPr>
        <w:t>52.受理质疑办理程序</w:t>
      </w:r>
    </w:p>
    <w:p>
      <w:pPr>
        <w:tabs>
          <w:tab w:val="clear" w:pos="426"/>
        </w:tabs>
        <w:rPr>
          <w:color w:val="auto"/>
          <w:highlight w:val="none"/>
          <w:shd w:val="clear" w:color="auto" w:fill="auto"/>
        </w:rPr>
      </w:pPr>
      <w:r>
        <w:rPr>
          <w:rFonts w:hint="eastAsia"/>
          <w:color w:val="auto"/>
          <w:highlight w:val="none"/>
          <w:shd w:val="clear" w:color="auto" w:fill="auto"/>
        </w:rPr>
        <w:t>52.1先与质疑供应商进行沟通，以消除因误解或对采购规则和程序的不了解而引起的质疑。对沟通情况满意的，供应商撤回质疑，质疑处理程序终止。</w:t>
      </w:r>
    </w:p>
    <w:p>
      <w:pPr>
        <w:tabs>
          <w:tab w:val="clear" w:pos="426"/>
        </w:tabs>
        <w:rPr>
          <w:color w:val="auto"/>
          <w:highlight w:val="none"/>
          <w:shd w:val="clear" w:color="auto" w:fill="auto"/>
        </w:rPr>
      </w:pPr>
      <w:r>
        <w:rPr>
          <w:rFonts w:hint="eastAsia"/>
          <w:color w:val="auto"/>
          <w:highlight w:val="none"/>
          <w:shd w:val="clear" w:color="auto" w:fill="auto"/>
        </w:rPr>
        <w:t>52.2处理质疑一般进行书面审查；必要时听取各方当事人的陈述和申辩、进行相关调查；组织原评标委员会或谈判小组进行复议。</w:t>
      </w:r>
    </w:p>
    <w:p>
      <w:pPr>
        <w:tabs>
          <w:tab w:val="clear" w:pos="426"/>
        </w:tabs>
        <w:rPr>
          <w:color w:val="auto"/>
          <w:highlight w:val="none"/>
          <w:shd w:val="clear" w:color="auto" w:fill="auto"/>
        </w:rPr>
      </w:pPr>
      <w:r>
        <w:rPr>
          <w:rFonts w:hint="eastAsia"/>
          <w:color w:val="auto"/>
          <w:highlight w:val="none"/>
          <w:shd w:val="clear" w:color="auto" w:fill="auto"/>
        </w:rPr>
        <w:t>52.3在质疑处理期间，采购代理机构视情形决定暂停采购活动。</w:t>
      </w:r>
    </w:p>
    <w:p>
      <w:pPr>
        <w:tabs>
          <w:tab w:val="clear" w:pos="426"/>
        </w:tabs>
        <w:rPr>
          <w:color w:val="auto"/>
          <w:highlight w:val="none"/>
          <w:shd w:val="clear" w:color="auto" w:fill="auto"/>
        </w:rPr>
      </w:pPr>
      <w:r>
        <w:rPr>
          <w:rFonts w:hint="eastAsia"/>
          <w:color w:val="auto"/>
          <w:highlight w:val="none"/>
          <w:shd w:val="clear" w:color="auto" w:fill="auto"/>
        </w:rPr>
        <w:t>52.4采购代理机构原则上在质疑受理之日起十个工作日内书面答复质疑供应商。答复函以直接领取、传真或邮寄方式送达。</w:t>
      </w:r>
    </w:p>
    <w:p>
      <w:pPr>
        <w:tabs>
          <w:tab w:val="clear" w:pos="426"/>
        </w:tabs>
        <w:rPr>
          <w:color w:val="auto"/>
          <w:highlight w:val="none"/>
          <w:shd w:val="clear" w:color="auto" w:fill="auto"/>
        </w:rPr>
      </w:pPr>
      <w:r>
        <w:rPr>
          <w:rFonts w:hint="eastAsia"/>
          <w:color w:val="auto"/>
          <w:highlight w:val="none"/>
          <w:shd w:val="clear" w:color="auto" w:fill="auto"/>
        </w:rPr>
        <w:t>52.5供应商向采购代理机构提出质疑后，在质疑处理期限内，不得同时向其他方面提起同一质疑。质疑供应商如已就同一事项提起投诉、提请行政复议或诉讼的，质疑程序终止。</w:t>
      </w:r>
    </w:p>
    <w:p>
      <w:pPr>
        <w:tabs>
          <w:tab w:val="clear" w:pos="426"/>
        </w:tabs>
        <w:rPr>
          <w:color w:val="auto"/>
          <w:highlight w:val="none"/>
          <w:shd w:val="clear" w:color="auto" w:fill="auto"/>
        </w:rPr>
      </w:pPr>
      <w:r>
        <w:rPr>
          <w:rFonts w:hint="eastAsia"/>
          <w:color w:val="auto"/>
          <w:highlight w:val="none"/>
          <w:shd w:val="clear" w:color="auto" w:fill="auto"/>
        </w:rPr>
        <w:t>53.相关责任与义务</w:t>
      </w:r>
    </w:p>
    <w:p>
      <w:pPr>
        <w:tabs>
          <w:tab w:val="clear" w:pos="426"/>
        </w:tabs>
        <w:rPr>
          <w:color w:val="auto"/>
          <w:highlight w:val="none"/>
          <w:shd w:val="clear" w:color="auto" w:fill="auto"/>
        </w:rPr>
      </w:pPr>
      <w:r>
        <w:rPr>
          <w:rFonts w:hint="eastAsia"/>
          <w:color w:val="auto"/>
          <w:highlight w:val="none"/>
          <w:shd w:val="clear" w:color="auto" w:fill="auto"/>
        </w:rPr>
        <w:t>53.1采购单位、评标专家和相关供应商等当事人应积极配合采购代理机构进行质疑调查，如实反映情况，及时提供证明材料。</w:t>
      </w:r>
    </w:p>
    <w:p>
      <w:pPr>
        <w:tabs>
          <w:tab w:val="clear" w:pos="426"/>
        </w:tabs>
        <w:rPr>
          <w:color w:val="auto"/>
          <w:highlight w:val="none"/>
          <w:shd w:val="clear" w:color="auto" w:fill="auto"/>
        </w:rPr>
      </w:pPr>
      <w:r>
        <w:rPr>
          <w:rFonts w:hint="eastAsia"/>
          <w:color w:val="auto"/>
          <w:highlight w:val="none"/>
          <w:shd w:val="clear" w:color="auto" w:fill="auto"/>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color w:val="auto"/>
          <w:highlight w:val="none"/>
          <w:shd w:val="clear" w:color="auto" w:fill="auto"/>
        </w:rPr>
      </w:pPr>
      <w:r>
        <w:rPr>
          <w:rFonts w:hint="eastAsia"/>
          <w:color w:val="auto"/>
          <w:highlight w:val="none"/>
          <w:shd w:val="clear" w:color="auto" w:fill="auto"/>
        </w:rPr>
        <w:t>53.2.1捏造事实或提供虚假证明材料的；</w:t>
      </w:r>
    </w:p>
    <w:p>
      <w:pPr>
        <w:tabs>
          <w:tab w:val="clear" w:pos="426"/>
        </w:tabs>
        <w:rPr>
          <w:color w:val="auto"/>
          <w:highlight w:val="none"/>
          <w:shd w:val="clear" w:color="auto" w:fill="auto"/>
        </w:rPr>
      </w:pPr>
      <w:r>
        <w:rPr>
          <w:rFonts w:hint="eastAsia"/>
          <w:color w:val="auto"/>
          <w:highlight w:val="none"/>
          <w:shd w:val="clear" w:color="auto" w:fill="auto"/>
        </w:rPr>
        <w:t>53.2.2假冒他人名义进行质疑的；</w:t>
      </w:r>
    </w:p>
    <w:p>
      <w:pPr>
        <w:tabs>
          <w:tab w:val="clear" w:pos="426"/>
        </w:tabs>
        <w:rPr>
          <w:color w:val="auto"/>
          <w:highlight w:val="none"/>
          <w:shd w:val="clear" w:color="auto" w:fill="auto"/>
        </w:rPr>
      </w:pPr>
      <w:r>
        <w:rPr>
          <w:rFonts w:hint="eastAsia"/>
          <w:color w:val="auto"/>
          <w:highlight w:val="none"/>
          <w:shd w:val="clear" w:color="auto" w:fill="auto"/>
        </w:rPr>
        <w:t>53.2.3拒不配合进行有关调查、情节严重的。</w:t>
      </w:r>
    </w:p>
    <w:p>
      <w:pPr>
        <w:tabs>
          <w:tab w:val="clear" w:pos="426"/>
        </w:tabs>
        <w:rPr>
          <w:b/>
          <w:color w:val="auto"/>
          <w:highlight w:val="none"/>
          <w:shd w:val="clear" w:color="auto" w:fill="auto"/>
        </w:rPr>
      </w:pPr>
      <w:bookmarkStart w:id="374" w:name="_Toc201401601"/>
      <w:bookmarkStart w:id="375" w:name="_Toc201997863"/>
      <w:bookmarkStart w:id="376" w:name="_Toc201401409"/>
      <w:r>
        <w:rPr>
          <w:rFonts w:hint="eastAsia"/>
          <w:color w:val="auto"/>
          <w:highlight w:val="none"/>
          <w:shd w:val="clear" w:color="auto" w:fill="auto"/>
        </w:rPr>
        <w:t xml:space="preserve">54．  </w:t>
      </w:r>
      <w:r>
        <w:rPr>
          <w:rFonts w:hint="eastAsia"/>
          <w:b/>
          <w:color w:val="auto"/>
          <w:highlight w:val="none"/>
          <w:shd w:val="clear" w:color="auto" w:fill="auto"/>
        </w:rPr>
        <w:t>其他</w:t>
      </w:r>
      <w:bookmarkEnd w:id="374"/>
      <w:bookmarkEnd w:id="375"/>
      <w:bookmarkEnd w:id="376"/>
    </w:p>
    <w:p>
      <w:pPr>
        <w:tabs>
          <w:tab w:val="clear" w:pos="426"/>
        </w:tabs>
        <w:rPr>
          <w:color w:val="auto"/>
          <w:highlight w:val="none"/>
          <w:shd w:val="clear" w:color="auto" w:fill="auto"/>
        </w:rPr>
      </w:pPr>
      <w:r>
        <w:rPr>
          <w:rFonts w:hint="eastAsia"/>
          <w:color w:val="auto"/>
          <w:highlight w:val="none"/>
          <w:shd w:val="clear" w:color="auto" w:fill="auto"/>
        </w:rPr>
        <w:t>54.1  本招标文件的解释权归采购代理机构所有，采购代理机构在征得采购人或相关主管部门同意后，有权在法律允许范围内调整本次招标活动的细节及保留最终解释权。</w:t>
      </w:r>
    </w:p>
    <w:p>
      <w:pPr>
        <w:tabs>
          <w:tab w:val="clear" w:pos="426"/>
        </w:tabs>
        <w:rPr>
          <w:color w:val="auto"/>
          <w:highlight w:val="none"/>
          <w:shd w:val="clear" w:color="auto" w:fill="auto"/>
        </w:rPr>
      </w:pPr>
      <w:r>
        <w:rPr>
          <w:rFonts w:hint="eastAsia"/>
          <w:color w:val="auto"/>
          <w:highlight w:val="none"/>
          <w:shd w:val="clear" w:color="auto" w:fill="auto"/>
        </w:rPr>
        <w:t>54.2 采购代理机构向投标人提供的资料和数据，是采购代理机构现有的能供投标人利用的资料，采购代理机构对投标人由此而作出的推论、理解和结论概不负责。</w:t>
      </w:r>
    </w:p>
    <w:p>
      <w:pPr>
        <w:tabs>
          <w:tab w:val="clear" w:pos="426"/>
        </w:tabs>
        <w:rPr>
          <w:color w:val="auto"/>
          <w:highlight w:val="none"/>
          <w:shd w:val="clear" w:color="auto" w:fill="auto"/>
        </w:rPr>
      </w:pPr>
      <w:r>
        <w:rPr>
          <w:rFonts w:hint="eastAsia"/>
          <w:color w:val="auto"/>
          <w:highlight w:val="none"/>
          <w:shd w:val="clear" w:color="auto" w:fill="auto"/>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color w:val="auto"/>
          <w:highlight w:val="none"/>
          <w:shd w:val="clear" w:color="auto" w:fill="auto"/>
        </w:rPr>
      </w:pPr>
      <w:r>
        <w:rPr>
          <w:rFonts w:hint="eastAsia"/>
          <w:color w:val="auto"/>
          <w:highlight w:val="none"/>
          <w:shd w:val="clear" w:color="auto" w:fill="auto"/>
        </w:rPr>
        <w:t>54.4 中标无效的，发出的中标通知书和签订的合同自始没有法律约束力，但不影响合同中存在的有关解决争议方法的条款的效力。</w:t>
      </w:r>
    </w:p>
    <w:p>
      <w:pPr>
        <w:tabs>
          <w:tab w:val="clear" w:pos="426"/>
        </w:tabs>
        <w:rPr>
          <w:color w:val="auto"/>
          <w:highlight w:val="none"/>
          <w:shd w:val="clear" w:color="auto" w:fill="auto"/>
        </w:rPr>
      </w:pPr>
      <w:r>
        <w:rPr>
          <w:rFonts w:hint="eastAsia"/>
          <w:color w:val="auto"/>
          <w:highlight w:val="none"/>
          <w:shd w:val="clear" w:color="auto" w:fill="auto"/>
        </w:rPr>
        <w:t>54.5 本招标文件所有的附件与本招标文件具有同等效力。</w:t>
      </w:r>
    </w:p>
    <w:p>
      <w:pPr>
        <w:tabs>
          <w:tab w:val="clear" w:pos="426"/>
        </w:tabs>
        <w:rPr>
          <w:color w:val="auto"/>
          <w:highlight w:val="none"/>
          <w:shd w:val="clear" w:color="auto" w:fill="auto"/>
        </w:rPr>
      </w:pPr>
    </w:p>
    <w:p>
      <w:pPr>
        <w:pStyle w:val="42"/>
        <w:tabs>
          <w:tab w:val="clear" w:pos="426"/>
        </w:tabs>
        <w:rPr>
          <w:color w:val="auto"/>
          <w:highlight w:val="none"/>
          <w:shd w:val="clear" w:color="auto" w:fill="auto"/>
        </w:rPr>
      </w:pPr>
      <w:r>
        <w:rPr>
          <w:rFonts w:ascii="宋体" w:hAnsi="宋体"/>
          <w:color w:val="auto"/>
          <w:highlight w:val="none"/>
          <w:shd w:val="clear" w:color="auto" w:fill="auto"/>
        </w:rPr>
        <w:br w:type="page"/>
      </w:r>
      <w:bookmarkStart w:id="377" w:name="_Toc3628674"/>
      <w:bookmarkStart w:id="378" w:name="_Toc30205"/>
      <w:r>
        <w:rPr>
          <w:rFonts w:hint="eastAsia"/>
          <w:color w:val="auto"/>
          <w:highlight w:val="none"/>
          <w:shd w:val="clear" w:color="auto" w:fill="auto"/>
        </w:rPr>
        <w:t>招标代理服务取费说明</w:t>
      </w:r>
      <w:bookmarkEnd w:id="377"/>
      <w:bookmarkEnd w:id="378"/>
    </w:p>
    <w:p>
      <w:pPr>
        <w:tabs>
          <w:tab w:val="clear" w:pos="426"/>
        </w:tabs>
        <w:spacing w:line="300" w:lineRule="auto"/>
        <w:ind w:firstLine="440" w:firstLineChars="200"/>
        <w:rPr>
          <w:color w:val="auto"/>
          <w:sz w:val="22"/>
          <w:highlight w:val="none"/>
          <w:shd w:val="clear" w:color="auto" w:fill="auto"/>
        </w:rPr>
      </w:pPr>
    </w:p>
    <w:p>
      <w:pPr>
        <w:tabs>
          <w:tab w:val="clear" w:pos="426"/>
        </w:tabs>
        <w:spacing w:line="300" w:lineRule="auto"/>
        <w:ind w:firstLine="440" w:firstLineChars="200"/>
        <w:rPr>
          <w:color w:val="auto"/>
          <w:sz w:val="22"/>
          <w:highlight w:val="none"/>
          <w:shd w:val="clear" w:color="auto" w:fill="auto"/>
        </w:rPr>
      </w:pPr>
      <w:r>
        <w:rPr>
          <w:rFonts w:hint="eastAsia"/>
          <w:color w:val="auto"/>
          <w:sz w:val="22"/>
          <w:highlight w:val="none"/>
          <w:shd w:val="clear" w:color="auto" w:fill="auto"/>
        </w:rPr>
        <w:t>根据《深圳市财政委员会关于规范深圳市社会采购代理机构管理有关事项的补充通知》（深财购〔</w:t>
      </w:r>
      <w:r>
        <w:rPr>
          <w:color w:val="auto"/>
          <w:sz w:val="22"/>
          <w:highlight w:val="none"/>
          <w:shd w:val="clear" w:color="auto" w:fill="auto"/>
        </w:rPr>
        <w:t>2018〕27号）</w:t>
      </w:r>
      <w:r>
        <w:rPr>
          <w:rFonts w:hint="eastAsia"/>
          <w:color w:val="auto"/>
          <w:sz w:val="22"/>
          <w:highlight w:val="none"/>
          <w:shd w:val="clear" w:color="auto" w:fill="auto"/>
        </w:rPr>
        <w:t xml:space="preserve">的规定，招标代理服务收费将以招标文件规定的计算基数，按差额定率累进法计算，并向中标人收取，收费标准如下表所列： </w:t>
      </w:r>
    </w:p>
    <w:p>
      <w:pPr>
        <w:tabs>
          <w:tab w:val="clear" w:pos="426"/>
        </w:tabs>
        <w:spacing w:line="300" w:lineRule="auto"/>
        <w:ind w:firstLine="440" w:firstLineChars="200"/>
        <w:rPr>
          <w:color w:val="auto"/>
          <w:sz w:val="22"/>
          <w:highlight w:val="none"/>
          <w:shd w:val="clear" w:color="auto" w:fill="auto"/>
        </w:rPr>
      </w:pPr>
      <w:r>
        <w:rPr>
          <w:rFonts w:hint="eastAsia"/>
          <w:color w:val="auto"/>
          <w:sz w:val="22"/>
          <w:highlight w:val="none"/>
          <w:shd w:val="clear" w:color="auto" w:fill="auto"/>
        </w:rPr>
        <w:t>招标代理服务收费标准</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color w:val="auto"/>
                <w:sz w:val="22"/>
                <w:highlight w:val="none"/>
                <w:shd w:val="clear" w:color="auto" w:fill="auto"/>
              </w:rPr>
            </w:pPr>
            <w:r>
              <w:rPr>
                <w:rFonts w:hint="eastAsia"/>
                <w:color w:val="auto"/>
                <w:sz w:val="22"/>
                <w:highlight w:val="none"/>
                <w:shd w:val="clear" w:color="auto" w:fill="auto"/>
              </w:rPr>
              <w:t>项目类型</w:t>
            </w:r>
          </w:p>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费率</w:t>
            </w:r>
          </w:p>
          <w:p>
            <w:pPr>
              <w:tabs>
                <w:tab w:val="clear" w:pos="426"/>
              </w:tabs>
              <w:spacing w:line="240" w:lineRule="auto"/>
              <w:rPr>
                <w:color w:val="auto"/>
                <w:sz w:val="22"/>
                <w:highlight w:val="none"/>
                <w:shd w:val="clear" w:color="auto" w:fill="auto"/>
              </w:rPr>
            </w:pPr>
            <w:r>
              <w:rPr>
                <w:rFonts w:hint="eastAsia"/>
                <w:color w:val="auto"/>
                <w:sz w:val="22"/>
                <w:highlight w:val="none"/>
                <w:shd w:val="clear" w:color="auto" w:fill="auto"/>
              </w:rPr>
              <w:t>中标金额</w:t>
            </w:r>
          </w:p>
        </w:tc>
        <w:tc>
          <w:tcPr>
            <w:tcW w:w="1845" w:type="dxa"/>
            <w:vAlign w:val="center"/>
          </w:tcPr>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货物采购</w:t>
            </w:r>
          </w:p>
        </w:tc>
        <w:tc>
          <w:tcPr>
            <w:tcW w:w="1845" w:type="dxa"/>
            <w:vAlign w:val="center"/>
          </w:tcPr>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服务采购</w:t>
            </w:r>
          </w:p>
        </w:tc>
        <w:tc>
          <w:tcPr>
            <w:tcW w:w="1846" w:type="dxa"/>
            <w:vAlign w:val="center"/>
          </w:tcPr>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100万元以下</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1.500%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1.500%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100万元（含）-500万元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1.100%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0.800%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500万元（含）-1000万元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0.800%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0.450%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1000万元（含）-5000万元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0.500%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0.250%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5000万元（含）-1亿元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0.250%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0.100%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1亿元（含）-5亿元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0.050%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0.050%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5亿元（含）-10亿元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0.035%</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0.035%</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10亿元（含）-50亿元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0.008%</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0.008%</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50亿元（含）-100亿元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0.006%</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0.006%</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100亿元（含）以上</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0.004%</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0.004%</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0.004%</w:t>
            </w:r>
          </w:p>
        </w:tc>
      </w:tr>
    </w:tbl>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以某货物类项目招标为例：</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假设其计算基准价</w:t>
      </w:r>
      <w:r>
        <w:rPr>
          <w:color w:val="auto"/>
          <w:sz w:val="22"/>
          <w:highlight w:val="none"/>
          <w:shd w:val="clear" w:color="auto" w:fill="auto"/>
        </w:rPr>
        <w:t>为</w:t>
      </w:r>
      <w:r>
        <w:rPr>
          <w:rFonts w:hint="eastAsia"/>
          <w:color w:val="auto"/>
          <w:sz w:val="22"/>
          <w:highlight w:val="none"/>
          <w:shd w:val="clear" w:color="auto" w:fill="auto"/>
        </w:rPr>
        <w:t>中标价5000万元</w:t>
      </w:r>
      <w:r>
        <w:rPr>
          <w:color w:val="auto"/>
          <w:sz w:val="22"/>
          <w:highlight w:val="none"/>
          <w:shd w:val="clear" w:color="auto" w:fill="auto"/>
        </w:rPr>
        <w:t>，则招标代理</w:t>
      </w:r>
      <w:r>
        <w:rPr>
          <w:rFonts w:hint="eastAsia"/>
          <w:color w:val="auto"/>
          <w:sz w:val="22"/>
          <w:highlight w:val="none"/>
          <w:shd w:val="clear" w:color="auto" w:fill="auto"/>
        </w:rPr>
        <w:t>服务</w:t>
      </w:r>
      <w:r>
        <w:rPr>
          <w:color w:val="auto"/>
          <w:sz w:val="22"/>
          <w:highlight w:val="none"/>
          <w:shd w:val="clear" w:color="auto" w:fill="auto"/>
        </w:rPr>
        <w:t>费计算为：</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100万元×1.5%=1.5万元</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 xml:space="preserve">（500-100）万元×1.1%=4.4万元 </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 xml:space="preserve">（1000-500）万元×0.8%=4万元 </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（5000-1000）万元×0.5%=20万元</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因此，该项目招标代理服务费为：</w:t>
      </w:r>
      <w:r>
        <w:rPr>
          <w:color w:val="auto"/>
          <w:sz w:val="22"/>
          <w:highlight w:val="none"/>
          <w:shd w:val="clear" w:color="auto" w:fill="auto"/>
        </w:rPr>
        <w:t>1.5万元+4.4万元+4万元+20万元=29.9万元</w:t>
      </w:r>
    </w:p>
    <w:p>
      <w:pPr>
        <w:tabs>
          <w:tab w:val="clear" w:pos="426"/>
        </w:tabs>
        <w:rPr>
          <w:color w:val="auto"/>
          <w:highlight w:val="none"/>
          <w:shd w:val="clear" w:color="auto" w:fill="auto"/>
        </w:rPr>
      </w:pPr>
    </w:p>
    <w:p>
      <w:pPr>
        <w:pStyle w:val="33"/>
        <w:tabs>
          <w:tab w:val="clear" w:pos="426"/>
        </w:tabs>
        <w:rPr>
          <w:color w:val="auto"/>
          <w:highlight w:val="none"/>
          <w:shd w:val="clear" w:color="auto" w:fill="auto"/>
        </w:rPr>
      </w:pPr>
    </w:p>
    <w:sectPr>
      <w:pgSz w:w="11906" w:h="16838"/>
      <w:pgMar w:top="1134" w:right="1134" w:bottom="1134" w:left="1418" w:header="851" w:footer="992" w:gutter="0"/>
      <w:pgNumType w:fmt="decimal"/>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6187A"/>
    <w:multiLevelType w:val="singleLevel"/>
    <w:tmpl w:val="A786187A"/>
    <w:lvl w:ilvl="0" w:tentative="0">
      <w:start w:val="1"/>
      <w:numFmt w:val="decimal"/>
      <w:suff w:val="nothing"/>
      <w:lvlText w:val="（%1）"/>
      <w:lvlJc w:val="left"/>
    </w:lvl>
  </w:abstractNum>
  <w:abstractNum w:abstractNumId="1">
    <w:nsid w:val="CF092B84"/>
    <w:multiLevelType w:val="multilevel"/>
    <w:tmpl w:val="CF092B84"/>
    <w:lvl w:ilvl="0" w:tentative="0">
      <w:start w:val="1"/>
      <w:numFmt w:val="bullet"/>
      <w:pStyle w:val="1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1"/>
    <w:multiLevelType w:val="multilevel"/>
    <w:tmpl w:val="00000001"/>
    <w:lvl w:ilvl="0" w:tentative="0">
      <w:start w:val="1"/>
      <w:numFmt w:val="bullet"/>
      <w:pStyle w:val="2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000002"/>
    <w:multiLevelType w:val="multilevel"/>
    <w:tmpl w:val="00000002"/>
    <w:lvl w:ilvl="0" w:tentative="0">
      <w:start w:val="1"/>
      <w:numFmt w:val="bullet"/>
      <w:pStyle w:val="99"/>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0000003"/>
    <w:multiLevelType w:val="multilevel"/>
    <w:tmpl w:val="00000003"/>
    <w:lvl w:ilvl="0" w:tentative="0">
      <w:start w:val="1"/>
      <w:numFmt w:val="chineseCountingThousand"/>
      <w:pStyle w:val="140"/>
      <w:lvlText w:val="第%1章"/>
      <w:lvlJc w:val="left"/>
      <w:pPr>
        <w:tabs>
          <w:tab w:val="left" w:pos="1440"/>
        </w:tabs>
        <w:ind w:left="0" w:firstLine="0"/>
      </w:pPr>
      <w:rPr>
        <w:rFonts w:hint="eastAsia"/>
      </w:rPr>
    </w:lvl>
    <w:lvl w:ilvl="1" w:tentative="0">
      <w:start w:val="1"/>
      <w:numFmt w:val="decimal"/>
      <w:pStyle w:val="141"/>
      <w:isLgl/>
      <w:lvlText w:val="%1.%2"/>
      <w:lvlJc w:val="left"/>
      <w:pPr>
        <w:tabs>
          <w:tab w:val="left" w:pos="720"/>
        </w:tabs>
        <w:ind w:left="0" w:firstLine="0"/>
      </w:pPr>
      <w:rPr>
        <w:rFonts w:hint="eastAsia"/>
      </w:rPr>
    </w:lvl>
    <w:lvl w:ilvl="2" w:tentative="0">
      <w:start w:val="1"/>
      <w:numFmt w:val="decimal"/>
      <w:pStyle w:val="142"/>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0000004"/>
    <w:multiLevelType w:val="multilevel"/>
    <w:tmpl w:val="00000004"/>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5"/>
    <w:multiLevelType w:val="multilevel"/>
    <w:tmpl w:val="00000005"/>
    <w:lvl w:ilvl="0" w:tentative="0">
      <w:start w:val="1"/>
      <w:numFmt w:val="decimal"/>
      <w:pStyle w:val="94"/>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6"/>
    <w:multiLevelType w:val="multilevel"/>
    <w:tmpl w:val="00000006"/>
    <w:lvl w:ilvl="0" w:tentative="0">
      <w:start w:val="1"/>
      <w:numFmt w:val="chineseCountingThousand"/>
      <w:pStyle w:val="98"/>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0A"/>
    <w:multiLevelType w:val="multilevel"/>
    <w:tmpl w:val="0000000A"/>
    <w:lvl w:ilvl="0" w:tentative="0">
      <w:start w:val="1"/>
      <w:numFmt w:val="decimal"/>
      <w:pStyle w:val="102"/>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00000C"/>
    <w:multiLevelType w:val="multilevel"/>
    <w:tmpl w:val="0000000C"/>
    <w:lvl w:ilvl="0" w:tentative="0">
      <w:start w:val="1"/>
      <w:numFmt w:val="chineseCountingThousand"/>
      <w:suff w:val="nothing"/>
      <w:lvlText w:val="%1、"/>
      <w:lvlJc w:val="left"/>
      <w:pPr>
        <w:ind w:left="846" w:hanging="420"/>
      </w:pPr>
      <w:rPr>
        <w:rFonts w:hint="eastAsia"/>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3">
    <w:nsid w:val="0000000D"/>
    <w:multiLevelType w:val="multilevel"/>
    <w:tmpl w:val="0000000D"/>
    <w:lvl w:ilvl="0" w:tentative="0">
      <w:start w:val="1"/>
      <w:numFmt w:val="decimal"/>
      <w:pStyle w:val="250"/>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4">
    <w:nsid w:val="0000000E"/>
    <w:multiLevelType w:val="multilevel"/>
    <w:tmpl w:val="0000000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5">
    <w:nsid w:val="0000000F"/>
    <w:multiLevelType w:val="multilevel"/>
    <w:tmpl w:val="0000000F"/>
    <w:lvl w:ilvl="0" w:tentative="0">
      <w:start w:val="5"/>
      <w:numFmt w:val="decimal"/>
      <w:lvlText w:val="%1"/>
      <w:lvlJc w:val="left"/>
      <w:pPr>
        <w:tabs>
          <w:tab w:val="left" w:pos="425"/>
        </w:tabs>
        <w:ind w:left="425" w:hanging="425"/>
      </w:pPr>
      <w:rPr>
        <w:rFonts w:hint="eastAsia"/>
      </w:rPr>
    </w:lvl>
    <w:lvl w:ilvl="1" w:tentative="0">
      <w:start w:val="1"/>
      <w:numFmt w:val="decimal"/>
      <w:pStyle w:val="93"/>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0"/>
    <w:multiLevelType w:val="multilevel"/>
    <w:tmpl w:val="00000010"/>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multilevel"/>
    <w:tmpl w:val="00000011"/>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00000012"/>
    <w:multiLevelType w:val="multilevel"/>
    <w:tmpl w:val="00000012"/>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00000013"/>
    <w:multiLevelType w:val="multilevel"/>
    <w:tmpl w:val="00000013"/>
    <w:lvl w:ilvl="0" w:tentative="0">
      <w:start w:val="1"/>
      <w:numFmt w:val="decimal"/>
      <w:pStyle w:val="145"/>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pStyle w:val="256"/>
      <w:lvlText w:val="%1)"/>
      <w:lvlJc w:val="left"/>
      <w:pPr>
        <w:ind w:left="982" w:hanging="420"/>
      </w:pPr>
    </w:lvl>
    <w:lvl w:ilvl="1" w:tentative="0">
      <w:start w:val="1"/>
      <w:numFmt w:val="lowerLetter"/>
      <w:pStyle w:val="253"/>
      <w:lvlText w:val="%2)"/>
      <w:lvlJc w:val="left"/>
      <w:pPr>
        <w:ind w:left="1402" w:hanging="420"/>
      </w:pPr>
    </w:lvl>
    <w:lvl w:ilvl="2" w:tentative="0">
      <w:start w:val="1"/>
      <w:numFmt w:val="lowerRoman"/>
      <w:pStyle w:val="254"/>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1">
    <w:nsid w:val="00000015"/>
    <w:multiLevelType w:val="singleLevel"/>
    <w:tmpl w:val="00000015"/>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22">
    <w:nsid w:val="00000016"/>
    <w:multiLevelType w:val="multilevel"/>
    <w:tmpl w:val="00000016"/>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3">
    <w:nsid w:val="00000017"/>
    <w:multiLevelType w:val="multilevel"/>
    <w:tmpl w:val="00000017"/>
    <w:lvl w:ilvl="0" w:tentative="0">
      <w:start w:val="1"/>
      <w:numFmt w:val="chineseCountingThousand"/>
      <w:pStyle w:val="236"/>
      <w:lvlText w:val="第%1章"/>
      <w:lvlJc w:val="left"/>
      <w:pPr>
        <w:tabs>
          <w:tab w:val="left" w:pos="340"/>
        </w:tabs>
        <w:ind w:left="0" w:firstLine="0"/>
      </w:pPr>
      <w:rPr>
        <w:rFonts w:hint="eastAsia"/>
      </w:rPr>
    </w:lvl>
    <w:lvl w:ilvl="1" w:tentative="0">
      <w:start w:val="1"/>
      <w:numFmt w:val="decimal"/>
      <w:pStyle w:val="237"/>
      <w:isLgl/>
      <w:suff w:val="space"/>
      <w:lvlText w:val="%1.%2"/>
      <w:lvlJc w:val="left"/>
      <w:pPr>
        <w:ind w:left="0" w:firstLine="0"/>
      </w:pPr>
      <w:rPr>
        <w:rFonts w:hint="eastAsia"/>
      </w:rPr>
    </w:lvl>
    <w:lvl w:ilvl="2" w:tentative="0">
      <w:start w:val="1"/>
      <w:numFmt w:val="decimal"/>
      <w:pStyle w:val="239"/>
      <w:isLgl/>
      <w:suff w:val="space"/>
      <w:lvlText w:val="%1.%2.%3"/>
      <w:lvlJc w:val="left"/>
      <w:pPr>
        <w:ind w:left="0" w:firstLine="0"/>
      </w:pPr>
      <w:rPr>
        <w:rFonts w:hint="eastAsia"/>
      </w:rPr>
    </w:lvl>
    <w:lvl w:ilvl="3" w:tentative="0">
      <w:start w:val="1"/>
      <w:numFmt w:val="decimal"/>
      <w:pStyle w:val="241"/>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4" w:tentative="0">
      <w:start w:val="1"/>
      <w:numFmt w:val="decimal"/>
      <w:pStyle w:val="243"/>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00000018"/>
    <w:multiLevelType w:val="multilevel"/>
    <w:tmpl w:val="00000018"/>
    <w:lvl w:ilvl="0" w:tentative="0">
      <w:start w:val="1"/>
      <w:numFmt w:val="decimal"/>
      <w:pStyle w:val="261"/>
      <w:lvlText w:val="%1)"/>
      <w:lvlJc w:val="left"/>
      <w:pPr>
        <w:ind w:left="980" w:hanging="42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00000019"/>
    <w:multiLevelType w:val="multilevel"/>
    <w:tmpl w:val="0000001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A"/>
    <w:multiLevelType w:val="multilevel"/>
    <w:tmpl w:val="0000001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1B"/>
    <w:multiLevelType w:val="multilevel"/>
    <w:tmpl w:val="0000001B"/>
    <w:lvl w:ilvl="0" w:tentative="0">
      <w:start w:val="1"/>
      <w:numFmt w:val="decimal"/>
      <w:pStyle w:val="226"/>
      <w:suff w:val="space"/>
      <w:lvlText w:val="%1"/>
      <w:lvlJc w:val="left"/>
      <w:pPr>
        <w:ind w:left="0" w:firstLine="0"/>
      </w:pPr>
      <w:rPr>
        <w:rFonts w:hint="eastAsia"/>
      </w:rPr>
    </w:lvl>
    <w:lvl w:ilvl="1" w:tentative="0">
      <w:start w:val="1"/>
      <w:numFmt w:val="decimal"/>
      <w:pStyle w:val="228"/>
      <w:suff w:val="space"/>
      <w:lvlText w:val="%1.%2"/>
      <w:lvlJc w:val="left"/>
      <w:pPr>
        <w:ind w:left="0" w:firstLine="0"/>
      </w:pPr>
      <w:rPr>
        <w:rFonts w:hint="eastAsia"/>
      </w:rPr>
    </w:lvl>
    <w:lvl w:ilvl="2" w:tentative="0">
      <w:start w:val="1"/>
      <w:numFmt w:val="decimal"/>
      <w:pStyle w:val="230"/>
      <w:suff w:val="space"/>
      <w:lvlText w:val="%1.%2.%3"/>
      <w:lvlJc w:val="left"/>
      <w:pPr>
        <w:ind w:left="0" w:firstLine="0"/>
      </w:pPr>
      <w:rPr>
        <w:rFonts w:hint="eastAsia"/>
      </w:rPr>
    </w:lvl>
    <w:lvl w:ilvl="3" w:tentative="0">
      <w:start w:val="1"/>
      <w:numFmt w:val="decimal"/>
      <w:pStyle w:val="232"/>
      <w:suff w:val="space"/>
      <w:lvlText w:val="%1.%2.%3.%4"/>
      <w:lvlJc w:val="left"/>
      <w:pPr>
        <w:ind w:left="0" w:firstLine="0"/>
      </w:pPr>
      <w:rPr>
        <w:rFonts w:hint="eastAsia"/>
      </w:rPr>
    </w:lvl>
    <w:lvl w:ilvl="4" w:tentative="0">
      <w:start w:val="1"/>
      <w:numFmt w:val="decimal"/>
      <w:pStyle w:val="234"/>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8">
    <w:nsid w:val="119E8930"/>
    <w:multiLevelType w:val="singleLevel"/>
    <w:tmpl w:val="119E8930"/>
    <w:lvl w:ilvl="0" w:tentative="0">
      <w:start w:val="2"/>
      <w:numFmt w:val="chineseCounting"/>
      <w:suff w:val="nothing"/>
      <w:lvlText w:val="（%1）"/>
      <w:lvlJc w:val="left"/>
      <w:rPr>
        <w:rFonts w:hint="eastAsia"/>
      </w:rPr>
    </w:lvl>
  </w:abstractNum>
  <w:abstractNum w:abstractNumId="29">
    <w:nsid w:val="4C95AC21"/>
    <w:multiLevelType w:val="singleLevel"/>
    <w:tmpl w:val="4C95AC21"/>
    <w:lvl w:ilvl="0" w:tentative="0">
      <w:start w:val="1"/>
      <w:numFmt w:val="decimal"/>
      <w:suff w:val="nothing"/>
      <w:lvlText w:val="%1）"/>
      <w:lvlJc w:val="left"/>
    </w:lvl>
  </w:abstractNum>
  <w:num w:numId="1">
    <w:abstractNumId w:val="18"/>
  </w:num>
  <w:num w:numId="2">
    <w:abstractNumId w:val="15"/>
  </w:num>
  <w:num w:numId="3">
    <w:abstractNumId w:val="6"/>
  </w:num>
  <w:num w:numId="4">
    <w:abstractNumId w:val="7"/>
  </w:num>
  <w:num w:numId="5">
    <w:abstractNumId w:val="3"/>
  </w:num>
  <w:num w:numId="6">
    <w:abstractNumId w:val="10"/>
  </w:num>
  <w:num w:numId="7">
    <w:abstractNumId w:val="14"/>
    <w:lvlOverride w:ilvl="0">
      <w:lvl w:ilvl="0" w:tentative="1">
        <w:start w:val="1"/>
        <w:numFmt w:val="decimal"/>
        <w:pStyle w:val="122"/>
        <w:lvlText w:val="%1."/>
        <w:lvlJc w:val="left"/>
        <w:pPr>
          <w:tabs>
            <w:tab w:val="left" w:pos="420"/>
          </w:tabs>
          <w:ind w:left="0" w:firstLine="420"/>
        </w:pPr>
        <w:rPr>
          <w:rFonts w:hint="eastAsia"/>
        </w:rPr>
      </w:lvl>
    </w:lvlOverride>
    <w:lvlOverride w:ilvl="1">
      <w:lvl w:ilvl="1" w:tentative="1">
        <w:start w:val="1"/>
        <w:numFmt w:val="decimal"/>
        <w:pStyle w:val="123"/>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6"/>
  </w:num>
  <w:num w:numId="10">
    <w:abstractNumId w:val="4"/>
  </w:num>
  <w:num w:numId="11">
    <w:abstractNumId w:val="19"/>
  </w:num>
  <w:num w:numId="12">
    <w:abstractNumId w:val="21"/>
  </w:num>
  <w:num w:numId="13">
    <w:abstractNumId w:val="2"/>
  </w:num>
  <w:num w:numId="14">
    <w:abstractNumId w:val="27"/>
  </w:num>
  <w:num w:numId="15">
    <w:abstractNumId w:val="23"/>
  </w:num>
  <w:num w:numId="16">
    <w:abstractNumId w:val="13"/>
  </w:num>
  <w:num w:numId="17">
    <w:abstractNumId w:val="20"/>
  </w:num>
  <w:num w:numId="18">
    <w:abstractNumId w:val="24"/>
  </w:num>
  <w:num w:numId="19">
    <w:abstractNumId w:val="16"/>
  </w:num>
  <w:num w:numId="20">
    <w:abstractNumId w:val="11"/>
  </w:num>
  <w:num w:numId="21">
    <w:abstractNumId w:val="25"/>
  </w:num>
  <w:num w:numId="22">
    <w:abstractNumId w:val="22"/>
  </w:num>
  <w:num w:numId="23">
    <w:abstractNumId w:val="29"/>
  </w:num>
  <w:num w:numId="24">
    <w:abstractNumId w:val="0"/>
  </w:num>
  <w:num w:numId="25">
    <w:abstractNumId w:val="12"/>
  </w:num>
  <w:num w:numId="26">
    <w:abstractNumId w:val="28"/>
  </w:num>
  <w:num w:numId="27">
    <w:abstractNumId w:val="5"/>
  </w:num>
  <w:num w:numId="28">
    <w:abstractNumId w:val="8"/>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E360C"/>
    <w:rsid w:val="00165916"/>
    <w:rsid w:val="002470F0"/>
    <w:rsid w:val="00271FEE"/>
    <w:rsid w:val="00446096"/>
    <w:rsid w:val="00500383"/>
    <w:rsid w:val="005123D7"/>
    <w:rsid w:val="00717A19"/>
    <w:rsid w:val="00893E2B"/>
    <w:rsid w:val="00927F8B"/>
    <w:rsid w:val="00980C54"/>
    <w:rsid w:val="009C783C"/>
    <w:rsid w:val="00A52197"/>
    <w:rsid w:val="00A56EA9"/>
    <w:rsid w:val="00A83F49"/>
    <w:rsid w:val="00C14920"/>
    <w:rsid w:val="00C4101E"/>
    <w:rsid w:val="00D315FF"/>
    <w:rsid w:val="00D54D78"/>
    <w:rsid w:val="00D61031"/>
    <w:rsid w:val="00DB04EA"/>
    <w:rsid w:val="00DE4D0D"/>
    <w:rsid w:val="00DF077F"/>
    <w:rsid w:val="00E464B3"/>
    <w:rsid w:val="00E80E3D"/>
    <w:rsid w:val="00E839CE"/>
    <w:rsid w:val="00EC41D1"/>
    <w:rsid w:val="032F107D"/>
    <w:rsid w:val="03B941B9"/>
    <w:rsid w:val="048716BF"/>
    <w:rsid w:val="052D0F98"/>
    <w:rsid w:val="08C413C2"/>
    <w:rsid w:val="098C5D85"/>
    <w:rsid w:val="0AB51D0F"/>
    <w:rsid w:val="0AD574FB"/>
    <w:rsid w:val="0B142F46"/>
    <w:rsid w:val="0D3325F8"/>
    <w:rsid w:val="0DCB7A8F"/>
    <w:rsid w:val="12022AF4"/>
    <w:rsid w:val="143B0276"/>
    <w:rsid w:val="146733DD"/>
    <w:rsid w:val="15B21607"/>
    <w:rsid w:val="15F46D9A"/>
    <w:rsid w:val="177D6B4F"/>
    <w:rsid w:val="189A7F25"/>
    <w:rsid w:val="18F55D98"/>
    <w:rsid w:val="1EF83391"/>
    <w:rsid w:val="20BE45DB"/>
    <w:rsid w:val="242578D7"/>
    <w:rsid w:val="244537E7"/>
    <w:rsid w:val="25B43CA2"/>
    <w:rsid w:val="27B84F4A"/>
    <w:rsid w:val="29635FAB"/>
    <w:rsid w:val="2B2B3535"/>
    <w:rsid w:val="2BD15CF5"/>
    <w:rsid w:val="2D713656"/>
    <w:rsid w:val="2DED0D44"/>
    <w:rsid w:val="2F643438"/>
    <w:rsid w:val="33575069"/>
    <w:rsid w:val="33607C15"/>
    <w:rsid w:val="348C40F5"/>
    <w:rsid w:val="35851A9A"/>
    <w:rsid w:val="3A2D4F19"/>
    <w:rsid w:val="3A917C1E"/>
    <w:rsid w:val="3B460452"/>
    <w:rsid w:val="3D1562F3"/>
    <w:rsid w:val="3FE9236B"/>
    <w:rsid w:val="40A700F7"/>
    <w:rsid w:val="42EF313F"/>
    <w:rsid w:val="43D960ED"/>
    <w:rsid w:val="48352572"/>
    <w:rsid w:val="4A970BF0"/>
    <w:rsid w:val="4AB52C04"/>
    <w:rsid w:val="4C612DAC"/>
    <w:rsid w:val="4E355907"/>
    <w:rsid w:val="51084353"/>
    <w:rsid w:val="5545537D"/>
    <w:rsid w:val="55BE62E0"/>
    <w:rsid w:val="592B59FB"/>
    <w:rsid w:val="59803AC2"/>
    <w:rsid w:val="598375BD"/>
    <w:rsid w:val="5AAE6F9D"/>
    <w:rsid w:val="5BB91857"/>
    <w:rsid w:val="5D4F23E6"/>
    <w:rsid w:val="5E5D3BF3"/>
    <w:rsid w:val="684120DA"/>
    <w:rsid w:val="68A63856"/>
    <w:rsid w:val="6AEB4B70"/>
    <w:rsid w:val="711D0EE1"/>
    <w:rsid w:val="7348575A"/>
    <w:rsid w:val="75DF43A8"/>
    <w:rsid w:val="79E23624"/>
    <w:rsid w:val="7A980395"/>
    <w:rsid w:val="7AC3300B"/>
    <w:rsid w:val="7BA05EB1"/>
    <w:rsid w:val="7C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6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63"/>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25"/>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2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9"/>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65"/>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8"/>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9"/>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81"/>
    <w:qFormat/>
    <w:uiPriority w:val="0"/>
    <w:pPr>
      <w:spacing w:after="120"/>
    </w:pPr>
    <w:rPr>
      <w:rFonts w:ascii="Times New Roman" w:hAnsi="Times New Roman" w:cs="Times New Roman"/>
      <w:kern w:val="2"/>
      <w:sz w:val="16"/>
      <w:szCs w:val="16"/>
    </w:rPr>
  </w:style>
  <w:style w:type="paragraph" w:styleId="21">
    <w:name w:val="Body Text Indent"/>
    <w:basedOn w:val="1"/>
    <w:link w:val="221"/>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80"/>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91"/>
    <w:qFormat/>
    <w:uiPriority w:val="0"/>
    <w:rPr>
      <w:rFonts w:hAnsi="Courier New" w:cs="Times New Roman"/>
      <w:kern w:val="2"/>
      <w:sz w:val="32"/>
      <w:szCs w:val="20"/>
    </w:rPr>
  </w:style>
  <w:style w:type="paragraph" w:styleId="27">
    <w:name w:val="Body Text Indent 2"/>
    <w:basedOn w:val="1"/>
    <w:link w:val="220"/>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7"/>
    <w:qFormat/>
    <w:uiPriority w:val="0"/>
    <w:rPr>
      <w:rFonts w:ascii="Times New Roman" w:hAnsi="Times New Roman" w:cs="Times New Roman"/>
      <w:kern w:val="2"/>
      <w:sz w:val="18"/>
      <w:szCs w:val="18"/>
    </w:rPr>
  </w:style>
  <w:style w:type="paragraph" w:styleId="29">
    <w:name w:val="footer"/>
    <w:basedOn w:val="1"/>
    <w:link w:val="116"/>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86"/>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83"/>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76"/>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80"/>
    <w:qFormat/>
    <w:uiPriority w:val="0"/>
    <w:rPr>
      <w:rFonts w:ascii="Times New Roman" w:hAnsi="Times New Roman" w:cs="Times New Roman"/>
      <w:kern w:val="2"/>
      <w:sz w:val="24"/>
    </w:rPr>
  </w:style>
  <w:style w:type="paragraph" w:styleId="39">
    <w:name w:val="HTML Preformatted"/>
    <w:basedOn w:val="1"/>
    <w:link w:val="2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43"/>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8"/>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rFonts w:hint="eastAsia" w:ascii="宋体" w:hAnsi="宋体" w:eastAsia="宋体" w:cs="宋体"/>
      <w:color w:val="0031C1"/>
      <w:sz w:val="18"/>
      <w:szCs w:val="18"/>
      <w:u w:val="none"/>
    </w:rPr>
  </w:style>
  <w:style w:type="character" w:styleId="56">
    <w:name w:val="HTML Code"/>
    <w:basedOn w:val="47"/>
    <w:qFormat/>
    <w:uiPriority w:val="0"/>
    <w:rPr>
      <w:rFonts w:ascii="Consolas" w:hAnsi="Consolas" w:eastAsia="Consolas" w:cs="Consolas"/>
      <w:color w:val="C7254E"/>
      <w:sz w:val="21"/>
      <w:szCs w:val="21"/>
      <w:shd w:val="clear" w:color="auto" w:fill="F9F2F4"/>
    </w:rPr>
  </w:style>
  <w:style w:type="character" w:styleId="57">
    <w:name w:val="annotation reference"/>
    <w:qFormat/>
    <w:uiPriority w:val="0"/>
    <w:rPr>
      <w:sz w:val="21"/>
      <w:szCs w:val="21"/>
    </w:rPr>
  </w:style>
  <w:style w:type="character" w:styleId="58">
    <w:name w:val="HTML Cite"/>
    <w:basedOn w:val="47"/>
    <w:qFormat/>
    <w:uiPriority w:val="0"/>
  </w:style>
  <w:style w:type="character" w:styleId="59">
    <w:name w:val="HTML Keyboard"/>
    <w:basedOn w:val="47"/>
    <w:qFormat/>
    <w:uiPriority w:val="0"/>
    <w:rPr>
      <w:rFonts w:hint="default" w:ascii="Consolas" w:hAnsi="Consolas" w:eastAsia="Consolas" w:cs="Consolas"/>
      <w:color w:val="FFFFFF"/>
      <w:sz w:val="21"/>
      <w:szCs w:val="21"/>
      <w:shd w:val="clear" w:color="auto" w:fill="333333"/>
    </w:rPr>
  </w:style>
  <w:style w:type="character" w:styleId="60">
    <w:name w:val="HTML Sample"/>
    <w:basedOn w:val="47"/>
    <w:qFormat/>
    <w:uiPriority w:val="0"/>
    <w:rPr>
      <w:rFonts w:hint="default" w:ascii="Consolas" w:hAnsi="Consolas" w:eastAsia="Consolas" w:cs="Consolas"/>
      <w:sz w:val="21"/>
      <w:szCs w:val="21"/>
    </w:rPr>
  </w:style>
  <w:style w:type="character" w:customStyle="1" w:styleId="61">
    <w:name w:val="标题 4 Char"/>
    <w:link w:val="5"/>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63">
    <w:name w:val="标题 3 Char1"/>
    <w:link w:val="4"/>
    <w:qFormat/>
    <w:uiPriority w:val="0"/>
    <w:rPr>
      <w:rFonts w:ascii="宋体" w:hAnsi="宋体"/>
      <w:b/>
      <w:bCs/>
      <w:kern w:val="2"/>
      <w:sz w:val="24"/>
      <w:szCs w:val="32"/>
      <w:shd w:val="clear" w:color="auto" w:fill="FFFFFF"/>
    </w:rPr>
  </w:style>
  <w:style w:type="character" w:customStyle="1" w:styleId="64">
    <w:name w:val="标题 1 Char"/>
    <w:link w:val="3"/>
    <w:qFormat/>
    <w:uiPriority w:val="0"/>
    <w:rPr>
      <w:rFonts w:ascii="宋体" w:hAnsi="宋体" w:eastAsia="黑体"/>
      <w:b/>
      <w:bCs/>
      <w:kern w:val="44"/>
      <w:sz w:val="28"/>
      <w:szCs w:val="28"/>
      <w:lang w:val="en-US" w:eastAsia="zh-CN" w:bidi="ar-SA"/>
    </w:rPr>
  </w:style>
  <w:style w:type="character" w:customStyle="1" w:styleId="65">
    <w:name w:val="正文缩进 Char"/>
    <w:link w:val="8"/>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8">
    <w:name w:val="图"/>
    <w:basedOn w:val="1"/>
    <w:qFormat/>
    <w:uiPriority w:val="0"/>
    <w:pPr>
      <w:keepNext/>
      <w:spacing w:before="60" w:after="60" w:line="300" w:lineRule="auto"/>
      <w:jc w:val="center"/>
    </w:pPr>
    <w:rPr>
      <w:spacing w:val="20"/>
      <w:sz w:val="24"/>
      <w:szCs w:val="20"/>
    </w:rPr>
  </w:style>
  <w:style w:type="paragraph" w:customStyle="1" w:styleId="69">
    <w:name w:val="文档正文"/>
    <w:basedOn w:val="1"/>
    <w:qFormat/>
    <w:uiPriority w:val="0"/>
    <w:pPr>
      <w:spacing w:line="480" w:lineRule="atLeast"/>
      <w:ind w:firstLine="567" w:firstLineChars="200"/>
      <w:textAlignment w:val="baseline"/>
    </w:pPr>
    <w:rPr>
      <w:rFonts w:ascii="长城仿宋"/>
      <w:szCs w:val="20"/>
    </w:rPr>
  </w:style>
  <w:style w:type="paragraph" w:customStyle="1" w:styleId="70">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71">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72">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overflowPunct w:val="0"/>
      <w:autoSpaceDE w:val="0"/>
      <w:autoSpaceDN w:val="0"/>
      <w:jc w:val="left"/>
      <w:textAlignment w:val="baseline"/>
    </w:pPr>
    <w:rPr>
      <w:sz w:val="24"/>
      <w:szCs w:val="20"/>
    </w:rPr>
  </w:style>
  <w:style w:type="character" w:customStyle="1" w:styleId="79">
    <w:name w:val="批注文字 Char"/>
    <w:link w:val="19"/>
    <w:qFormat/>
    <w:uiPriority w:val="0"/>
    <w:rPr>
      <w:rFonts w:ascii="宋体" w:eastAsia="宋体"/>
      <w:sz w:val="34"/>
      <w:lang w:val="en-US" w:eastAsia="zh-CN" w:bidi="ar-SA"/>
    </w:rPr>
  </w:style>
  <w:style w:type="character" w:customStyle="1" w:styleId="80">
    <w:name w:val="纯文本 Char"/>
    <w:link w:val="24"/>
    <w:qFormat/>
    <w:uiPriority w:val="0"/>
    <w:rPr>
      <w:rFonts w:ascii="宋体" w:hAnsi="Courier New"/>
      <w:kern w:val="2"/>
      <w:sz w:val="21"/>
    </w:rPr>
  </w:style>
  <w:style w:type="character" w:customStyle="1" w:styleId="81">
    <w:name w:val="apple-converted-space"/>
    <w:basedOn w:val="47"/>
    <w:qFormat/>
    <w:uiPriority w:val="0"/>
  </w:style>
  <w:style w:type="paragraph" w:customStyle="1" w:styleId="82">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83">
    <w:name w:val="副标题 Char"/>
    <w:link w:val="33"/>
    <w:qFormat/>
    <w:uiPriority w:val="0"/>
    <w:rPr>
      <w:rFonts w:ascii="Cambria" w:hAnsi="Cambria" w:cs="Times New Roman"/>
      <w:b/>
      <w:bCs/>
      <w:kern w:val="28"/>
      <w:sz w:val="28"/>
      <w:szCs w:val="32"/>
    </w:rPr>
  </w:style>
  <w:style w:type="paragraph" w:customStyle="1" w:styleId="84">
    <w:name w:val="Char Char Char"/>
    <w:basedOn w:val="1"/>
    <w:qFormat/>
    <w:uiPriority w:val="0"/>
    <w:rPr>
      <w:rFonts w:ascii="Tahoma" w:hAnsi="Tahoma"/>
      <w:sz w:val="24"/>
      <w:szCs w:val="20"/>
    </w:rPr>
  </w:style>
  <w:style w:type="paragraph" w:customStyle="1" w:styleId="85">
    <w:name w:val="列出段落1"/>
    <w:basedOn w:val="1"/>
    <w:link w:val="96"/>
    <w:qFormat/>
    <w:uiPriority w:val="0"/>
    <w:pPr>
      <w:ind w:firstLine="420" w:firstLineChars="200"/>
    </w:pPr>
    <w:rPr>
      <w:rFonts w:ascii="Times New Roman" w:hAnsi="Times New Roman" w:cs="Times New Roman"/>
      <w:kern w:val="2"/>
    </w:rPr>
  </w:style>
  <w:style w:type="character" w:customStyle="1" w:styleId="86">
    <w:name w:val="页眉 Char"/>
    <w:link w:val="30"/>
    <w:qFormat/>
    <w:uiPriority w:val="99"/>
    <w:rPr>
      <w:kern w:val="2"/>
      <w:sz w:val="18"/>
      <w:szCs w:val="18"/>
    </w:rPr>
  </w:style>
  <w:style w:type="paragraph" w:customStyle="1" w:styleId="87">
    <w:name w:val="Default"/>
    <w:link w:val="224"/>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8">
    <w:name w:val="主题"/>
    <w:basedOn w:val="1"/>
    <w:qFormat/>
    <w:uiPriority w:val="0"/>
  </w:style>
  <w:style w:type="paragraph" w:customStyle="1" w:styleId="89">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90">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91">
    <w:name w:val="日期 Char"/>
    <w:link w:val="26"/>
    <w:qFormat/>
    <w:uiPriority w:val="0"/>
    <w:rPr>
      <w:rFonts w:ascii="宋体" w:hAnsi="Courier New"/>
      <w:kern w:val="2"/>
      <w:sz w:val="32"/>
    </w:rPr>
  </w:style>
  <w:style w:type="paragraph" w:customStyle="1" w:styleId="92">
    <w:name w:val="表1黑体居中"/>
    <w:basedOn w:val="1"/>
    <w:qFormat/>
    <w:uiPriority w:val="0"/>
    <w:pPr>
      <w:ind w:firstLine="435"/>
      <w:jc w:val="center"/>
      <w:textAlignment w:val="baseline"/>
    </w:pPr>
    <w:rPr>
      <w:rFonts w:ascii="黑体" w:eastAsia="黑体"/>
      <w:szCs w:val="21"/>
    </w:rPr>
  </w:style>
  <w:style w:type="paragraph" w:customStyle="1" w:styleId="93">
    <w:name w:val="MaoC2"/>
    <w:basedOn w:val="1"/>
    <w:qFormat/>
    <w:uiPriority w:val="0"/>
    <w:pPr>
      <w:numPr>
        <w:ilvl w:val="1"/>
        <w:numId w:val="2"/>
      </w:numPr>
      <w:spacing w:line="480" w:lineRule="auto"/>
      <w:outlineLvl w:val="1"/>
    </w:pPr>
    <w:rPr>
      <w:rFonts w:ascii="黑体" w:eastAsia="黑体"/>
      <w:szCs w:val="20"/>
    </w:rPr>
  </w:style>
  <w:style w:type="paragraph" w:customStyle="1" w:styleId="94">
    <w:name w:val="图目录4"/>
    <w:basedOn w:val="1"/>
    <w:next w:val="1"/>
    <w:qFormat/>
    <w:uiPriority w:val="0"/>
    <w:pPr>
      <w:numPr>
        <w:ilvl w:val="0"/>
        <w:numId w:val="3"/>
      </w:numPr>
      <w:ind w:hanging="448"/>
      <w:jc w:val="center"/>
      <w:textAlignment w:val="baseline"/>
    </w:pPr>
    <w:rPr>
      <w:szCs w:val="20"/>
    </w:rPr>
  </w:style>
  <w:style w:type="paragraph" w:customStyle="1" w:styleId="9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6">
    <w:name w:val="列出段落 Char"/>
    <w:link w:val="85"/>
    <w:qFormat/>
    <w:uiPriority w:val="0"/>
    <w:rPr>
      <w:kern w:val="2"/>
      <w:sz w:val="21"/>
      <w:szCs w:val="24"/>
    </w:rPr>
  </w:style>
  <w:style w:type="table" w:customStyle="1" w:styleId="97">
    <w:name w:val="Table Normal"/>
    <w:qFormat/>
    <w:uiPriority w:val="0"/>
    <w:pPr>
      <w:spacing w:line="360" w:lineRule="auto"/>
      <w:jc w:val="both"/>
    </w:pPr>
    <w:tblPr>
      <w:tblCellMar>
        <w:top w:w="0" w:type="dxa"/>
        <w:left w:w="0" w:type="dxa"/>
        <w:bottom w:w="0" w:type="dxa"/>
        <w:right w:w="0" w:type="dxa"/>
      </w:tblCellMar>
    </w:tblPr>
  </w:style>
  <w:style w:type="paragraph" w:customStyle="1" w:styleId="98">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9">
    <w:name w:val="参数内容"/>
    <w:basedOn w:val="85"/>
    <w:qFormat/>
    <w:uiPriority w:val="0"/>
    <w:pPr>
      <w:numPr>
        <w:ilvl w:val="0"/>
        <w:numId w:val="5"/>
      </w:numPr>
      <w:ind w:firstLine="0" w:firstLineChars="0"/>
    </w:pPr>
    <w:rPr>
      <w:szCs w:val="18"/>
    </w:rPr>
  </w:style>
  <w:style w:type="paragraph" w:customStyle="1" w:styleId="100">
    <w:name w:val="标准正文"/>
    <w:basedOn w:val="21"/>
    <w:link w:val="101"/>
    <w:qFormat/>
    <w:uiPriority w:val="0"/>
    <w:pPr>
      <w:spacing w:before="60" w:after="60"/>
      <w:ind w:firstLine="482" w:firstLineChars="0"/>
      <w:jc w:val="left"/>
    </w:pPr>
    <w:rPr>
      <w:rFonts w:ascii="宋体" w:hAnsi="宋体"/>
      <w:kern w:val="0"/>
      <w:sz w:val="24"/>
      <w:szCs w:val="20"/>
    </w:rPr>
  </w:style>
  <w:style w:type="character" w:customStyle="1" w:styleId="101">
    <w:name w:val="标准正文 Char"/>
    <w:link w:val="100"/>
    <w:qFormat/>
    <w:uiPriority w:val="0"/>
    <w:rPr>
      <w:rFonts w:ascii="宋体" w:hAnsi="宋体" w:cs="宋体"/>
      <w:sz w:val="24"/>
    </w:rPr>
  </w:style>
  <w:style w:type="paragraph" w:customStyle="1" w:styleId="102">
    <w:name w:val="下级参数内容"/>
    <w:basedOn w:val="85"/>
    <w:qFormat/>
    <w:uiPriority w:val="0"/>
    <w:pPr>
      <w:numPr>
        <w:ilvl w:val="0"/>
        <w:numId w:val="6"/>
      </w:numPr>
      <w:ind w:left="1134" w:firstLine="0" w:firstLineChars="0"/>
    </w:pPr>
    <w:rPr>
      <w:rFonts w:ascii="仿宋" w:hAnsi="仿宋"/>
    </w:rPr>
  </w:style>
  <w:style w:type="paragraph" w:customStyle="1" w:styleId="103">
    <w:name w:val="Char Char Char1"/>
    <w:basedOn w:val="1"/>
    <w:qFormat/>
    <w:uiPriority w:val="0"/>
    <w:rPr>
      <w:rFonts w:ascii="Tahoma" w:hAnsi="Tahoma"/>
      <w:sz w:val="24"/>
      <w:szCs w:val="20"/>
    </w:rPr>
  </w:style>
  <w:style w:type="paragraph" w:customStyle="1" w:styleId="104">
    <w:name w:val="Char Char10 Char Char"/>
    <w:basedOn w:val="17"/>
    <w:qFormat/>
    <w:uiPriority w:val="0"/>
    <w:rPr>
      <w:rFonts w:ascii="Tahoma" w:hAnsi="Tahoma"/>
      <w:sz w:val="24"/>
    </w:rPr>
  </w:style>
  <w:style w:type="paragraph" w:customStyle="1" w:styleId="105">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6">
    <w:name w:val="font5"/>
    <w:basedOn w:val="1"/>
    <w:qFormat/>
    <w:uiPriority w:val="0"/>
    <w:pPr>
      <w:spacing w:before="100" w:beforeAutospacing="1" w:after="100" w:afterAutospacing="1"/>
      <w:jc w:val="left"/>
    </w:pPr>
    <w:rPr>
      <w:sz w:val="18"/>
      <w:szCs w:val="18"/>
    </w:rPr>
  </w:style>
  <w:style w:type="paragraph" w:customStyle="1" w:styleId="107">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8">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9">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10">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11">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12">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13">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14">
    <w:name w:val="样式3"/>
    <w:basedOn w:val="1"/>
    <w:qFormat/>
    <w:uiPriority w:val="0"/>
    <w:pPr>
      <w:ind w:left="1620" w:hanging="420"/>
      <w:outlineLvl w:val="2"/>
    </w:pPr>
    <w:rPr>
      <w:b/>
    </w:rPr>
  </w:style>
  <w:style w:type="paragraph" w:customStyle="1" w:styleId="115">
    <w:name w:val="样式4"/>
    <w:basedOn w:val="85"/>
    <w:qFormat/>
    <w:uiPriority w:val="0"/>
    <w:pPr>
      <w:ind w:left="2040" w:firstLine="0" w:firstLineChars="0"/>
      <w:jc w:val="left"/>
      <w:outlineLvl w:val="3"/>
    </w:pPr>
    <w:rPr>
      <w:rFonts w:ascii="宋体" w:hAnsi="宋体"/>
    </w:rPr>
  </w:style>
  <w:style w:type="character" w:customStyle="1" w:styleId="116">
    <w:name w:val="页脚 Char"/>
    <w:link w:val="29"/>
    <w:qFormat/>
    <w:uiPriority w:val="99"/>
    <w:rPr>
      <w:kern w:val="2"/>
      <w:sz w:val="18"/>
      <w:szCs w:val="18"/>
    </w:rPr>
  </w:style>
  <w:style w:type="character" w:customStyle="1" w:styleId="117">
    <w:name w:val="批注框文本 Char"/>
    <w:link w:val="28"/>
    <w:qFormat/>
    <w:uiPriority w:val="0"/>
    <w:rPr>
      <w:kern w:val="2"/>
      <w:sz w:val="18"/>
      <w:szCs w:val="18"/>
    </w:rPr>
  </w:style>
  <w:style w:type="character" w:customStyle="1" w:styleId="118">
    <w:name w:val="文档结构图 Char"/>
    <w:link w:val="17"/>
    <w:qFormat/>
    <w:uiPriority w:val="0"/>
    <w:rPr>
      <w:kern w:val="2"/>
      <w:sz w:val="21"/>
      <w:szCs w:val="24"/>
      <w:shd w:val="clear" w:color="auto" w:fill="000080"/>
    </w:rPr>
  </w:style>
  <w:style w:type="paragraph" w:customStyle="1" w:styleId="119">
    <w:name w:val="p0"/>
    <w:basedOn w:val="1"/>
    <w:qFormat/>
    <w:uiPriority w:val="0"/>
    <w:rPr>
      <w:rFonts w:ascii="Calibri" w:hAnsi="Calibri"/>
      <w:szCs w:val="21"/>
    </w:rPr>
  </w:style>
  <w:style w:type="paragraph" w:customStyle="1" w:styleId="120">
    <w:name w:val="图标题"/>
    <w:basedOn w:val="1"/>
    <w:link w:val="124"/>
    <w:qFormat/>
    <w:uiPriority w:val="0"/>
    <w:pPr>
      <w:jc w:val="center"/>
    </w:pPr>
    <w:rPr>
      <w:rFonts w:cs="Times New Roman"/>
      <w:kern w:val="2"/>
    </w:rPr>
  </w:style>
  <w:style w:type="paragraph" w:customStyle="1" w:styleId="121">
    <w:name w:val="表标题"/>
    <w:basedOn w:val="1"/>
    <w:qFormat/>
    <w:uiPriority w:val="0"/>
    <w:pPr>
      <w:jc w:val="center"/>
    </w:pPr>
    <w:rPr>
      <w:rFonts w:eastAsia="黑体"/>
      <w:b/>
    </w:rPr>
  </w:style>
  <w:style w:type="paragraph" w:customStyle="1" w:styleId="122">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23">
    <w:name w:val="正文-1级列表-(1)"/>
    <w:basedOn w:val="1"/>
    <w:qFormat/>
    <w:uiPriority w:val="0"/>
    <w:pPr>
      <w:numPr>
        <w:ilvl w:val="1"/>
        <w:numId w:val="7"/>
      </w:numPr>
      <w:ind w:firstLine="0"/>
    </w:pPr>
    <w:rPr>
      <w:sz w:val="24"/>
      <w:lang w:val="en-GB"/>
    </w:rPr>
  </w:style>
  <w:style w:type="character" w:customStyle="1" w:styleId="124">
    <w:name w:val="图标题 Char"/>
    <w:link w:val="120"/>
    <w:qFormat/>
    <w:uiPriority w:val="0"/>
    <w:rPr>
      <w:rFonts w:ascii="宋体" w:hAnsi="宋体"/>
      <w:kern w:val="2"/>
      <w:sz w:val="21"/>
      <w:szCs w:val="24"/>
    </w:rPr>
  </w:style>
  <w:style w:type="character" w:customStyle="1" w:styleId="125">
    <w:name w:val="标题 5 Char"/>
    <w:link w:val="7"/>
    <w:qFormat/>
    <w:uiPriority w:val="0"/>
    <w:rPr>
      <w:b/>
      <w:kern w:val="2"/>
      <w:sz w:val="24"/>
    </w:rPr>
  </w:style>
  <w:style w:type="character" w:customStyle="1" w:styleId="126">
    <w:name w:val="标题 6 Char"/>
    <w:link w:val="9"/>
    <w:qFormat/>
    <w:uiPriority w:val="0"/>
    <w:rPr>
      <w:rFonts w:ascii="Arial" w:hAnsi="Arial" w:eastAsia="黑体"/>
      <w:b/>
      <w:kern w:val="2"/>
      <w:sz w:val="24"/>
    </w:rPr>
  </w:style>
  <w:style w:type="character" w:customStyle="1" w:styleId="127">
    <w:name w:val="标题 7 Char"/>
    <w:link w:val="10"/>
    <w:qFormat/>
    <w:uiPriority w:val="0"/>
    <w:rPr>
      <w:b/>
      <w:kern w:val="2"/>
      <w:sz w:val="24"/>
    </w:rPr>
  </w:style>
  <w:style w:type="character" w:customStyle="1" w:styleId="128">
    <w:name w:val="标题 8 Char"/>
    <w:link w:val="11"/>
    <w:qFormat/>
    <w:uiPriority w:val="0"/>
    <w:rPr>
      <w:rFonts w:ascii="Arial" w:hAnsi="Arial" w:eastAsia="黑体"/>
      <w:kern w:val="2"/>
      <w:sz w:val="24"/>
    </w:rPr>
  </w:style>
  <w:style w:type="character" w:customStyle="1" w:styleId="129">
    <w:name w:val="标题 9 Char"/>
    <w:link w:val="12"/>
    <w:qFormat/>
    <w:uiPriority w:val="0"/>
    <w:rPr>
      <w:rFonts w:ascii="Arial" w:hAnsi="Arial" w:eastAsia="黑体"/>
      <w:kern w:val="2"/>
      <w:sz w:val="21"/>
    </w:rPr>
  </w:style>
  <w:style w:type="paragraph" w:customStyle="1" w:styleId="130">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31">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32">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33">
    <w:name w:val="￥正文"/>
    <w:basedOn w:val="1"/>
    <w:link w:val="134"/>
    <w:qFormat/>
    <w:uiPriority w:val="0"/>
    <w:pPr>
      <w:ind w:firstLine="200" w:firstLineChars="200"/>
    </w:pPr>
    <w:rPr>
      <w:rFonts w:ascii="Calibri" w:hAnsi="Calibri" w:cs="Times New Roman"/>
      <w:kern w:val="2"/>
      <w:sz w:val="24"/>
      <w:szCs w:val="20"/>
    </w:rPr>
  </w:style>
  <w:style w:type="character" w:customStyle="1" w:styleId="134">
    <w:name w:val="￥正文 Char"/>
    <w:link w:val="133"/>
    <w:qFormat/>
    <w:uiPriority w:val="0"/>
    <w:rPr>
      <w:rFonts w:ascii="Calibri" w:hAnsi="Calibri"/>
      <w:kern w:val="2"/>
      <w:sz w:val="24"/>
    </w:rPr>
  </w:style>
  <w:style w:type="paragraph" w:customStyle="1" w:styleId="135">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6">
    <w:name w:val="!项目ALT+P"/>
    <w:basedOn w:val="1"/>
    <w:qFormat/>
    <w:uiPriority w:val="0"/>
    <w:pPr>
      <w:numPr>
        <w:ilvl w:val="0"/>
        <w:numId w:val="9"/>
      </w:numPr>
      <w:spacing w:line="320" w:lineRule="atLeast"/>
      <w:ind w:firstLine="0"/>
      <w:textAlignment w:val="baseline"/>
    </w:pPr>
    <w:rPr>
      <w:szCs w:val="21"/>
    </w:rPr>
  </w:style>
  <w:style w:type="paragraph" w:customStyle="1" w:styleId="137">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8">
    <w:name w:val="正文内容"/>
    <w:basedOn w:val="1"/>
    <w:next w:val="17"/>
    <w:link w:val="139"/>
    <w:qFormat/>
    <w:uiPriority w:val="0"/>
    <w:rPr>
      <w:rFonts w:ascii="Times New Roman" w:hAnsi="Times New Roman" w:cs="Times New Roman"/>
      <w:sz w:val="20"/>
    </w:rPr>
  </w:style>
  <w:style w:type="character" w:customStyle="1" w:styleId="139">
    <w:name w:val="正文内容 Char"/>
    <w:link w:val="138"/>
    <w:qFormat/>
    <w:uiPriority w:val="0"/>
    <w:rPr>
      <w:szCs w:val="24"/>
    </w:rPr>
  </w:style>
  <w:style w:type="paragraph" w:customStyle="1" w:styleId="140">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1">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2">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43">
    <w:name w:val="标题 Char"/>
    <w:link w:val="42"/>
    <w:qFormat/>
    <w:uiPriority w:val="0"/>
    <w:rPr>
      <w:rFonts w:ascii="Arial" w:hAnsi="Arial" w:cs="Arial"/>
      <w:b/>
      <w:bCs/>
      <w:kern w:val="2"/>
      <w:sz w:val="36"/>
      <w:szCs w:val="32"/>
    </w:rPr>
  </w:style>
  <w:style w:type="paragraph" w:customStyle="1" w:styleId="144">
    <w:name w:val="正文Land"/>
    <w:basedOn w:val="1"/>
    <w:qFormat/>
    <w:uiPriority w:val="0"/>
    <w:pPr>
      <w:spacing w:beforeLines="20" w:afterLines="50"/>
      <w:ind w:firstLine="200" w:firstLineChars="200"/>
    </w:pPr>
    <w:rPr>
      <w:color w:val="000000"/>
      <w:sz w:val="24"/>
    </w:rPr>
  </w:style>
  <w:style w:type="paragraph" w:customStyle="1" w:styleId="145">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6">
    <w:name w:val="font6"/>
    <w:basedOn w:val="1"/>
    <w:qFormat/>
    <w:uiPriority w:val="0"/>
    <w:pPr>
      <w:spacing w:beforeAutospacing="1" w:afterAutospacing="1"/>
      <w:jc w:val="left"/>
    </w:pPr>
    <w:rPr>
      <w:sz w:val="18"/>
      <w:szCs w:val="18"/>
    </w:rPr>
  </w:style>
  <w:style w:type="paragraph" w:customStyle="1" w:styleId="147">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8">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9">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0">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51">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2">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53">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54">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55">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6">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9">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60">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62">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4">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65">
    <w:name w:val="xl87"/>
    <w:basedOn w:val="1"/>
    <w:qFormat/>
    <w:uiPriority w:val="0"/>
    <w:pPr>
      <w:spacing w:beforeAutospacing="1" w:afterAutospacing="1"/>
      <w:jc w:val="left"/>
    </w:pPr>
    <w:rPr>
      <w:sz w:val="24"/>
    </w:rPr>
  </w:style>
  <w:style w:type="paragraph" w:customStyle="1" w:styleId="166">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7">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8">
    <w:name w:val="Bulleted Items--Level 2"/>
    <w:basedOn w:val="1"/>
    <w:qFormat/>
    <w:uiPriority w:val="0"/>
    <w:pPr>
      <w:numPr>
        <w:ilvl w:val="0"/>
        <w:numId w:val="12"/>
      </w:numPr>
      <w:tabs>
        <w:tab w:val="clear" w:pos="360"/>
      </w:tabs>
      <w:spacing w:line="280" w:lineRule="exact"/>
      <w:ind w:left="2520" w:firstLine="0"/>
    </w:pPr>
    <w:rPr>
      <w:color w:val="000000"/>
      <w:sz w:val="22"/>
      <w:szCs w:val="20"/>
      <w:lang w:eastAsia="en-US"/>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80">
    <w:name w:val="xl101"/>
    <w:basedOn w:val="1"/>
    <w:qFormat/>
    <w:uiPriority w:val="0"/>
    <w:pPr>
      <w:spacing w:beforeAutospacing="1" w:afterAutospacing="1"/>
      <w:jc w:val="left"/>
      <w:textAlignment w:val="center"/>
    </w:pPr>
    <w:rPr>
      <w:color w:val="FF0000"/>
      <w:sz w:val="20"/>
      <w:szCs w:val="20"/>
    </w:rPr>
  </w:style>
  <w:style w:type="paragraph" w:customStyle="1" w:styleId="18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82">
    <w:name w:val="xl103"/>
    <w:basedOn w:val="1"/>
    <w:qFormat/>
    <w:uiPriority w:val="0"/>
    <w:pPr>
      <w:spacing w:beforeAutospacing="1" w:afterAutospacing="1"/>
      <w:jc w:val="left"/>
      <w:textAlignment w:val="center"/>
    </w:pPr>
    <w:rPr>
      <w:color w:val="FF0000"/>
      <w:sz w:val="22"/>
      <w:szCs w:val="22"/>
    </w:rPr>
  </w:style>
  <w:style w:type="paragraph" w:customStyle="1" w:styleId="183">
    <w:name w:val="xl104"/>
    <w:basedOn w:val="1"/>
    <w:qFormat/>
    <w:uiPriority w:val="0"/>
    <w:pPr>
      <w:spacing w:beforeAutospacing="1" w:afterAutospacing="1"/>
      <w:jc w:val="center"/>
    </w:pPr>
    <w:rPr>
      <w:sz w:val="24"/>
    </w:rPr>
  </w:style>
  <w:style w:type="paragraph" w:customStyle="1" w:styleId="18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8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7">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9">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90">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9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93">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94">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3">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04">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7">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8">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9">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1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1">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2">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3">
    <w:name w:val="样式 首行缩进:  0 字符"/>
    <w:basedOn w:val="1"/>
    <w:qFormat/>
    <w:uiPriority w:val="0"/>
    <w:pPr>
      <w:ind w:firstLine="200" w:firstLineChars="200"/>
    </w:pPr>
    <w:rPr>
      <w:sz w:val="24"/>
      <w:szCs w:val="20"/>
    </w:rPr>
  </w:style>
  <w:style w:type="paragraph" w:customStyle="1" w:styleId="214">
    <w:name w:val="5"/>
    <w:basedOn w:val="1"/>
    <w:qFormat/>
    <w:uiPriority w:val="0"/>
    <w:pPr>
      <w:ind w:firstLine="200" w:firstLineChars="200"/>
      <w:jc w:val="left"/>
    </w:pPr>
    <w:rPr>
      <w:sz w:val="24"/>
    </w:rPr>
  </w:style>
  <w:style w:type="paragraph" w:customStyle="1" w:styleId="215">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6">
    <w:name w:val="附件标题"/>
    <w:basedOn w:val="1"/>
    <w:qFormat/>
    <w:uiPriority w:val="0"/>
    <w:pPr>
      <w:ind w:firstLine="200" w:firstLineChars="200"/>
      <w:jc w:val="center"/>
    </w:pPr>
    <w:rPr>
      <w:rFonts w:ascii="Arial" w:hAnsi="Arial" w:eastAsia="黑体"/>
      <w:sz w:val="24"/>
    </w:rPr>
  </w:style>
  <w:style w:type="paragraph" w:customStyle="1" w:styleId="217">
    <w:name w:val="附件(1)"/>
    <w:basedOn w:val="1"/>
    <w:qFormat/>
    <w:uiPriority w:val="0"/>
    <w:pPr>
      <w:numPr>
        <w:ilvl w:val="0"/>
        <w:numId w:val="13"/>
      </w:numPr>
      <w:ind w:firstLine="200" w:firstLineChars="200"/>
    </w:pPr>
    <w:rPr>
      <w:sz w:val="24"/>
    </w:rPr>
  </w:style>
  <w:style w:type="paragraph" w:customStyle="1" w:styleId="218">
    <w:name w:val="附件1."/>
    <w:basedOn w:val="3"/>
    <w:qFormat/>
    <w:uiPriority w:val="0"/>
    <w:pPr>
      <w:tabs>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9">
    <w:name w:val="附件圈"/>
    <w:basedOn w:val="217"/>
    <w:qFormat/>
    <w:uiPriority w:val="0"/>
    <w:pPr>
      <w:numPr>
        <w:numId w:val="0"/>
      </w:numPr>
      <w:tabs>
        <w:tab w:val="clear" w:pos="426"/>
      </w:tabs>
      <w:ind w:firstLine="420" w:firstLineChars="200"/>
    </w:pPr>
  </w:style>
  <w:style w:type="character" w:customStyle="1" w:styleId="220">
    <w:name w:val="正文文本缩进 2 Char"/>
    <w:link w:val="27"/>
    <w:qFormat/>
    <w:uiPriority w:val="0"/>
    <w:rPr>
      <w:rFonts w:ascii="宋体" w:hAnsi="宋体"/>
      <w:kern w:val="2"/>
      <w:sz w:val="21"/>
      <w:szCs w:val="24"/>
    </w:rPr>
  </w:style>
  <w:style w:type="character" w:customStyle="1" w:styleId="221">
    <w:name w:val="正文文本缩进 Char"/>
    <w:link w:val="21"/>
    <w:qFormat/>
    <w:uiPriority w:val="0"/>
    <w:rPr>
      <w:kern w:val="2"/>
      <w:sz w:val="21"/>
      <w:szCs w:val="24"/>
    </w:rPr>
  </w:style>
  <w:style w:type="paragraph" w:customStyle="1" w:styleId="222">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23">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24">
    <w:name w:val="Default Char"/>
    <w:link w:val="87"/>
    <w:qFormat/>
    <w:uiPriority w:val="0"/>
    <w:rPr>
      <w:rFonts w:ascii="宋体" w:hAnsi="Calibri"/>
      <w:color w:val="000000"/>
      <w:sz w:val="24"/>
      <w:szCs w:val="24"/>
      <w:lang w:bidi="ar-SA"/>
    </w:rPr>
  </w:style>
  <w:style w:type="paragraph" w:customStyle="1" w:styleId="225">
    <w:name w:val="CM51"/>
    <w:basedOn w:val="87"/>
    <w:next w:val="87"/>
    <w:qFormat/>
    <w:uiPriority w:val="0"/>
    <w:pPr>
      <w:spacing w:after="103"/>
    </w:pPr>
    <w:rPr>
      <w:rFonts w:ascii="黑体" w:eastAsia="黑体"/>
      <w:color w:val="auto"/>
    </w:rPr>
  </w:style>
  <w:style w:type="paragraph" w:customStyle="1" w:styleId="226">
    <w:name w:val="pan"/>
    <w:basedOn w:val="85"/>
    <w:link w:val="227"/>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7">
    <w:name w:val="pan Char"/>
    <w:link w:val="226"/>
    <w:qFormat/>
    <w:uiPriority w:val="0"/>
    <w:rPr>
      <w:rFonts w:ascii="黑体" w:hAnsi="黑体" w:eastAsia="黑体"/>
      <w:kern w:val="2"/>
      <w:sz w:val="32"/>
      <w:szCs w:val="32"/>
      <w:shd w:val="clear" w:color="auto" w:fill="FFFFFF"/>
    </w:rPr>
  </w:style>
  <w:style w:type="paragraph" w:customStyle="1" w:styleId="228">
    <w:name w:val="pan2"/>
    <w:basedOn w:val="85"/>
    <w:link w:val="229"/>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9">
    <w:name w:val="pan2 Char"/>
    <w:link w:val="228"/>
    <w:qFormat/>
    <w:uiPriority w:val="0"/>
    <w:rPr>
      <w:rFonts w:ascii="黑体" w:hAnsi="黑体" w:eastAsia="黑体"/>
      <w:kern w:val="2"/>
      <w:sz w:val="30"/>
      <w:szCs w:val="30"/>
      <w:shd w:val="clear" w:color="auto" w:fill="FFFFFF"/>
    </w:rPr>
  </w:style>
  <w:style w:type="paragraph" w:customStyle="1" w:styleId="230">
    <w:name w:val="pan3"/>
    <w:basedOn w:val="85"/>
    <w:link w:val="231"/>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31">
    <w:name w:val="pan3 Char"/>
    <w:link w:val="230"/>
    <w:qFormat/>
    <w:uiPriority w:val="0"/>
    <w:rPr>
      <w:rFonts w:ascii="黑体" w:hAnsi="黑体" w:eastAsia="黑体"/>
      <w:kern w:val="2"/>
      <w:sz w:val="28"/>
      <w:szCs w:val="28"/>
      <w:shd w:val="clear" w:color="auto" w:fill="FFFFFF"/>
    </w:rPr>
  </w:style>
  <w:style w:type="paragraph" w:customStyle="1" w:styleId="232">
    <w:name w:val="pan4"/>
    <w:basedOn w:val="85"/>
    <w:link w:val="233"/>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33">
    <w:name w:val="pan4 Char"/>
    <w:link w:val="232"/>
    <w:qFormat/>
    <w:uiPriority w:val="0"/>
    <w:rPr>
      <w:rFonts w:ascii="黑体" w:hAnsi="黑体" w:eastAsia="黑体"/>
      <w:kern w:val="2"/>
      <w:sz w:val="28"/>
      <w:szCs w:val="28"/>
      <w:shd w:val="clear" w:color="auto" w:fill="FFFFFF"/>
    </w:rPr>
  </w:style>
  <w:style w:type="paragraph" w:customStyle="1" w:styleId="234">
    <w:name w:val="pan5"/>
    <w:basedOn w:val="85"/>
    <w:link w:val="235"/>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35">
    <w:name w:val="pan5 Char"/>
    <w:link w:val="234"/>
    <w:qFormat/>
    <w:uiPriority w:val="0"/>
    <w:rPr>
      <w:rFonts w:ascii="黑体" w:hAnsi="黑体" w:eastAsia="黑体"/>
      <w:kern w:val="2"/>
      <w:sz w:val="24"/>
      <w:szCs w:val="24"/>
      <w:shd w:val="clear" w:color="auto" w:fill="FFFFFF"/>
    </w:rPr>
  </w:style>
  <w:style w:type="paragraph" w:customStyle="1" w:styleId="236">
    <w:name w:val="一级标题"/>
    <w:basedOn w:val="85"/>
    <w:link w:val="238"/>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7">
    <w:name w:val="二级标题"/>
    <w:basedOn w:val="85"/>
    <w:link w:val="240"/>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8">
    <w:name w:val="一级标题 Char"/>
    <w:link w:val="236"/>
    <w:qFormat/>
    <w:uiPriority w:val="0"/>
    <w:rPr>
      <w:rFonts w:ascii="黑体" w:hAnsi="黑体" w:eastAsia="黑体"/>
      <w:kern w:val="2"/>
      <w:sz w:val="44"/>
      <w:szCs w:val="44"/>
      <w:shd w:val="clear" w:color="auto" w:fill="FFFFFF"/>
    </w:rPr>
  </w:style>
  <w:style w:type="paragraph" w:customStyle="1" w:styleId="239">
    <w:name w:val="三级标题"/>
    <w:basedOn w:val="85"/>
    <w:link w:val="242"/>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40">
    <w:name w:val="二级标题 Char"/>
    <w:link w:val="237"/>
    <w:qFormat/>
    <w:uiPriority w:val="0"/>
    <w:rPr>
      <w:rFonts w:ascii="黑体" w:hAnsi="黑体" w:eastAsia="黑体"/>
      <w:kern w:val="2"/>
      <w:sz w:val="36"/>
      <w:szCs w:val="36"/>
      <w:shd w:val="clear" w:color="auto" w:fill="FFFFFF"/>
    </w:rPr>
  </w:style>
  <w:style w:type="paragraph" w:customStyle="1" w:styleId="241">
    <w:name w:val="四级标题"/>
    <w:basedOn w:val="85"/>
    <w:link w:val="244"/>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42">
    <w:name w:val="三级标题 Char"/>
    <w:link w:val="239"/>
    <w:qFormat/>
    <w:uiPriority w:val="0"/>
    <w:rPr>
      <w:rFonts w:ascii="黑体" w:hAnsi="黑体" w:eastAsia="黑体"/>
      <w:kern w:val="2"/>
      <w:sz w:val="32"/>
      <w:szCs w:val="32"/>
      <w:shd w:val="clear" w:color="auto" w:fill="FFFFFF"/>
    </w:rPr>
  </w:style>
  <w:style w:type="paragraph" w:customStyle="1" w:styleId="243">
    <w:name w:val="五级标题"/>
    <w:basedOn w:val="85"/>
    <w:link w:val="245"/>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44">
    <w:name w:val="四级标题 Char"/>
    <w:link w:val="241"/>
    <w:qFormat/>
    <w:uiPriority w:val="0"/>
    <w:rPr>
      <w:rFonts w:ascii="黑体" w:hAnsi="黑体" w:eastAsia="黑体"/>
      <w:kern w:val="2"/>
      <w:sz w:val="30"/>
      <w:szCs w:val="30"/>
      <w:shd w:val="clear" w:color="auto" w:fill="FFFFFF"/>
    </w:rPr>
  </w:style>
  <w:style w:type="character" w:customStyle="1" w:styleId="245">
    <w:name w:val="五级标题 Char"/>
    <w:link w:val="243"/>
    <w:qFormat/>
    <w:uiPriority w:val="0"/>
    <w:rPr>
      <w:rFonts w:ascii="黑体" w:hAnsi="黑体" w:eastAsia="黑体"/>
      <w:kern w:val="2"/>
      <w:sz w:val="28"/>
      <w:szCs w:val="28"/>
      <w:shd w:val="clear" w:color="auto" w:fill="FFFFFF"/>
    </w:rPr>
  </w:style>
  <w:style w:type="paragraph" w:customStyle="1" w:styleId="246">
    <w:name w:val="图片"/>
    <w:basedOn w:val="1"/>
    <w:link w:val="248"/>
    <w:qFormat/>
    <w:uiPriority w:val="0"/>
    <w:pPr>
      <w:ind w:firstLine="200" w:firstLineChars="200"/>
      <w:jc w:val="center"/>
    </w:pPr>
    <w:rPr>
      <w:rFonts w:cs="Times New Roman"/>
      <w:kern w:val="2"/>
      <w:sz w:val="24"/>
    </w:rPr>
  </w:style>
  <w:style w:type="paragraph" w:customStyle="1" w:styleId="247">
    <w:name w:val="图片注释"/>
    <w:basedOn w:val="1"/>
    <w:link w:val="249"/>
    <w:qFormat/>
    <w:uiPriority w:val="0"/>
    <w:pPr>
      <w:spacing w:afterLines="25"/>
      <w:ind w:firstLine="200" w:firstLineChars="200"/>
      <w:jc w:val="center"/>
    </w:pPr>
    <w:rPr>
      <w:rFonts w:cs="Times New Roman"/>
      <w:kern w:val="2"/>
      <w:sz w:val="24"/>
      <w:u w:val="single"/>
    </w:rPr>
  </w:style>
  <w:style w:type="character" w:customStyle="1" w:styleId="248">
    <w:name w:val="图片 Char"/>
    <w:link w:val="246"/>
    <w:qFormat/>
    <w:uiPriority w:val="0"/>
    <w:rPr>
      <w:rFonts w:ascii="宋体" w:hAnsi="宋体"/>
      <w:kern w:val="2"/>
      <w:sz w:val="24"/>
      <w:szCs w:val="24"/>
    </w:rPr>
  </w:style>
  <w:style w:type="character" w:customStyle="1" w:styleId="249">
    <w:name w:val="图片注释 Char"/>
    <w:link w:val="247"/>
    <w:qFormat/>
    <w:uiPriority w:val="0"/>
    <w:rPr>
      <w:rFonts w:ascii="宋体" w:hAnsi="宋体"/>
      <w:kern w:val="2"/>
      <w:sz w:val="24"/>
      <w:szCs w:val="24"/>
      <w:u w:val="single"/>
    </w:rPr>
  </w:style>
  <w:style w:type="paragraph" w:customStyle="1" w:styleId="250">
    <w:name w:val="段内层标"/>
    <w:basedOn w:val="138"/>
    <w:link w:val="251"/>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1">
    <w:name w:val="段内层标 Char"/>
    <w:link w:val="250"/>
    <w:qFormat/>
    <w:uiPriority w:val="0"/>
    <w:rPr>
      <w:rFonts w:ascii="宋体" w:hAnsi="宋体"/>
      <w:b/>
      <w:kern w:val="2"/>
      <w:sz w:val="28"/>
      <w:szCs w:val="28"/>
      <w:shd w:val="clear" w:color="auto" w:fill="FFFFFF"/>
    </w:rPr>
  </w:style>
  <w:style w:type="paragraph" w:customStyle="1" w:styleId="252">
    <w:name w:val="方案设计1级标题"/>
    <w:basedOn w:val="85"/>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53">
    <w:name w:val="方案设计2级标题"/>
    <w:basedOn w:val="85"/>
    <w:qFormat/>
    <w:uiPriority w:val="0"/>
    <w:pPr>
      <w:numPr>
        <w:ilvl w:val="1"/>
        <w:numId w:val="17"/>
      </w:numPr>
      <w:ind w:firstLine="0" w:firstLineChars="0"/>
      <w:outlineLvl w:val="1"/>
    </w:pPr>
    <w:rPr>
      <w:rFonts w:ascii="黑体" w:hAnsi="黑体" w:eastAsia="黑体"/>
      <w:sz w:val="32"/>
      <w:szCs w:val="32"/>
    </w:rPr>
  </w:style>
  <w:style w:type="paragraph" w:customStyle="1" w:styleId="254">
    <w:name w:val="标题3"/>
    <w:basedOn w:val="85"/>
    <w:link w:val="259"/>
    <w:qFormat/>
    <w:uiPriority w:val="0"/>
    <w:pPr>
      <w:numPr>
        <w:ilvl w:val="2"/>
        <w:numId w:val="17"/>
      </w:numPr>
      <w:ind w:firstLine="0" w:firstLineChars="0"/>
      <w:outlineLvl w:val="2"/>
    </w:pPr>
    <w:rPr>
      <w:rFonts w:ascii="黑体" w:hAnsi="黑体" w:eastAsia="黑体"/>
      <w:sz w:val="28"/>
      <w:szCs w:val="28"/>
    </w:rPr>
  </w:style>
  <w:style w:type="paragraph" w:customStyle="1" w:styleId="255">
    <w:name w:val="标题5"/>
    <w:basedOn w:val="85"/>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6">
    <w:name w:val="正文标题"/>
    <w:basedOn w:val="1"/>
    <w:link w:val="257"/>
    <w:qFormat/>
    <w:uiPriority w:val="0"/>
    <w:pPr>
      <w:numPr>
        <w:ilvl w:val="0"/>
        <w:numId w:val="17"/>
      </w:numPr>
      <w:ind w:firstLine="200" w:firstLineChars="200"/>
    </w:pPr>
    <w:rPr>
      <w:rFonts w:ascii="Calibri" w:hAnsi="Calibri" w:cs="Times New Roman"/>
      <w:b/>
      <w:kern w:val="2"/>
      <w:sz w:val="28"/>
      <w:szCs w:val="28"/>
    </w:rPr>
  </w:style>
  <w:style w:type="character" w:customStyle="1" w:styleId="257">
    <w:name w:val="正文标题 Char"/>
    <w:link w:val="256"/>
    <w:qFormat/>
    <w:uiPriority w:val="0"/>
    <w:rPr>
      <w:rFonts w:ascii="Calibri" w:hAnsi="Calibri"/>
      <w:b/>
      <w:kern w:val="2"/>
      <w:sz w:val="28"/>
      <w:szCs w:val="28"/>
      <w:shd w:val="clear" w:color="auto" w:fill="FFFFFF"/>
    </w:rPr>
  </w:style>
  <w:style w:type="character" w:customStyle="1" w:styleId="258">
    <w:name w:val="批注主题 Char"/>
    <w:link w:val="43"/>
    <w:qFormat/>
    <w:uiPriority w:val="0"/>
    <w:rPr>
      <w:b/>
      <w:bCs/>
      <w:kern w:val="2"/>
      <w:sz w:val="21"/>
      <w:szCs w:val="24"/>
    </w:rPr>
  </w:style>
  <w:style w:type="character" w:customStyle="1" w:styleId="259">
    <w:name w:val="标题3 Char"/>
    <w:link w:val="254"/>
    <w:qFormat/>
    <w:uiPriority w:val="0"/>
    <w:rPr>
      <w:rFonts w:ascii="黑体" w:hAnsi="黑体" w:eastAsia="黑体"/>
      <w:kern w:val="2"/>
      <w:sz w:val="28"/>
      <w:szCs w:val="28"/>
      <w:shd w:val="clear" w:color="auto" w:fill="FFFFFF"/>
    </w:rPr>
  </w:style>
  <w:style w:type="paragraph" w:customStyle="1" w:styleId="260">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61">
    <w:name w:val="层标"/>
    <w:basedOn w:val="138"/>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b/>
      <w:kern w:val="2"/>
      <w:sz w:val="28"/>
      <w:szCs w:val="28"/>
      <w:shd w:val="clear" w:color="auto" w:fill="FFFFFF"/>
    </w:rPr>
  </w:style>
  <w:style w:type="paragraph" w:customStyle="1" w:styleId="263">
    <w:name w:val="Quote_60211b13-f48c-4db9-8be3-2f90d360c43b"/>
    <w:basedOn w:val="1"/>
    <w:next w:val="1"/>
    <w:link w:val="264"/>
    <w:qFormat/>
    <w:uiPriority w:val="29"/>
    <w:pPr>
      <w:jc w:val="center"/>
    </w:pPr>
    <w:rPr>
      <w:rFonts w:ascii="Times New Roman" w:hAnsi="Times New Roman" w:cs="Times New Roman"/>
      <w:iCs/>
      <w:color w:val="000000"/>
      <w:kern w:val="2"/>
      <w:sz w:val="24"/>
    </w:rPr>
  </w:style>
  <w:style w:type="character" w:customStyle="1" w:styleId="264">
    <w:name w:val="引用 Char"/>
    <w:link w:val="263"/>
    <w:qFormat/>
    <w:uiPriority w:val="29"/>
    <w:rPr>
      <w:iCs/>
      <w:color w:val="000000"/>
      <w:kern w:val="2"/>
      <w:sz w:val="24"/>
      <w:szCs w:val="24"/>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numPr>
        <w:ilvl w:val="0"/>
        <w:numId w:val="19"/>
      </w:numPr>
      <w:ind w:left="0" w:firstLine="420"/>
    </w:pPr>
    <w:rPr>
      <w:rFonts w:ascii="Times New Roman" w:hAnsi="Times New Roman" w:cs="Times New Roman"/>
      <w:b/>
      <w:kern w:val="2"/>
      <w:sz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b/>
      <w:kern w:val="2"/>
      <w:sz w:val="24"/>
      <w:szCs w:val="24"/>
      <w:shd w:val="clear" w:color="auto" w:fill="FFFFFF"/>
    </w:rPr>
  </w:style>
  <w:style w:type="paragraph" w:customStyle="1" w:styleId="269">
    <w:name w:val="段内主题"/>
    <w:basedOn w:val="1"/>
    <w:link w:val="271"/>
    <w:qFormat/>
    <w:uiPriority w:val="0"/>
    <w:pPr>
      <w:numPr>
        <w:ilvl w:val="1"/>
        <w:numId w:val="20"/>
      </w:numPr>
      <w:ind w:firstLine="0"/>
    </w:pPr>
    <w:rPr>
      <w:rFonts w:cs="Times New Roman"/>
      <w:b/>
      <w:kern w:val="2"/>
      <w:sz w:val="24"/>
    </w:rPr>
  </w:style>
  <w:style w:type="paragraph" w:customStyle="1" w:styleId="270">
    <w:name w:val="图片注释新"/>
    <w:basedOn w:val="247"/>
    <w:link w:val="272"/>
    <w:qFormat/>
    <w:uiPriority w:val="0"/>
    <w:pPr>
      <w:spacing w:after="81"/>
      <w:ind w:firstLine="0" w:firstLineChars="0"/>
    </w:pPr>
  </w:style>
  <w:style w:type="character" w:customStyle="1" w:styleId="271">
    <w:name w:val="段内主题 Char"/>
    <w:link w:val="269"/>
    <w:qFormat/>
    <w:uiPriority w:val="0"/>
    <w:rPr>
      <w:rFonts w:ascii="宋体" w:hAnsi="宋体"/>
      <w:b/>
      <w:kern w:val="2"/>
      <w:sz w:val="24"/>
      <w:szCs w:val="24"/>
      <w:shd w:val="clear" w:color="auto" w:fill="FFFFFF"/>
    </w:rPr>
  </w:style>
  <w:style w:type="character" w:customStyle="1" w:styleId="272">
    <w:name w:val="图片注释新 Char"/>
    <w:link w:val="270"/>
    <w:qFormat/>
    <w:uiPriority w:val="0"/>
    <w:rPr>
      <w:rFonts w:ascii="宋体" w:hAnsi="宋体"/>
      <w:kern w:val="2"/>
      <w:sz w:val="24"/>
      <w:szCs w:val="24"/>
      <w:u w:val="single"/>
    </w:rPr>
  </w:style>
  <w:style w:type="paragraph" w:customStyle="1" w:styleId="273">
    <w:name w:val="正文（缩进）"/>
    <w:basedOn w:val="1"/>
    <w:link w:val="274"/>
    <w:qFormat/>
    <w:uiPriority w:val="0"/>
    <w:pPr>
      <w:spacing w:beforeLines="50" w:afterLines="50"/>
      <w:ind w:firstLine="480" w:firstLineChars="200"/>
    </w:pPr>
    <w:rPr>
      <w:rFonts w:ascii="Times New Roman" w:hAnsi="Times New Roman" w:cs="Times New Roman"/>
      <w:sz w:val="24"/>
    </w:rPr>
  </w:style>
  <w:style w:type="character" w:customStyle="1" w:styleId="274">
    <w:name w:val="正文（缩进） Char"/>
    <w:link w:val="273"/>
    <w:qFormat/>
    <w:uiPriority w:val="0"/>
    <w:rPr>
      <w:sz w:val="24"/>
      <w:szCs w:val="24"/>
    </w:rPr>
  </w:style>
  <w:style w:type="character" w:customStyle="1" w:styleId="275">
    <w:name w:val="Char Char4"/>
    <w:qFormat/>
    <w:uiPriority w:val="0"/>
    <w:rPr>
      <w:rFonts w:eastAsia="宋体"/>
      <w:b/>
      <w:kern w:val="2"/>
      <w:sz w:val="24"/>
      <w:lang w:val="en-US" w:eastAsia="zh-CN" w:bidi="ar-SA"/>
    </w:rPr>
  </w:style>
  <w:style w:type="character" w:customStyle="1" w:styleId="276">
    <w:name w:val="正文文本缩进 3 Char"/>
    <w:link w:val="35"/>
    <w:qFormat/>
    <w:uiPriority w:val="0"/>
    <w:rPr>
      <w:rFonts w:ascii="宋体"/>
      <w:b/>
      <w:bCs/>
      <w:kern w:val="2"/>
      <w:sz w:val="24"/>
      <w:szCs w:val="24"/>
    </w:rPr>
  </w:style>
  <w:style w:type="paragraph" w:customStyle="1" w:styleId="277">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8">
    <w:name w:val="pa-2"/>
    <w:basedOn w:val="1"/>
    <w:qFormat/>
    <w:uiPriority w:val="0"/>
    <w:pPr>
      <w:spacing w:before="100" w:beforeAutospacing="1" w:after="100" w:afterAutospacing="1"/>
      <w:jc w:val="left"/>
    </w:pPr>
    <w:rPr>
      <w:sz w:val="24"/>
    </w:rPr>
  </w:style>
  <w:style w:type="character" w:customStyle="1" w:styleId="279">
    <w:name w:val="HTML 预设格式 Char"/>
    <w:link w:val="39"/>
    <w:qFormat/>
    <w:uiPriority w:val="0"/>
    <w:rPr>
      <w:rFonts w:ascii="Arial Unicode MS" w:hAnsi="Arial Unicode MS" w:eastAsia="Arial Unicode MS"/>
      <w:color w:val="000000"/>
    </w:rPr>
  </w:style>
  <w:style w:type="character" w:customStyle="1" w:styleId="280">
    <w:name w:val="正文文本 2 Char"/>
    <w:link w:val="38"/>
    <w:qFormat/>
    <w:uiPriority w:val="0"/>
    <w:rPr>
      <w:kern w:val="2"/>
      <w:sz w:val="24"/>
      <w:szCs w:val="24"/>
    </w:rPr>
  </w:style>
  <w:style w:type="character" w:customStyle="1" w:styleId="281">
    <w:name w:val="正文文本 3 Char"/>
    <w:link w:val="20"/>
    <w:qFormat/>
    <w:uiPriority w:val="0"/>
    <w:rPr>
      <w:kern w:val="2"/>
      <w:sz w:val="16"/>
      <w:szCs w:val="16"/>
    </w:rPr>
  </w:style>
  <w:style w:type="paragraph" w:customStyle="1" w:styleId="282">
    <w:name w:val="方案正文段落"/>
    <w:basedOn w:val="1"/>
    <w:link w:val="283"/>
    <w:qFormat/>
    <w:uiPriority w:val="0"/>
    <w:pPr>
      <w:ind w:firstLine="420" w:firstLineChars="200"/>
    </w:pPr>
    <w:rPr>
      <w:rFonts w:ascii="Times New Roman" w:hAnsi="Times New Roman" w:cs="Times New Roman"/>
      <w:kern w:val="2"/>
      <w:szCs w:val="20"/>
    </w:rPr>
  </w:style>
  <w:style w:type="character" w:customStyle="1" w:styleId="283">
    <w:name w:val="方案正文段落 Char"/>
    <w:link w:val="282"/>
    <w:qFormat/>
    <w:uiPriority w:val="0"/>
    <w:rPr>
      <w:kern w:val="2"/>
      <w:sz w:val="21"/>
    </w:rPr>
  </w:style>
  <w:style w:type="paragraph" w:customStyle="1" w:styleId="284">
    <w:name w:val="修订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5">
    <w:name w:val="模板正文"/>
    <w:basedOn w:val="1"/>
    <w:link w:val="286"/>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86">
    <w:name w:val="模板正文 Char"/>
    <w:link w:val="285"/>
    <w:qFormat/>
    <w:uiPriority w:val="0"/>
    <w:rPr>
      <w:rFonts w:eastAsia="仿宋_GB2312"/>
      <w:sz w:val="28"/>
      <w:szCs w:val="21"/>
    </w:rPr>
  </w:style>
  <w:style w:type="paragraph" w:customStyle="1" w:styleId="287">
    <w:name w:val="List Paragraph_4d785864-4be7-41f0-8ef2-3e0d6a7161e2"/>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9">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90">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91">
    <w:name w:val="fielderror"/>
    <w:basedOn w:val="47"/>
    <w:qFormat/>
    <w:uiPriority w:val="0"/>
    <w:rPr>
      <w:color w:val="800000"/>
    </w:rPr>
  </w:style>
  <w:style w:type="character" w:customStyle="1" w:styleId="292">
    <w:name w:val="active6"/>
    <w:basedOn w:val="47"/>
    <w:qFormat/>
    <w:uiPriority w:val="0"/>
    <w:rPr>
      <w:color w:val="FFFFFF"/>
    </w:rPr>
  </w:style>
  <w:style w:type="character" w:customStyle="1" w:styleId="293">
    <w:name w:val="hilite6"/>
    <w:basedOn w:val="47"/>
    <w:qFormat/>
    <w:uiPriority w:val="0"/>
    <w:rPr>
      <w:color w:val="000000"/>
    </w:rPr>
  </w:style>
  <w:style w:type="paragraph" w:customStyle="1" w:styleId="294">
    <w:name w:val="temp2"/>
    <w:basedOn w:val="1"/>
    <w:uiPriority w:val="0"/>
    <w:pPr>
      <w:jc w:val="left"/>
    </w:pPr>
    <w:rPr>
      <w:color w:val="A6A7A7"/>
    </w:rPr>
  </w:style>
  <w:style w:type="character" w:customStyle="1" w:styleId="295">
    <w:name w:val="printico"/>
    <w:basedOn w:val="47"/>
    <w:uiPriority w:val="0"/>
    <w:rPr>
      <w:color w:val="ADAEAF"/>
    </w:rPr>
  </w:style>
  <w:style w:type="character" w:customStyle="1" w:styleId="296">
    <w:name w:val="bg1"/>
    <w:basedOn w:val="47"/>
    <w:qFormat/>
    <w:uiPriority w:val="0"/>
    <w:rPr>
      <w:color w:val="FFFFFF"/>
      <w:shd w:val="clear" w:color="auto" w:fill="4975D4"/>
    </w:rPr>
  </w:style>
  <w:style w:type="character" w:customStyle="1" w:styleId="297">
    <w:name w:val="red-s"/>
    <w:basedOn w:val="47"/>
    <w:qFormat/>
    <w:uiPriority w:val="0"/>
    <w:rPr>
      <w:color w:val="EA2E2E"/>
    </w:rPr>
  </w:style>
  <w:style w:type="character" w:customStyle="1" w:styleId="298">
    <w:name w:val="green-s"/>
    <w:basedOn w:val="47"/>
    <w:qFormat/>
    <w:uiPriority w:val="0"/>
    <w:rPr>
      <w:color w:val="00BA12"/>
    </w:rPr>
  </w:style>
  <w:style w:type="character" w:customStyle="1" w:styleId="299">
    <w:name w:val="blue-s"/>
    <w:basedOn w:val="47"/>
    <w:qFormat/>
    <w:uiPriority w:val="0"/>
    <w:rPr>
      <w:color w:val="007BDE"/>
    </w:rPr>
  </w:style>
  <w:style w:type="character" w:customStyle="1" w:styleId="300">
    <w:name w:val="on6"/>
    <w:basedOn w:val="47"/>
    <w:qFormat/>
    <w:uiPriority w:val="0"/>
  </w:style>
  <w:style w:type="character" w:customStyle="1" w:styleId="301">
    <w:name w:val="font21"/>
    <w:basedOn w:val="47"/>
    <w:qFormat/>
    <w:uiPriority w:val="0"/>
    <w:rPr>
      <w:rFonts w:hint="eastAsia" w:ascii="宋体" w:hAnsi="宋体" w:eastAsia="宋体" w:cs="宋体"/>
      <w:color w:val="000000"/>
      <w:sz w:val="22"/>
      <w:szCs w:val="22"/>
      <w:u w:val="none"/>
    </w:rPr>
  </w:style>
  <w:style w:type="character" w:customStyle="1" w:styleId="302">
    <w:name w:val="font01"/>
    <w:basedOn w:val="47"/>
    <w:qFormat/>
    <w:uiPriority w:val="0"/>
    <w:rPr>
      <w:rFonts w:ascii="font-weight : 400" w:hAnsi="font-weight : 400" w:eastAsia="font-weight : 400" w:cs="font-weight : 400"/>
      <w:color w:val="000000"/>
      <w:sz w:val="22"/>
      <w:szCs w:val="22"/>
      <w:u w:val="none"/>
    </w:rPr>
  </w:style>
  <w:style w:type="character" w:customStyle="1" w:styleId="303">
    <w:name w:val="font61"/>
    <w:basedOn w:val="47"/>
    <w:qFormat/>
    <w:uiPriority w:val="0"/>
    <w:rPr>
      <w:rFonts w:hint="eastAsia" w:ascii="宋体" w:hAnsi="宋体" w:eastAsia="宋体" w:cs="宋体"/>
      <w:color w:val="000000"/>
      <w:sz w:val="21"/>
      <w:szCs w:val="21"/>
      <w:u w:val="none"/>
    </w:rPr>
  </w:style>
  <w:style w:type="paragraph" w:customStyle="1" w:styleId="304">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5">
    <w:name w:val="List Paragraph"/>
    <w:basedOn w:val="1"/>
    <w:qFormat/>
    <w:uiPriority w:val="0"/>
    <w:pPr>
      <w:ind w:firstLine="420" w:firstLineChars="200"/>
    </w:pPr>
  </w:style>
  <w:style w:type="character" w:customStyle="1" w:styleId="306">
    <w:name w:val="inline-help"/>
    <w:basedOn w:val="4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4.xml"/><Relationship Id="rId37" Type="http://schemas.openxmlformats.org/officeDocument/2006/relationships/customXml" Target="../customXml/item3.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30989-AF5F-42CA-A7AC-2FA2090500D4}">
  <ds:schemaRefs/>
</ds:datastoreItem>
</file>

<file path=customXml/itemProps3.xml><?xml version="1.0" encoding="utf-8"?>
<ds:datastoreItem xmlns:ds="http://schemas.openxmlformats.org/officeDocument/2006/customXml" ds:itemID="{EE222F7D-8851-4E50-8FA2-ED5614AB40BD}">
  <ds:schemaRefs/>
</ds:datastoreItem>
</file>

<file path=customXml/itemProps4.xml><?xml version="1.0" encoding="utf-8"?>
<ds:datastoreItem xmlns:ds="http://schemas.openxmlformats.org/officeDocument/2006/customXml" ds:itemID="{5F3E9A09-EDEB-41C0-A50E-5CFB6CB71B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8351</Words>
  <Characters>47605</Characters>
  <Lines>396</Lines>
  <Paragraphs>111</Paragraphs>
  <TotalTime>13</TotalTime>
  <ScaleCrop>false</ScaleCrop>
  <LinksUpToDate>false</LinksUpToDate>
  <CharactersWithSpaces>55845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2019-10-18T07:26:00Z</cp:lastPrinted>
  <dcterms:modified xsi:type="dcterms:W3CDTF">2019-10-21T06:44:59Z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