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highlight w:val="none"/>
        </w:rPr>
      </w:pPr>
    </w:p>
    <w:p>
      <w:pPr>
        <w:tabs>
          <w:tab w:val="clear" w:pos="426"/>
        </w:tabs>
        <w:rPr>
          <w:highlight w:val="none"/>
        </w:rPr>
      </w:pPr>
    </w:p>
    <w:p>
      <w:pPr>
        <w:tabs>
          <w:tab w:val="clear" w:pos="426"/>
        </w:tabs>
        <w:jc w:val="right"/>
        <w:rPr>
          <w:b/>
          <w:highlight w:val="none"/>
          <w:u w:val="single"/>
        </w:rPr>
      </w:pPr>
      <w:r>
        <w:rPr>
          <w:rFonts w:hint="eastAsia"/>
          <w:highlight w:val="none"/>
        </w:rPr>
        <w:t xml:space="preserve">                                                     项目编号：</w:t>
      </w:r>
      <w:r>
        <w:rPr>
          <w:b/>
          <w:highlight w:val="none"/>
          <w:u w:val="single"/>
        </w:rPr>
        <w:t>SSZX2024-205</w:t>
      </w: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公开招标</w:t>
      </w: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eastAsia="黑体" w:cs="Arial"/>
          <w:sz w:val="52"/>
          <w:szCs w:val="52"/>
          <w:highlight w:val="none"/>
        </w:rPr>
      </w:pPr>
      <w:r>
        <w:rPr>
          <w:rFonts w:hint="eastAsia" w:ascii="黑体" w:eastAsia="黑体" w:cs="Arial"/>
          <w:sz w:val="52"/>
          <w:szCs w:val="52"/>
          <w:highlight w:val="none"/>
        </w:rPr>
        <w:t>【服务类】</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798" w:leftChars="142" w:hanging="1500" w:hangingChars="500"/>
        <w:rPr>
          <w:rFonts w:cs="Times New Roman"/>
          <w:kern w:val="2"/>
          <w:sz w:val="30"/>
          <w:szCs w:val="20"/>
          <w:highlight w:val="none"/>
        </w:rPr>
      </w:pPr>
      <w:r>
        <w:rPr>
          <w:rFonts w:hint="eastAsia" w:cs="Times New Roman"/>
          <w:kern w:val="2"/>
          <w:sz w:val="30"/>
          <w:szCs w:val="20"/>
          <w:highlight w:val="none"/>
        </w:rPr>
        <w:t>项目名称：</w:t>
      </w:r>
      <w:r>
        <w:rPr>
          <w:rFonts w:hint="eastAsia" w:cs="Times New Roman"/>
          <w:kern w:val="2"/>
          <w:sz w:val="30"/>
          <w:szCs w:val="20"/>
          <w:highlight w:val="none"/>
          <w:u w:val="single"/>
        </w:rPr>
        <w:t>广东省深圳市消防救援支队2024年度机关食堂配送服务采购项目</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rPr>
        <w:t>深圳市消防救援支队</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深圳市深水水务咨询有限公司</w:t>
      </w: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u w:val="single"/>
        </w:rPr>
      </w:pPr>
    </w:p>
    <w:p>
      <w:pPr>
        <w:widowControl w:val="0"/>
        <w:shd w:val="clear" w:color="auto" w:fill="auto"/>
        <w:tabs>
          <w:tab w:val="clear" w:pos="426"/>
        </w:tabs>
        <w:adjustRightInd/>
        <w:snapToGrid/>
        <w:spacing w:line="300" w:lineRule="auto"/>
        <w:ind w:left="1503" w:leftChars="142" w:hanging="1205" w:hangingChars="400"/>
        <w:jc w:val="center"/>
        <w:rPr>
          <w:b/>
          <w:bCs/>
          <w:highlight w:val="none"/>
        </w:rPr>
      </w:pPr>
      <w:r>
        <w:rPr>
          <w:rFonts w:hint="eastAsia" w:cs="Times New Roman"/>
          <w:b/>
          <w:bCs/>
          <w:kern w:val="2"/>
          <w:sz w:val="30"/>
          <w:szCs w:val="20"/>
          <w:highlight w:val="none"/>
        </w:rPr>
        <w:t>2024年</w:t>
      </w:r>
      <w:r>
        <w:rPr>
          <w:rFonts w:hint="eastAsia" w:cs="Times New Roman"/>
          <w:b/>
          <w:bCs/>
          <w:kern w:val="2"/>
          <w:sz w:val="30"/>
          <w:szCs w:val="20"/>
          <w:highlight w:val="none"/>
          <w:lang w:val="en-US" w:eastAsia="zh-CN"/>
        </w:rPr>
        <w:t>7</w:t>
      </w:r>
      <w:r>
        <w:rPr>
          <w:rFonts w:hint="eastAsia" w:cs="Times New Roman"/>
          <w:b/>
          <w:bCs/>
          <w:kern w:val="2"/>
          <w:sz w:val="30"/>
          <w:szCs w:val="20"/>
          <w:highlight w:val="none"/>
        </w:rPr>
        <w:t>月</w:t>
      </w:r>
    </w:p>
    <w:p>
      <w:pPr>
        <w:tabs>
          <w:tab w:val="clear" w:pos="426"/>
        </w:tabs>
        <w:jc w:val="center"/>
        <w:rPr>
          <w:b/>
          <w:sz w:val="32"/>
          <w:szCs w:val="32"/>
          <w:highlight w:val="none"/>
        </w:rPr>
      </w:pPr>
      <w:r>
        <w:rPr>
          <w:highlight w:val="none"/>
        </w:rPr>
        <w:br w:type="page"/>
      </w:r>
      <w:r>
        <w:rPr>
          <w:rFonts w:hint="eastAsia"/>
          <w:b/>
          <w:sz w:val="32"/>
          <w:szCs w:val="32"/>
          <w:highlight w:val="none"/>
        </w:rPr>
        <w:t>目      录</w:t>
      </w:r>
    </w:p>
    <w:p>
      <w:pPr>
        <w:tabs>
          <w:tab w:val="clear" w:pos="426"/>
        </w:tabs>
        <w:jc w:val="center"/>
        <w:rPr>
          <w:sz w:val="32"/>
          <w:szCs w:val="32"/>
          <w:highlight w:val="none"/>
        </w:rPr>
      </w:pP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"_Toc152759215" </w:instrText>
      </w:r>
      <w:r>
        <w:rPr>
          <w:highlight w:val="none"/>
        </w:rPr>
        <w:fldChar w:fldCharType="separate"/>
      </w:r>
      <w:r>
        <w:rPr>
          <w:rStyle w:val="98"/>
          <w:color w:val="auto"/>
          <w:highlight w:val="none"/>
        </w:rPr>
        <w:t>项目关键信息</w:t>
      </w:r>
      <w:r>
        <w:rPr>
          <w:highlight w:val="none"/>
        </w:rPr>
        <w:tab/>
      </w:r>
      <w:r>
        <w:rPr>
          <w:highlight w:val="none"/>
        </w:rPr>
        <w:fldChar w:fldCharType="begin"/>
      </w:r>
      <w:r>
        <w:rPr>
          <w:highlight w:val="none"/>
        </w:rPr>
        <w:instrText xml:space="preserve"> PAGEREF _Toc152759215 \h </w:instrText>
      </w:r>
      <w:r>
        <w:rPr>
          <w:highlight w:val="none"/>
        </w:rPr>
        <w:fldChar w:fldCharType="separate"/>
      </w:r>
      <w:r>
        <w:rPr>
          <w:highlight w:val="none"/>
        </w:rPr>
        <w:t>1</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"_Toc152759216" </w:instrText>
      </w:r>
      <w:r>
        <w:rPr>
          <w:highlight w:val="none"/>
        </w:rPr>
        <w:fldChar w:fldCharType="separate"/>
      </w:r>
      <w:r>
        <w:rPr>
          <w:rStyle w:val="98"/>
          <w:color w:val="auto"/>
          <w:highlight w:val="none"/>
        </w:rPr>
        <w:t>资格、符合性评审条款</w:t>
      </w:r>
      <w:r>
        <w:rPr>
          <w:highlight w:val="none"/>
        </w:rPr>
        <w:tab/>
      </w:r>
      <w:r>
        <w:rPr>
          <w:highlight w:val="none"/>
        </w:rPr>
        <w:fldChar w:fldCharType="begin"/>
      </w:r>
      <w:r>
        <w:rPr>
          <w:highlight w:val="none"/>
        </w:rPr>
        <w:instrText xml:space="preserve"> PAGEREF _Toc152759216 \h </w:instrText>
      </w:r>
      <w:r>
        <w:rPr>
          <w:highlight w:val="none"/>
        </w:rPr>
        <w:fldChar w:fldCharType="separate"/>
      </w:r>
      <w:r>
        <w:rPr>
          <w:highlight w:val="none"/>
        </w:rPr>
        <w:t>2</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"_Toc152759217" </w:instrText>
      </w:r>
      <w:r>
        <w:rPr>
          <w:highlight w:val="none"/>
        </w:rPr>
        <w:fldChar w:fldCharType="separate"/>
      </w:r>
      <w:r>
        <w:rPr>
          <w:rStyle w:val="98"/>
          <w:color w:val="auto"/>
          <w:highlight w:val="none"/>
        </w:rPr>
        <w:t>评标信息</w:t>
      </w:r>
      <w:r>
        <w:rPr>
          <w:highlight w:val="none"/>
        </w:rPr>
        <w:tab/>
      </w:r>
      <w:r>
        <w:rPr>
          <w:highlight w:val="none"/>
        </w:rPr>
        <w:fldChar w:fldCharType="begin"/>
      </w:r>
      <w:r>
        <w:rPr>
          <w:highlight w:val="none"/>
        </w:rPr>
        <w:instrText xml:space="preserve"> PAGEREF _Toc152759217 \h </w:instrText>
      </w:r>
      <w:r>
        <w:rPr>
          <w:highlight w:val="none"/>
        </w:rPr>
        <w:fldChar w:fldCharType="separate"/>
      </w:r>
      <w:r>
        <w:rPr>
          <w:highlight w:val="none"/>
        </w:rPr>
        <w:t>3</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"_Toc152759218" </w:instrText>
      </w:r>
      <w:r>
        <w:rPr>
          <w:highlight w:val="none"/>
        </w:rPr>
        <w:fldChar w:fldCharType="separate"/>
      </w:r>
      <w:r>
        <w:rPr>
          <w:rStyle w:val="98"/>
          <w:color w:val="auto"/>
          <w:highlight w:val="none"/>
        </w:rPr>
        <w:t>评分细则表</w:t>
      </w:r>
      <w:r>
        <w:rPr>
          <w:highlight w:val="none"/>
        </w:rPr>
        <w:tab/>
      </w:r>
      <w:r>
        <w:rPr>
          <w:highlight w:val="none"/>
        </w:rPr>
        <w:fldChar w:fldCharType="begin"/>
      </w:r>
      <w:r>
        <w:rPr>
          <w:highlight w:val="none"/>
        </w:rPr>
        <w:instrText xml:space="preserve"> PAGEREF _Toc152759218 \h </w:instrText>
      </w:r>
      <w:r>
        <w:rPr>
          <w:highlight w:val="none"/>
        </w:rPr>
        <w:fldChar w:fldCharType="separate"/>
      </w:r>
      <w:r>
        <w:rPr>
          <w:highlight w:val="none"/>
        </w:rPr>
        <w:t>4</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"_Toc152759219" </w:instrText>
      </w:r>
      <w:r>
        <w:rPr>
          <w:highlight w:val="none"/>
        </w:rPr>
        <w:fldChar w:fldCharType="separate"/>
      </w:r>
      <w:r>
        <w:rPr>
          <w:rStyle w:val="98"/>
          <w:color w:val="auto"/>
          <w:highlight w:val="none"/>
        </w:rPr>
        <w:t>第一册</w:t>
      </w:r>
      <w:r>
        <w:rPr>
          <w:rStyle w:val="98"/>
          <w:rFonts w:hint="eastAsia"/>
          <w:color w:val="auto"/>
          <w:highlight w:val="none"/>
        </w:rPr>
        <w:t xml:space="preserve"> </w:t>
      </w:r>
      <w:r>
        <w:rPr>
          <w:rStyle w:val="98"/>
          <w:color w:val="auto"/>
          <w:highlight w:val="none"/>
        </w:rPr>
        <w:t>专用条款</w:t>
      </w:r>
      <w:r>
        <w:rPr>
          <w:highlight w:val="none"/>
        </w:rPr>
        <w:tab/>
      </w:r>
      <w:r>
        <w:rPr>
          <w:highlight w:val="none"/>
        </w:rPr>
        <w:fldChar w:fldCharType="begin"/>
      </w:r>
      <w:r>
        <w:rPr>
          <w:highlight w:val="none"/>
        </w:rPr>
        <w:instrText xml:space="preserve"> PAGEREF _Toc152759219 \h </w:instrText>
      </w:r>
      <w:r>
        <w:rPr>
          <w:highlight w:val="none"/>
        </w:rPr>
        <w:fldChar w:fldCharType="separate"/>
      </w:r>
      <w:r>
        <w:rPr>
          <w:highlight w:val="none"/>
        </w:rPr>
        <w:t>12</w:t>
      </w:r>
      <w:r>
        <w:rPr>
          <w:highlight w:val="none"/>
        </w:rPr>
        <w:fldChar w:fldCharType="end"/>
      </w:r>
      <w:r>
        <w:rPr>
          <w:highlight w:val="none"/>
        </w:rPr>
        <w:fldChar w:fldCharType="end"/>
      </w:r>
    </w:p>
    <w:p>
      <w:pPr>
        <w:pStyle w:val="71"/>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"_Toc152759220" </w:instrText>
      </w:r>
      <w:r>
        <w:rPr>
          <w:highlight w:val="none"/>
        </w:rPr>
        <w:fldChar w:fldCharType="separate"/>
      </w:r>
      <w:r>
        <w:rPr>
          <w:rStyle w:val="98"/>
          <w:color w:val="auto"/>
          <w:highlight w:val="none"/>
        </w:rPr>
        <w:t>第一章</w:t>
      </w:r>
      <w:r>
        <w:rPr>
          <w:rStyle w:val="98"/>
          <w:rFonts w:hint="eastAsia"/>
          <w:color w:val="auto"/>
          <w:highlight w:val="none"/>
        </w:rPr>
        <w:t xml:space="preserve"> </w:t>
      </w:r>
      <w:r>
        <w:rPr>
          <w:rStyle w:val="98"/>
          <w:color w:val="auto"/>
          <w:highlight w:val="none"/>
        </w:rPr>
        <w:t>招标公告</w:t>
      </w:r>
      <w:r>
        <w:rPr>
          <w:highlight w:val="none"/>
        </w:rPr>
        <w:tab/>
      </w:r>
      <w:r>
        <w:rPr>
          <w:highlight w:val="none"/>
        </w:rPr>
        <w:fldChar w:fldCharType="begin"/>
      </w:r>
      <w:r>
        <w:rPr>
          <w:highlight w:val="none"/>
        </w:rPr>
        <w:instrText xml:space="preserve"> PAGEREF _Toc152759220 \h </w:instrText>
      </w:r>
      <w:r>
        <w:rPr>
          <w:highlight w:val="none"/>
        </w:rPr>
        <w:fldChar w:fldCharType="separate"/>
      </w:r>
      <w:r>
        <w:rPr>
          <w:highlight w:val="none"/>
        </w:rPr>
        <w:t>12</w:t>
      </w:r>
      <w:r>
        <w:rPr>
          <w:highlight w:val="none"/>
        </w:rPr>
        <w:fldChar w:fldCharType="end"/>
      </w:r>
      <w:r>
        <w:rPr>
          <w:highlight w:val="none"/>
        </w:rPr>
        <w:fldChar w:fldCharType="end"/>
      </w:r>
    </w:p>
    <w:p>
      <w:pPr>
        <w:pStyle w:val="71"/>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"_Toc152759228" </w:instrText>
      </w:r>
      <w:r>
        <w:rPr>
          <w:highlight w:val="none"/>
        </w:rPr>
        <w:fldChar w:fldCharType="separate"/>
      </w:r>
      <w:r>
        <w:rPr>
          <w:rStyle w:val="98"/>
          <w:color w:val="auto"/>
          <w:highlight w:val="none"/>
        </w:rPr>
        <w:t>第二章</w:t>
      </w:r>
      <w:r>
        <w:rPr>
          <w:rStyle w:val="98"/>
          <w:rFonts w:hint="eastAsia"/>
          <w:color w:val="auto"/>
          <w:highlight w:val="none"/>
        </w:rPr>
        <w:t xml:space="preserve"> </w:t>
      </w:r>
      <w:r>
        <w:rPr>
          <w:rStyle w:val="98"/>
          <w:color w:val="auto"/>
          <w:highlight w:val="none"/>
        </w:rPr>
        <w:t>投标须知前附表</w:t>
      </w:r>
      <w:r>
        <w:rPr>
          <w:highlight w:val="none"/>
        </w:rPr>
        <w:tab/>
      </w:r>
      <w:r>
        <w:rPr>
          <w:highlight w:val="none"/>
        </w:rPr>
        <w:fldChar w:fldCharType="begin"/>
      </w:r>
      <w:r>
        <w:rPr>
          <w:highlight w:val="none"/>
        </w:rPr>
        <w:instrText xml:space="preserve"> PAGEREF _Toc152759228 \h </w:instrText>
      </w:r>
      <w:r>
        <w:rPr>
          <w:highlight w:val="none"/>
        </w:rPr>
        <w:fldChar w:fldCharType="separate"/>
      </w:r>
      <w:r>
        <w:rPr>
          <w:highlight w:val="none"/>
        </w:rPr>
        <w:t>16</w:t>
      </w:r>
      <w:r>
        <w:rPr>
          <w:highlight w:val="none"/>
        </w:rPr>
        <w:fldChar w:fldCharType="end"/>
      </w:r>
      <w:r>
        <w:rPr>
          <w:highlight w:val="none"/>
        </w:rPr>
        <w:fldChar w:fldCharType="end"/>
      </w:r>
    </w:p>
    <w:p>
      <w:pPr>
        <w:pStyle w:val="71"/>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"_Toc152759229" </w:instrText>
      </w:r>
      <w:r>
        <w:rPr>
          <w:highlight w:val="none"/>
        </w:rPr>
        <w:fldChar w:fldCharType="separate"/>
      </w:r>
      <w:r>
        <w:rPr>
          <w:rStyle w:val="98"/>
          <w:color w:val="auto"/>
          <w:highlight w:val="none"/>
        </w:rPr>
        <w:t>第三章</w:t>
      </w:r>
      <w:r>
        <w:rPr>
          <w:rStyle w:val="98"/>
          <w:rFonts w:hint="eastAsia"/>
          <w:color w:val="auto"/>
          <w:highlight w:val="none"/>
        </w:rPr>
        <w:t xml:space="preserve"> </w:t>
      </w:r>
      <w:r>
        <w:rPr>
          <w:rStyle w:val="98"/>
          <w:color w:val="auto"/>
          <w:highlight w:val="none"/>
        </w:rPr>
        <w:t>项目需求</w:t>
      </w:r>
      <w:r>
        <w:rPr>
          <w:highlight w:val="none"/>
        </w:rPr>
        <w:tab/>
      </w:r>
      <w:r>
        <w:rPr>
          <w:highlight w:val="none"/>
        </w:rPr>
        <w:fldChar w:fldCharType="begin"/>
      </w:r>
      <w:r>
        <w:rPr>
          <w:highlight w:val="none"/>
        </w:rPr>
        <w:instrText xml:space="preserve"> PAGEREF _Toc152759229 \h </w:instrText>
      </w:r>
      <w:r>
        <w:rPr>
          <w:highlight w:val="none"/>
        </w:rPr>
        <w:fldChar w:fldCharType="separate"/>
      </w:r>
      <w:r>
        <w:rPr>
          <w:highlight w:val="none"/>
        </w:rPr>
        <w:t>17</w:t>
      </w:r>
      <w:r>
        <w:rPr>
          <w:highlight w:val="none"/>
        </w:rPr>
        <w:fldChar w:fldCharType="end"/>
      </w:r>
      <w:r>
        <w:rPr>
          <w:highlight w:val="none"/>
        </w:rPr>
        <w:fldChar w:fldCharType="end"/>
      </w:r>
    </w:p>
    <w:p>
      <w:pPr>
        <w:pStyle w:val="71"/>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"_Toc152759235" </w:instrText>
      </w:r>
      <w:r>
        <w:rPr>
          <w:highlight w:val="none"/>
        </w:rPr>
        <w:fldChar w:fldCharType="separate"/>
      </w:r>
      <w:r>
        <w:rPr>
          <w:rStyle w:val="98"/>
          <w:color w:val="auto"/>
          <w:highlight w:val="none"/>
        </w:rPr>
        <w:t>第四章</w:t>
      </w:r>
      <w:r>
        <w:rPr>
          <w:rStyle w:val="98"/>
          <w:rFonts w:hint="eastAsia"/>
          <w:color w:val="auto"/>
          <w:highlight w:val="none"/>
        </w:rPr>
        <w:t xml:space="preserve"> </w:t>
      </w:r>
      <w:r>
        <w:rPr>
          <w:rStyle w:val="98"/>
          <w:color w:val="auto"/>
          <w:highlight w:val="none"/>
        </w:rPr>
        <w:t>采购合同的签订、履约及验收</w:t>
      </w:r>
      <w:r>
        <w:rPr>
          <w:highlight w:val="none"/>
        </w:rPr>
        <w:tab/>
      </w:r>
      <w:r>
        <w:rPr>
          <w:highlight w:val="none"/>
        </w:rPr>
        <w:fldChar w:fldCharType="begin"/>
      </w:r>
      <w:r>
        <w:rPr>
          <w:highlight w:val="none"/>
        </w:rPr>
        <w:instrText xml:space="preserve"> PAGEREF _Toc152759235 \h </w:instrText>
      </w:r>
      <w:r>
        <w:rPr>
          <w:highlight w:val="none"/>
        </w:rPr>
        <w:fldChar w:fldCharType="separate"/>
      </w:r>
      <w:r>
        <w:rPr>
          <w:highlight w:val="none"/>
        </w:rPr>
        <w:t>28</w:t>
      </w:r>
      <w:r>
        <w:rPr>
          <w:highlight w:val="none"/>
        </w:rPr>
        <w:fldChar w:fldCharType="end"/>
      </w:r>
      <w:r>
        <w:rPr>
          <w:highlight w:val="none"/>
        </w:rPr>
        <w:fldChar w:fldCharType="end"/>
      </w:r>
    </w:p>
    <w:p>
      <w:pPr>
        <w:pStyle w:val="71"/>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"_Toc152759236" </w:instrText>
      </w:r>
      <w:r>
        <w:rPr>
          <w:highlight w:val="none"/>
        </w:rPr>
        <w:fldChar w:fldCharType="separate"/>
      </w:r>
      <w:r>
        <w:rPr>
          <w:rStyle w:val="98"/>
          <w:color w:val="auto"/>
          <w:highlight w:val="none"/>
        </w:rPr>
        <w:t>第五章</w:t>
      </w:r>
      <w:r>
        <w:rPr>
          <w:rStyle w:val="98"/>
          <w:rFonts w:hint="eastAsia"/>
          <w:color w:val="auto"/>
          <w:highlight w:val="none"/>
        </w:rPr>
        <w:t xml:space="preserve"> </w:t>
      </w:r>
      <w:r>
        <w:rPr>
          <w:rStyle w:val="98"/>
          <w:color w:val="auto"/>
          <w:highlight w:val="none"/>
        </w:rPr>
        <w:t>投标文件格式、附件</w:t>
      </w:r>
      <w:r>
        <w:rPr>
          <w:highlight w:val="none"/>
        </w:rPr>
        <w:tab/>
      </w:r>
      <w:r>
        <w:rPr>
          <w:highlight w:val="none"/>
        </w:rPr>
        <w:fldChar w:fldCharType="begin"/>
      </w:r>
      <w:r>
        <w:rPr>
          <w:highlight w:val="none"/>
        </w:rPr>
        <w:instrText xml:space="preserve"> PAGEREF _Toc152759236 \h </w:instrText>
      </w:r>
      <w:r>
        <w:rPr>
          <w:highlight w:val="none"/>
        </w:rPr>
        <w:fldChar w:fldCharType="separate"/>
      </w:r>
      <w:r>
        <w:rPr>
          <w:highlight w:val="none"/>
        </w:rPr>
        <w:t>38</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"_Toc152759237" </w:instrText>
      </w:r>
      <w:r>
        <w:rPr>
          <w:highlight w:val="none"/>
        </w:rPr>
        <w:fldChar w:fldCharType="separate"/>
      </w:r>
      <w:r>
        <w:rPr>
          <w:rStyle w:val="98"/>
          <w:color w:val="auto"/>
          <w:highlight w:val="none"/>
        </w:rPr>
        <w:t>第二册</w:t>
      </w:r>
      <w:r>
        <w:rPr>
          <w:rStyle w:val="98"/>
          <w:rFonts w:hint="eastAsia"/>
          <w:color w:val="auto"/>
          <w:highlight w:val="none"/>
        </w:rPr>
        <w:t xml:space="preserve"> </w:t>
      </w:r>
      <w:r>
        <w:rPr>
          <w:rStyle w:val="98"/>
          <w:color w:val="auto"/>
          <w:highlight w:val="none"/>
        </w:rPr>
        <w:t>通用条款</w:t>
      </w:r>
      <w:r>
        <w:rPr>
          <w:highlight w:val="none"/>
        </w:rPr>
        <w:tab/>
      </w:r>
      <w:r>
        <w:rPr>
          <w:highlight w:val="none"/>
        </w:rPr>
        <w:fldChar w:fldCharType="begin"/>
      </w:r>
      <w:r>
        <w:rPr>
          <w:highlight w:val="none"/>
        </w:rPr>
        <w:instrText xml:space="preserve"> PAGEREF _Toc152759237 \h </w:instrText>
      </w:r>
      <w:r>
        <w:rPr>
          <w:highlight w:val="none"/>
        </w:rPr>
        <w:fldChar w:fldCharType="separate"/>
      </w:r>
      <w:r>
        <w:rPr>
          <w:highlight w:val="none"/>
        </w:rPr>
        <w:t>62</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"_Toc152759238" </w:instrText>
      </w:r>
      <w:r>
        <w:rPr>
          <w:highlight w:val="none"/>
        </w:rPr>
        <w:fldChar w:fldCharType="separate"/>
      </w:r>
      <w:r>
        <w:rPr>
          <w:rStyle w:val="98"/>
          <w:color w:val="auto"/>
          <w:highlight w:val="none"/>
        </w:rPr>
        <w:t>第一章</w:t>
      </w:r>
      <w:r>
        <w:rPr>
          <w:rStyle w:val="98"/>
          <w:rFonts w:hint="eastAsia"/>
          <w:color w:val="auto"/>
          <w:highlight w:val="none"/>
        </w:rPr>
        <w:t xml:space="preserve"> </w:t>
      </w:r>
      <w:r>
        <w:rPr>
          <w:rStyle w:val="98"/>
          <w:color w:val="auto"/>
          <w:highlight w:val="none"/>
        </w:rPr>
        <w:t>总则</w:t>
      </w:r>
      <w:r>
        <w:rPr>
          <w:highlight w:val="none"/>
        </w:rPr>
        <w:tab/>
      </w:r>
      <w:r>
        <w:rPr>
          <w:highlight w:val="none"/>
        </w:rPr>
        <w:fldChar w:fldCharType="begin"/>
      </w:r>
      <w:r>
        <w:rPr>
          <w:highlight w:val="none"/>
        </w:rPr>
        <w:instrText xml:space="preserve"> PAGEREF _Toc152759238 \h </w:instrText>
      </w:r>
      <w:r>
        <w:rPr>
          <w:highlight w:val="none"/>
        </w:rPr>
        <w:fldChar w:fldCharType="separate"/>
      </w:r>
      <w:r>
        <w:rPr>
          <w:highlight w:val="none"/>
        </w:rPr>
        <w:t>62</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"_Toc152759239" </w:instrText>
      </w:r>
      <w:r>
        <w:rPr>
          <w:highlight w:val="none"/>
        </w:rPr>
        <w:fldChar w:fldCharType="separate"/>
      </w:r>
      <w:r>
        <w:rPr>
          <w:rStyle w:val="98"/>
          <w:color w:val="auto"/>
          <w:highlight w:val="none"/>
        </w:rPr>
        <w:t>第二章</w:t>
      </w:r>
      <w:r>
        <w:rPr>
          <w:rStyle w:val="98"/>
          <w:rFonts w:hint="eastAsia"/>
          <w:color w:val="auto"/>
          <w:highlight w:val="none"/>
        </w:rPr>
        <w:t xml:space="preserve"> </w:t>
      </w:r>
      <w:r>
        <w:rPr>
          <w:rStyle w:val="98"/>
          <w:color w:val="auto"/>
          <w:highlight w:val="none"/>
        </w:rPr>
        <w:t>招标文件</w:t>
      </w:r>
      <w:r>
        <w:rPr>
          <w:highlight w:val="none"/>
        </w:rPr>
        <w:tab/>
      </w:r>
      <w:r>
        <w:rPr>
          <w:highlight w:val="none"/>
        </w:rPr>
        <w:fldChar w:fldCharType="begin"/>
      </w:r>
      <w:r>
        <w:rPr>
          <w:highlight w:val="none"/>
        </w:rPr>
        <w:instrText xml:space="preserve"> PAGEREF _Toc152759239 \h </w:instrText>
      </w:r>
      <w:r>
        <w:rPr>
          <w:highlight w:val="none"/>
        </w:rPr>
        <w:fldChar w:fldCharType="separate"/>
      </w:r>
      <w:r>
        <w:rPr>
          <w:highlight w:val="none"/>
        </w:rPr>
        <w:t>64</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"_Toc152759240" </w:instrText>
      </w:r>
      <w:r>
        <w:rPr>
          <w:highlight w:val="none"/>
        </w:rPr>
        <w:fldChar w:fldCharType="separate"/>
      </w:r>
      <w:r>
        <w:rPr>
          <w:rStyle w:val="98"/>
          <w:color w:val="auto"/>
          <w:highlight w:val="none"/>
        </w:rPr>
        <w:t>第三章</w:t>
      </w:r>
      <w:r>
        <w:rPr>
          <w:rStyle w:val="98"/>
          <w:rFonts w:hint="eastAsia"/>
          <w:color w:val="auto"/>
          <w:highlight w:val="none"/>
        </w:rPr>
        <w:t xml:space="preserve"> </w:t>
      </w:r>
      <w:r>
        <w:rPr>
          <w:rStyle w:val="98"/>
          <w:color w:val="auto"/>
          <w:highlight w:val="none"/>
        </w:rPr>
        <w:t>投标文件的编制与递交</w:t>
      </w:r>
      <w:r>
        <w:rPr>
          <w:highlight w:val="none"/>
        </w:rPr>
        <w:tab/>
      </w:r>
      <w:r>
        <w:rPr>
          <w:highlight w:val="none"/>
        </w:rPr>
        <w:fldChar w:fldCharType="begin"/>
      </w:r>
      <w:r>
        <w:rPr>
          <w:highlight w:val="none"/>
        </w:rPr>
        <w:instrText xml:space="preserve"> PAGEREF _Toc152759240 \h </w:instrText>
      </w:r>
      <w:r>
        <w:rPr>
          <w:highlight w:val="none"/>
        </w:rPr>
        <w:fldChar w:fldCharType="separate"/>
      </w:r>
      <w:r>
        <w:rPr>
          <w:highlight w:val="none"/>
        </w:rPr>
        <w:t>66</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"_Toc152759241" </w:instrText>
      </w:r>
      <w:r>
        <w:rPr>
          <w:highlight w:val="none"/>
        </w:rPr>
        <w:fldChar w:fldCharType="separate"/>
      </w:r>
      <w:r>
        <w:rPr>
          <w:rStyle w:val="98"/>
          <w:color w:val="auto"/>
          <w:highlight w:val="none"/>
        </w:rPr>
        <w:t>第四章</w:t>
      </w:r>
      <w:r>
        <w:rPr>
          <w:rStyle w:val="98"/>
          <w:rFonts w:hint="eastAsia"/>
          <w:color w:val="auto"/>
          <w:highlight w:val="none"/>
        </w:rPr>
        <w:t xml:space="preserve"> </w:t>
      </w:r>
      <w:r>
        <w:rPr>
          <w:rStyle w:val="98"/>
          <w:color w:val="auto"/>
          <w:highlight w:val="none"/>
        </w:rPr>
        <w:t>开标</w:t>
      </w:r>
      <w:r>
        <w:rPr>
          <w:highlight w:val="none"/>
        </w:rPr>
        <w:tab/>
      </w:r>
      <w:r>
        <w:rPr>
          <w:highlight w:val="none"/>
        </w:rPr>
        <w:fldChar w:fldCharType="begin"/>
      </w:r>
      <w:r>
        <w:rPr>
          <w:highlight w:val="none"/>
        </w:rPr>
        <w:instrText xml:space="preserve"> PAGEREF _Toc152759241 \h </w:instrText>
      </w:r>
      <w:r>
        <w:rPr>
          <w:highlight w:val="none"/>
        </w:rPr>
        <w:fldChar w:fldCharType="separate"/>
      </w:r>
      <w:r>
        <w:rPr>
          <w:highlight w:val="none"/>
        </w:rPr>
        <w:t>70</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"_Toc152759242" </w:instrText>
      </w:r>
      <w:r>
        <w:rPr>
          <w:highlight w:val="none"/>
        </w:rPr>
        <w:fldChar w:fldCharType="separate"/>
      </w:r>
      <w:r>
        <w:rPr>
          <w:rStyle w:val="98"/>
          <w:color w:val="auto"/>
          <w:highlight w:val="none"/>
        </w:rPr>
        <w:t>第五章</w:t>
      </w:r>
      <w:r>
        <w:rPr>
          <w:rStyle w:val="98"/>
          <w:rFonts w:hint="eastAsia"/>
          <w:color w:val="auto"/>
          <w:highlight w:val="none"/>
        </w:rPr>
        <w:t xml:space="preserve"> </w:t>
      </w:r>
      <w:r>
        <w:rPr>
          <w:rStyle w:val="98"/>
          <w:color w:val="auto"/>
          <w:highlight w:val="none"/>
        </w:rPr>
        <w:t>评标要求</w:t>
      </w:r>
      <w:r>
        <w:rPr>
          <w:highlight w:val="none"/>
        </w:rPr>
        <w:tab/>
      </w:r>
      <w:r>
        <w:rPr>
          <w:highlight w:val="none"/>
        </w:rPr>
        <w:fldChar w:fldCharType="begin"/>
      </w:r>
      <w:r>
        <w:rPr>
          <w:highlight w:val="none"/>
        </w:rPr>
        <w:instrText xml:space="preserve"> PAGEREF _Toc152759242 \h </w:instrText>
      </w:r>
      <w:r>
        <w:rPr>
          <w:highlight w:val="none"/>
        </w:rPr>
        <w:fldChar w:fldCharType="separate"/>
      </w:r>
      <w:r>
        <w:rPr>
          <w:highlight w:val="none"/>
        </w:rPr>
        <w:t>71</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"_Toc152759243" </w:instrText>
      </w:r>
      <w:r>
        <w:rPr>
          <w:highlight w:val="none"/>
        </w:rPr>
        <w:fldChar w:fldCharType="separate"/>
      </w:r>
      <w:r>
        <w:rPr>
          <w:rStyle w:val="98"/>
          <w:color w:val="auto"/>
          <w:highlight w:val="none"/>
        </w:rPr>
        <w:t>第六章</w:t>
      </w:r>
      <w:r>
        <w:rPr>
          <w:rStyle w:val="98"/>
          <w:rFonts w:hint="eastAsia"/>
          <w:color w:val="auto"/>
          <w:highlight w:val="none"/>
        </w:rPr>
        <w:t xml:space="preserve"> </w:t>
      </w:r>
      <w:r>
        <w:rPr>
          <w:rStyle w:val="98"/>
          <w:color w:val="auto"/>
          <w:highlight w:val="none"/>
        </w:rPr>
        <w:t>评标程序及评标方法</w:t>
      </w:r>
      <w:r>
        <w:rPr>
          <w:highlight w:val="none"/>
        </w:rPr>
        <w:tab/>
      </w:r>
      <w:r>
        <w:rPr>
          <w:highlight w:val="none"/>
        </w:rPr>
        <w:fldChar w:fldCharType="begin"/>
      </w:r>
      <w:r>
        <w:rPr>
          <w:highlight w:val="none"/>
        </w:rPr>
        <w:instrText xml:space="preserve"> PAGEREF _Toc152759243 \h </w:instrText>
      </w:r>
      <w:r>
        <w:rPr>
          <w:highlight w:val="none"/>
        </w:rPr>
        <w:fldChar w:fldCharType="separate"/>
      </w:r>
      <w:r>
        <w:rPr>
          <w:highlight w:val="none"/>
        </w:rPr>
        <w:t>72</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"_Toc152759244" </w:instrText>
      </w:r>
      <w:r>
        <w:rPr>
          <w:highlight w:val="none"/>
        </w:rPr>
        <w:fldChar w:fldCharType="separate"/>
      </w:r>
      <w:r>
        <w:rPr>
          <w:rStyle w:val="98"/>
          <w:color w:val="auto"/>
          <w:highlight w:val="none"/>
        </w:rPr>
        <w:t>第七章</w:t>
      </w:r>
      <w:r>
        <w:rPr>
          <w:rStyle w:val="98"/>
          <w:rFonts w:hint="eastAsia"/>
          <w:color w:val="auto"/>
          <w:highlight w:val="none"/>
        </w:rPr>
        <w:t xml:space="preserve"> </w:t>
      </w:r>
      <w:r>
        <w:rPr>
          <w:rStyle w:val="98"/>
          <w:color w:val="auto"/>
          <w:highlight w:val="none"/>
        </w:rPr>
        <w:t>定标及公示</w:t>
      </w:r>
      <w:r>
        <w:rPr>
          <w:highlight w:val="none"/>
        </w:rPr>
        <w:tab/>
      </w:r>
      <w:r>
        <w:rPr>
          <w:highlight w:val="none"/>
        </w:rPr>
        <w:fldChar w:fldCharType="begin"/>
      </w:r>
      <w:r>
        <w:rPr>
          <w:highlight w:val="none"/>
        </w:rPr>
        <w:instrText xml:space="preserve"> PAGEREF _Toc152759244 \h </w:instrText>
      </w:r>
      <w:r>
        <w:rPr>
          <w:highlight w:val="none"/>
        </w:rPr>
        <w:fldChar w:fldCharType="separate"/>
      </w:r>
      <w:r>
        <w:rPr>
          <w:highlight w:val="none"/>
        </w:rPr>
        <w:t>75</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"_Toc152759245" </w:instrText>
      </w:r>
      <w:r>
        <w:rPr>
          <w:highlight w:val="none"/>
        </w:rPr>
        <w:fldChar w:fldCharType="separate"/>
      </w:r>
      <w:r>
        <w:rPr>
          <w:rStyle w:val="98"/>
          <w:color w:val="auto"/>
          <w:highlight w:val="none"/>
        </w:rPr>
        <w:t>第八章</w:t>
      </w:r>
      <w:r>
        <w:rPr>
          <w:rStyle w:val="98"/>
          <w:rFonts w:hint="eastAsia"/>
          <w:color w:val="auto"/>
          <w:highlight w:val="none"/>
        </w:rPr>
        <w:t xml:space="preserve"> </w:t>
      </w:r>
      <w:r>
        <w:rPr>
          <w:rStyle w:val="98"/>
          <w:color w:val="auto"/>
          <w:highlight w:val="none"/>
        </w:rPr>
        <w:t>公开招标失败的后续处理</w:t>
      </w:r>
      <w:r>
        <w:rPr>
          <w:highlight w:val="none"/>
        </w:rPr>
        <w:tab/>
      </w:r>
      <w:r>
        <w:rPr>
          <w:highlight w:val="none"/>
        </w:rPr>
        <w:fldChar w:fldCharType="begin"/>
      </w:r>
      <w:r>
        <w:rPr>
          <w:highlight w:val="none"/>
        </w:rPr>
        <w:instrText xml:space="preserve"> PAGEREF _Toc152759245 \h </w:instrText>
      </w:r>
      <w:r>
        <w:rPr>
          <w:highlight w:val="none"/>
        </w:rPr>
        <w:fldChar w:fldCharType="separate"/>
      </w:r>
      <w:r>
        <w:rPr>
          <w:highlight w:val="none"/>
        </w:rPr>
        <w:t>76</w:t>
      </w:r>
      <w:r>
        <w:rPr>
          <w:highlight w:val="none"/>
        </w:rPr>
        <w:fldChar w:fldCharType="end"/>
      </w:r>
      <w:r>
        <w:rPr>
          <w:highlight w:val="none"/>
        </w:rPr>
        <w:fldChar w:fldCharType="end"/>
      </w:r>
    </w:p>
    <w:p>
      <w:pPr>
        <w:pStyle w:val="71"/>
        <w:tabs>
          <w:tab w:val="left" w:pos="63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"_Toc152759246" </w:instrText>
      </w:r>
      <w:r>
        <w:rPr>
          <w:highlight w:val="none"/>
        </w:rPr>
        <w:fldChar w:fldCharType="separate"/>
      </w:r>
      <w:r>
        <w:rPr>
          <w:rStyle w:val="98"/>
          <w:color w:val="auto"/>
          <w:highlight w:val="none"/>
        </w:rPr>
        <w:t>第九章</w:t>
      </w:r>
      <w:r>
        <w:rPr>
          <w:rStyle w:val="98"/>
          <w:rFonts w:hint="eastAsia"/>
          <w:color w:val="auto"/>
          <w:highlight w:val="none"/>
        </w:rPr>
        <w:t xml:space="preserve"> </w:t>
      </w:r>
      <w:r>
        <w:rPr>
          <w:rStyle w:val="98"/>
          <w:color w:val="auto"/>
          <w:highlight w:val="none"/>
        </w:rPr>
        <w:t>合同的授予与备案</w:t>
      </w:r>
      <w:r>
        <w:rPr>
          <w:highlight w:val="none"/>
        </w:rPr>
        <w:tab/>
      </w:r>
      <w:r>
        <w:rPr>
          <w:highlight w:val="none"/>
        </w:rPr>
        <w:fldChar w:fldCharType="begin"/>
      </w:r>
      <w:r>
        <w:rPr>
          <w:highlight w:val="none"/>
        </w:rPr>
        <w:instrText xml:space="preserve"> PAGEREF _Toc152759246 \h </w:instrText>
      </w:r>
      <w:r>
        <w:rPr>
          <w:highlight w:val="none"/>
        </w:rPr>
        <w:fldChar w:fldCharType="separate"/>
      </w:r>
      <w:r>
        <w:rPr>
          <w:highlight w:val="none"/>
        </w:rPr>
        <w:t>79</w:t>
      </w:r>
      <w:r>
        <w:rPr>
          <w:highlight w:val="none"/>
        </w:rPr>
        <w:fldChar w:fldCharType="end"/>
      </w:r>
      <w:r>
        <w:rPr>
          <w:highlight w:val="none"/>
        </w:rPr>
        <w:fldChar w:fldCharType="end"/>
      </w:r>
    </w:p>
    <w:p>
      <w:pPr>
        <w:pStyle w:val="71"/>
        <w:tabs>
          <w:tab w:val="left" w:pos="840"/>
        </w:tabs>
        <w:ind w:left="105"/>
        <w:rPr>
          <w:rFonts w:asciiTheme="minorHAnsi" w:hAnsiTheme="minorHAnsi" w:eastAsiaTheme="minorEastAsia" w:cstheme="minorBidi"/>
          <w:smallCaps w:val="0"/>
          <w:kern w:val="2"/>
          <w:sz w:val="21"/>
          <w:szCs w:val="22"/>
          <w:highlight w:val="none"/>
          <w14:ligatures w14:val="standardContextual"/>
        </w:rPr>
      </w:pPr>
      <w:r>
        <w:rPr>
          <w:highlight w:val="none"/>
        </w:rPr>
        <w:fldChar w:fldCharType="begin"/>
      </w:r>
      <w:r>
        <w:rPr>
          <w:highlight w:val="none"/>
        </w:rPr>
        <w:instrText xml:space="preserve"> HYPERLINK \l "_Toc152759247" </w:instrText>
      </w:r>
      <w:r>
        <w:rPr>
          <w:highlight w:val="none"/>
        </w:rPr>
        <w:fldChar w:fldCharType="separate"/>
      </w:r>
      <w:r>
        <w:rPr>
          <w:rStyle w:val="98"/>
          <w:color w:val="auto"/>
          <w:highlight w:val="none"/>
        </w:rPr>
        <w:t>第十章</w:t>
      </w:r>
      <w:r>
        <w:rPr>
          <w:rStyle w:val="98"/>
          <w:rFonts w:hint="eastAsia"/>
          <w:color w:val="auto"/>
          <w:highlight w:val="none"/>
        </w:rPr>
        <w:t xml:space="preserve"> </w:t>
      </w:r>
      <w:r>
        <w:rPr>
          <w:rStyle w:val="98"/>
          <w:color w:val="auto"/>
          <w:highlight w:val="none"/>
        </w:rPr>
        <w:t>质疑受理</w:t>
      </w:r>
      <w:r>
        <w:rPr>
          <w:highlight w:val="none"/>
        </w:rPr>
        <w:tab/>
      </w:r>
      <w:r>
        <w:rPr>
          <w:highlight w:val="none"/>
        </w:rPr>
        <w:fldChar w:fldCharType="begin"/>
      </w:r>
      <w:r>
        <w:rPr>
          <w:highlight w:val="none"/>
        </w:rPr>
        <w:instrText xml:space="preserve"> PAGEREF _Toc152759247 \h </w:instrText>
      </w:r>
      <w:r>
        <w:rPr>
          <w:highlight w:val="none"/>
        </w:rPr>
        <w:fldChar w:fldCharType="separate"/>
      </w:r>
      <w:r>
        <w:rPr>
          <w:highlight w:val="none"/>
        </w:rPr>
        <w:t>79</w:t>
      </w:r>
      <w:r>
        <w:rPr>
          <w:highlight w:val="none"/>
        </w:rPr>
        <w:fldChar w:fldCharType="end"/>
      </w:r>
      <w:r>
        <w:rPr>
          <w:highlight w:val="none"/>
        </w:rPr>
        <w:fldChar w:fldCharType="end"/>
      </w:r>
    </w:p>
    <w:p>
      <w:pPr>
        <w:pStyle w:val="57"/>
        <w:rPr>
          <w:rFonts w:asciiTheme="minorHAnsi" w:hAnsiTheme="minorHAnsi" w:eastAsiaTheme="minorEastAsia" w:cstheme="minorBidi"/>
          <w:b w:val="0"/>
          <w:bCs w:val="0"/>
          <w:caps w:val="0"/>
          <w:kern w:val="2"/>
          <w:sz w:val="21"/>
          <w:szCs w:val="22"/>
          <w:highlight w:val="none"/>
          <w14:ligatures w14:val="standardContextual"/>
        </w:rPr>
      </w:pPr>
      <w:r>
        <w:rPr>
          <w:highlight w:val="none"/>
        </w:rPr>
        <w:fldChar w:fldCharType="begin"/>
      </w:r>
      <w:r>
        <w:rPr>
          <w:highlight w:val="none"/>
        </w:rPr>
        <w:instrText xml:space="preserve"> HYPERLINK \l "_Toc152759248" </w:instrText>
      </w:r>
      <w:r>
        <w:rPr>
          <w:highlight w:val="none"/>
        </w:rPr>
        <w:fldChar w:fldCharType="separate"/>
      </w:r>
      <w:r>
        <w:rPr>
          <w:rStyle w:val="98"/>
          <w:color w:val="auto"/>
          <w:highlight w:val="none"/>
        </w:rPr>
        <w:t>招标代理服务取费说明</w:t>
      </w:r>
      <w:r>
        <w:rPr>
          <w:highlight w:val="none"/>
        </w:rPr>
        <w:tab/>
      </w:r>
      <w:r>
        <w:rPr>
          <w:highlight w:val="none"/>
        </w:rPr>
        <w:fldChar w:fldCharType="begin"/>
      </w:r>
      <w:r>
        <w:rPr>
          <w:highlight w:val="none"/>
        </w:rPr>
        <w:instrText xml:space="preserve"> PAGEREF _Toc152759248 \h </w:instrText>
      </w:r>
      <w:r>
        <w:rPr>
          <w:highlight w:val="none"/>
        </w:rPr>
        <w:fldChar w:fldCharType="separate"/>
      </w:r>
      <w:r>
        <w:rPr>
          <w:highlight w:val="none"/>
        </w:rPr>
        <w:t>82</w:t>
      </w:r>
      <w:r>
        <w:rPr>
          <w:highlight w:val="none"/>
        </w:rPr>
        <w:fldChar w:fldCharType="end"/>
      </w:r>
      <w:r>
        <w:rPr>
          <w:highlight w:val="none"/>
        </w:rPr>
        <w:fldChar w:fldCharType="end"/>
      </w:r>
    </w:p>
    <w:p>
      <w:pPr>
        <w:tabs>
          <w:tab w:val="right" w:leader="dot" w:pos="8820"/>
          <w:tab w:val="right" w:leader="dot" w:pos="9240"/>
          <w:tab w:val="clear" w:pos="426"/>
        </w:tabs>
        <w:rPr>
          <w:highlight w:val="none"/>
        </w:rPr>
        <w:sectPr>
          <w:headerReference r:id="rId6" w:type="first"/>
          <w:headerReference r:id="rId5" w:type="default"/>
          <w:footerReference r:id="rId7" w:type="even"/>
          <w:pgSz w:w="11906" w:h="16838"/>
          <w:pgMar w:top="1134" w:right="1134" w:bottom="1134" w:left="1418" w:header="851" w:footer="992" w:gutter="0"/>
          <w:pgNumType w:start="0"/>
          <w:cols w:space="720" w:num="1"/>
          <w:titlePg/>
          <w:docGrid w:linePitch="462" w:charSpace="0"/>
        </w:sectPr>
      </w:pPr>
      <w:r>
        <w:rPr>
          <w:smallCaps/>
          <w:sz w:val="28"/>
          <w:highlight w:val="none"/>
        </w:rPr>
        <w:fldChar w:fldCharType="end"/>
      </w:r>
    </w:p>
    <w:p>
      <w:pPr>
        <w:pStyle w:val="62"/>
        <w:widowControl w:val="0"/>
        <w:shd w:val="clear" w:color="auto" w:fill="auto"/>
        <w:tabs>
          <w:tab w:val="clear" w:pos="426"/>
        </w:tabs>
        <w:adjustRightInd/>
        <w:snapToGrid/>
        <w:outlineLvl w:val="0"/>
        <w:rPr>
          <w:rFonts w:ascii="宋体"/>
          <w:bCs w:val="0"/>
          <w:sz w:val="36"/>
          <w:szCs w:val="36"/>
          <w:highlight w:val="none"/>
        </w:rPr>
      </w:pPr>
      <w:bookmarkStart w:id="0" w:name="_Toc432592808"/>
      <w:bookmarkStart w:id="1" w:name="_Toc152759215"/>
      <w:r>
        <w:rPr>
          <w:rFonts w:hint="eastAsia" w:ascii="宋体"/>
          <w:bCs w:val="0"/>
          <w:sz w:val="36"/>
          <w:szCs w:val="36"/>
          <w:highlight w:val="none"/>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项目编号</w:t>
            </w:r>
          </w:p>
        </w:tc>
        <w:tc>
          <w:tcPr>
            <w:tcW w:w="6152" w:type="dxa"/>
            <w:vAlign w:val="center"/>
          </w:tcPr>
          <w:p>
            <w:pPr>
              <w:tabs>
                <w:tab w:val="clear" w:pos="426"/>
              </w:tabs>
              <w:adjustRightInd/>
              <w:snapToGrid/>
              <w:spacing w:line="240" w:lineRule="auto"/>
              <w:rPr>
                <w:szCs w:val="21"/>
                <w:highlight w:val="none"/>
              </w:rPr>
            </w:pPr>
            <w:r>
              <w:rPr>
                <w:szCs w:val="21"/>
                <w:highlight w:val="none"/>
              </w:rPr>
              <w:t>SSZX2024-205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项目名称</w:t>
            </w:r>
          </w:p>
        </w:tc>
        <w:tc>
          <w:tcPr>
            <w:tcW w:w="6152" w:type="dxa"/>
            <w:vAlign w:val="center"/>
          </w:tcPr>
          <w:p>
            <w:pPr>
              <w:tabs>
                <w:tab w:val="clear" w:pos="426"/>
              </w:tabs>
              <w:adjustRightInd/>
              <w:snapToGrid/>
              <w:spacing w:line="240" w:lineRule="auto"/>
              <w:rPr>
                <w:szCs w:val="21"/>
                <w:highlight w:val="none"/>
              </w:rPr>
            </w:pPr>
            <w:r>
              <w:rPr>
                <w:rFonts w:hint="eastAsia"/>
                <w:szCs w:val="21"/>
                <w:highlight w:val="none"/>
              </w:rPr>
              <w:t>广东省深圳市消防救援支队2024年度机关食堂配送服务采购项目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项目类型</w:t>
            </w:r>
          </w:p>
        </w:tc>
        <w:tc>
          <w:tcPr>
            <w:tcW w:w="6152" w:type="dxa"/>
            <w:vAlign w:val="center"/>
          </w:tcPr>
          <w:p>
            <w:pPr>
              <w:tabs>
                <w:tab w:val="clear" w:pos="426"/>
              </w:tabs>
              <w:adjustRightInd/>
              <w:snapToGrid/>
              <w:spacing w:line="240" w:lineRule="auto"/>
              <w:rPr>
                <w:szCs w:val="21"/>
                <w:highlight w:val="none"/>
              </w:rPr>
            </w:pPr>
            <w:r>
              <w:rPr>
                <w:rFonts w:hint="eastAsia"/>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采购方式</w:t>
            </w:r>
          </w:p>
        </w:tc>
        <w:tc>
          <w:tcPr>
            <w:tcW w:w="6152" w:type="dxa"/>
            <w:vAlign w:val="center"/>
          </w:tcPr>
          <w:p>
            <w:pPr>
              <w:tabs>
                <w:tab w:val="clear" w:pos="426"/>
              </w:tabs>
              <w:adjustRightInd/>
              <w:snapToGrid/>
              <w:spacing w:line="240" w:lineRule="auto"/>
              <w:rPr>
                <w:szCs w:val="21"/>
                <w:highlight w:val="none"/>
              </w:rPr>
            </w:pPr>
            <w:r>
              <w:rPr>
                <w:rFonts w:hint="eastAsia"/>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货币类型</w:t>
            </w:r>
          </w:p>
        </w:tc>
        <w:tc>
          <w:tcPr>
            <w:tcW w:w="6152" w:type="dxa"/>
            <w:vAlign w:val="center"/>
          </w:tcPr>
          <w:p>
            <w:pPr>
              <w:tabs>
                <w:tab w:val="clear" w:pos="426"/>
              </w:tabs>
              <w:adjustRightInd/>
              <w:snapToGrid/>
              <w:spacing w:line="240" w:lineRule="auto"/>
              <w:rPr>
                <w:szCs w:val="21"/>
                <w:highlight w:val="none"/>
              </w:rPr>
            </w:pPr>
            <w:r>
              <w:rPr>
                <w:rFonts w:hint="eastAsia"/>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szCs w:val="21"/>
                <w:highlight w:val="none"/>
              </w:rPr>
            </w:pPr>
            <w:r>
              <w:rPr>
                <w:rFonts w:hint="eastAsia"/>
                <w:szCs w:val="21"/>
                <w:highlight w:val="none"/>
              </w:rPr>
              <w:t>预算限额</w:t>
            </w:r>
          </w:p>
        </w:tc>
        <w:tc>
          <w:tcPr>
            <w:tcW w:w="6152" w:type="dxa"/>
            <w:vAlign w:val="center"/>
          </w:tcPr>
          <w:p>
            <w:pPr>
              <w:tabs>
                <w:tab w:val="clear" w:pos="426"/>
              </w:tabs>
              <w:adjustRightInd/>
              <w:snapToGrid/>
              <w:spacing w:line="240" w:lineRule="auto"/>
              <w:rPr>
                <w:szCs w:val="21"/>
                <w:highlight w:val="none"/>
              </w:rPr>
            </w:pPr>
            <w:r>
              <w:rPr>
                <w:rFonts w:hint="eastAsia"/>
                <w:szCs w:val="21"/>
                <w:highlight w:val="none"/>
              </w:rPr>
              <w:t>¥5881240.00  （人民币伍佰捌拾捌万壹仟贰佰肆拾元整）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评定分离</w:t>
            </w:r>
          </w:p>
        </w:tc>
        <w:tc>
          <w:tcPr>
            <w:tcW w:w="6152" w:type="dxa"/>
            <w:vAlign w:val="center"/>
          </w:tcPr>
          <w:p>
            <w:pPr>
              <w:tabs>
                <w:tab w:val="clear" w:pos="426"/>
              </w:tabs>
              <w:adjustRightInd/>
              <w:snapToGrid/>
              <w:spacing w:line="240" w:lineRule="auto"/>
              <w:rPr>
                <w:highlight w:val="none"/>
              </w:rPr>
            </w:pP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bCs/>
                <w:szCs w:val="21"/>
                <w:highlight w:val="none"/>
              </w:rPr>
            </w:pPr>
            <w:r>
              <w:rPr>
                <w:rFonts w:hint="eastAsia"/>
                <w:bCs/>
                <w:szCs w:val="21"/>
                <w:highlight w:val="none"/>
              </w:rPr>
              <w:t>评标方法</w:t>
            </w:r>
          </w:p>
        </w:tc>
        <w:tc>
          <w:tcPr>
            <w:tcW w:w="6152" w:type="dxa"/>
            <w:vAlign w:val="center"/>
          </w:tcPr>
          <w:p>
            <w:pPr>
              <w:tabs>
                <w:tab w:val="clear" w:pos="426"/>
              </w:tabs>
              <w:adjustRightInd/>
              <w:snapToGrid/>
              <w:spacing w:line="240" w:lineRule="auto"/>
              <w:rPr>
                <w:szCs w:val="21"/>
                <w:highlight w:val="none"/>
              </w:rPr>
            </w:pPr>
            <w:r>
              <w:rPr>
                <w:rFonts w:hint="eastAsia"/>
                <w:highlight w:val="none"/>
              </w:rPr>
              <w:t>■</w:t>
            </w:r>
            <w:r>
              <w:rPr>
                <w:rFonts w:hint="eastAsia"/>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bCs/>
                <w:szCs w:val="21"/>
                <w:highlight w:val="none"/>
              </w:rPr>
            </w:pPr>
            <w:r>
              <w:rPr>
                <w:rFonts w:hint="eastAsia"/>
                <w:bCs/>
                <w:szCs w:val="21"/>
                <w:highlight w:val="none"/>
              </w:rPr>
              <w:t>定标方法</w:t>
            </w:r>
          </w:p>
        </w:tc>
        <w:tc>
          <w:tcPr>
            <w:tcW w:w="6152" w:type="dxa"/>
            <w:vAlign w:val="center"/>
          </w:tcPr>
          <w:p>
            <w:pPr>
              <w:tabs>
                <w:tab w:val="clear" w:pos="426"/>
              </w:tabs>
              <w:adjustRightInd/>
              <w:snapToGrid/>
              <w:spacing w:line="240" w:lineRule="auto"/>
              <w:rPr>
                <w:szCs w:val="21"/>
                <w:highlight w:val="none"/>
              </w:rPr>
            </w:pP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投标供应商的替代方案</w:t>
            </w:r>
          </w:p>
        </w:tc>
        <w:tc>
          <w:tcPr>
            <w:tcW w:w="6152" w:type="dxa"/>
            <w:vAlign w:val="center"/>
          </w:tcPr>
          <w:p>
            <w:pPr>
              <w:tabs>
                <w:tab w:val="clear" w:pos="426"/>
              </w:tabs>
              <w:adjustRightInd/>
              <w:snapToGrid/>
              <w:spacing w:line="240" w:lineRule="auto"/>
              <w:rPr>
                <w:highlight w:val="none"/>
                <w:u w:val="singl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投标有效期</w:t>
            </w:r>
          </w:p>
        </w:tc>
        <w:tc>
          <w:tcPr>
            <w:tcW w:w="6152" w:type="dxa"/>
            <w:vAlign w:val="center"/>
          </w:tcPr>
          <w:p>
            <w:pPr>
              <w:tabs>
                <w:tab w:val="clear" w:pos="426"/>
              </w:tabs>
              <w:adjustRightInd/>
              <w:snapToGrid/>
              <w:spacing w:line="240" w:lineRule="auto"/>
              <w:rPr>
                <w:szCs w:val="21"/>
                <w:highlight w:val="none"/>
              </w:rPr>
            </w:pPr>
            <w:r>
              <w:rPr>
                <w:szCs w:val="21"/>
                <w:highlight w:val="none"/>
              </w:rPr>
              <w:t>120</w:t>
            </w:r>
            <w:r>
              <w:rPr>
                <w:rFonts w:hint="eastAsia"/>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投标保证金</w:t>
            </w:r>
          </w:p>
        </w:tc>
        <w:tc>
          <w:tcPr>
            <w:tcW w:w="6152" w:type="dxa"/>
            <w:vAlign w:val="center"/>
          </w:tcPr>
          <w:p>
            <w:pPr>
              <w:tabs>
                <w:tab w:val="clear" w:pos="426"/>
              </w:tabs>
              <w:adjustRightInd/>
              <w:snapToGrid/>
              <w:spacing w:line="240" w:lineRule="auto"/>
              <w:rPr>
                <w:highlight w:val="none"/>
              </w:rPr>
            </w:pPr>
            <w:r>
              <w:rPr>
                <w:rFonts w:hint="eastAsia"/>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履约担保金额</w:t>
            </w:r>
          </w:p>
        </w:tc>
        <w:tc>
          <w:tcPr>
            <w:tcW w:w="6152" w:type="dxa"/>
            <w:vAlign w:val="center"/>
          </w:tcPr>
          <w:p>
            <w:pPr>
              <w:tabs>
                <w:tab w:val="clear" w:pos="426"/>
              </w:tabs>
              <w:adjustRightInd/>
              <w:snapToGrid/>
              <w:spacing w:line="240" w:lineRule="auto"/>
              <w:rPr>
                <w:highlight w:val="none"/>
              </w:rPr>
            </w:pPr>
            <w:r>
              <w:rPr>
                <w:rFonts w:hint="eastAsia"/>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投标文件份数</w:t>
            </w:r>
          </w:p>
        </w:tc>
        <w:tc>
          <w:tcPr>
            <w:tcW w:w="6152" w:type="dxa"/>
            <w:vAlign w:val="center"/>
          </w:tcPr>
          <w:p>
            <w:pPr>
              <w:tabs>
                <w:tab w:val="clear" w:pos="426"/>
              </w:tabs>
              <w:adjustRightInd/>
              <w:snapToGrid/>
              <w:spacing w:line="240" w:lineRule="auto"/>
              <w:rPr>
                <w:highlight w:val="none"/>
              </w:rPr>
            </w:pPr>
            <w:r>
              <w:rPr>
                <w:rFonts w:hint="eastAsia"/>
                <w:highlight w:val="none"/>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投标文件电子档</w:t>
            </w:r>
          </w:p>
        </w:tc>
        <w:tc>
          <w:tcPr>
            <w:tcW w:w="6152" w:type="dxa"/>
            <w:vAlign w:val="center"/>
          </w:tcPr>
          <w:p>
            <w:pPr>
              <w:tabs>
                <w:tab w:val="clear" w:pos="426"/>
              </w:tabs>
              <w:adjustRightInd/>
              <w:snapToGrid/>
              <w:spacing w:line="240" w:lineRule="auto"/>
              <w:rPr>
                <w:highlight w:val="none"/>
              </w:rPr>
            </w:pPr>
            <w:r>
              <w:rPr>
                <w:rFonts w:hint="eastAsia"/>
                <w:highlight w:val="none"/>
              </w:rPr>
              <w:t>U盘一个（</w:t>
            </w:r>
            <w:r>
              <w:rPr>
                <w:highlight w:val="none"/>
              </w:rPr>
              <w:t>WORD</w:t>
            </w:r>
            <w:r>
              <w:rPr>
                <w:rFonts w:hint="eastAsia"/>
                <w:highlight w:val="none"/>
              </w:rPr>
              <w:t>及投标文件正本盖章后的彩色扫描件，</w:t>
            </w:r>
            <w:r>
              <w:rPr>
                <w:highlight w:val="none"/>
              </w:rPr>
              <w:t>PDF</w:t>
            </w:r>
            <w:r>
              <w:rPr>
                <w:rFonts w:hint="eastAsia"/>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Align w:val="center"/>
          </w:tcPr>
          <w:p>
            <w:pPr>
              <w:tabs>
                <w:tab w:val="clear" w:pos="426"/>
              </w:tabs>
              <w:adjustRightInd/>
              <w:snapToGrid/>
              <w:spacing w:line="240" w:lineRule="auto"/>
              <w:rPr>
                <w:highlight w:val="none"/>
              </w:rPr>
            </w:pPr>
            <w:r>
              <w:rPr>
                <w:rFonts w:hint="eastAsia"/>
                <w:highlight w:val="none"/>
              </w:rPr>
              <w:t>是否长期服务</w:t>
            </w:r>
          </w:p>
        </w:tc>
        <w:tc>
          <w:tcPr>
            <w:tcW w:w="6152" w:type="dxa"/>
            <w:vAlign w:val="center"/>
          </w:tcPr>
          <w:p>
            <w:pPr>
              <w:tabs>
                <w:tab w:val="clear" w:pos="426"/>
              </w:tabs>
              <w:adjustRightInd/>
              <w:snapToGrid/>
              <w:spacing w:line="240" w:lineRule="auto"/>
              <w:rPr>
                <w:highlight w:val="none"/>
              </w:rPr>
            </w:pPr>
            <w:r>
              <w:rPr>
                <w:rFonts w:hint="eastAsia"/>
                <w:highlight w:val="none"/>
              </w:rPr>
              <w:t>否</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highlight w:val="none"/>
        </w:rPr>
      </w:pPr>
    </w:p>
    <w:p>
      <w:pPr>
        <w:pStyle w:val="62"/>
        <w:widowControl w:val="0"/>
        <w:shd w:val="clear" w:color="auto" w:fill="auto"/>
        <w:tabs>
          <w:tab w:val="clear" w:pos="426"/>
        </w:tabs>
        <w:adjustRightInd/>
        <w:snapToGrid/>
        <w:outlineLvl w:val="0"/>
        <w:rPr>
          <w:rFonts w:ascii="宋体"/>
          <w:bCs w:val="0"/>
          <w:sz w:val="36"/>
          <w:szCs w:val="36"/>
          <w:highlight w:val="none"/>
        </w:rPr>
      </w:pPr>
      <w:r>
        <w:rPr>
          <w:highlight w:val="none"/>
        </w:rPr>
        <w:br w:type="page"/>
      </w:r>
      <w:bookmarkStart w:id="2" w:name="_Toc152759216"/>
      <w:r>
        <w:rPr>
          <w:rFonts w:hint="eastAsia" w:ascii="宋体"/>
          <w:bCs w:val="0"/>
          <w:sz w:val="36"/>
          <w:szCs w:val="36"/>
          <w:highlight w:val="none"/>
        </w:rPr>
        <w:t>资格、符合性评审条款</w:t>
      </w:r>
      <w:bookmarkEnd w:id="2"/>
    </w:p>
    <w:p>
      <w:pPr>
        <w:spacing w:before="120" w:beforeLines="50" w:after="120" w:afterLines="50"/>
        <w:jc w:val="center"/>
        <w:rPr>
          <w:rFonts w:ascii="黑体" w:eastAsia="黑体"/>
          <w:sz w:val="28"/>
          <w:szCs w:val="28"/>
          <w:highlight w:val="none"/>
        </w:rPr>
      </w:pPr>
      <w:r>
        <w:rPr>
          <w:rFonts w:hint="eastAsia"/>
          <w:b/>
          <w:highlight w:val="none"/>
        </w:rPr>
        <w:t>（凡有下列情形之一的，投标文件无效，投标作无效标处理</w:t>
      </w:r>
      <w:r>
        <w:rPr>
          <w:rFonts w:hint="eastAsia" w:ascii="黑体" w:eastAsia="黑体"/>
          <w:szCs w:val="21"/>
          <w:highlight w:val="none"/>
        </w:rPr>
        <w:t>）</w:t>
      </w:r>
    </w:p>
    <w:tbl>
      <w:tblPr>
        <w:tblStyle w:val="8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7883" w:type="dxa"/>
            <w:vAlign w:val="center"/>
          </w:tcPr>
          <w:p>
            <w:pPr>
              <w:tabs>
                <w:tab w:val="clear" w:pos="426"/>
              </w:tabs>
              <w:adjustRightInd/>
              <w:snapToGrid/>
              <w:spacing w:line="240" w:lineRule="auto"/>
              <w:jc w:val="center"/>
              <w:rPr>
                <w:b/>
                <w:highlight w:val="none"/>
              </w:rPr>
            </w:pPr>
            <w:r>
              <w:rPr>
                <w:rFonts w:hint="eastAsia"/>
                <w:b/>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highlight w:val="none"/>
              </w:rPr>
            </w:pPr>
            <w:r>
              <w:rPr>
                <w:rFonts w:hint="eastAsia"/>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32"/>
              </w:numPr>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投标供应商不具备招标资质要求，或未提交相应资质证明材料；</w:t>
            </w:r>
            <w:r>
              <w:rPr>
                <w:highlight w:val="none"/>
              </w:rPr>
              <w:t>(</w:t>
            </w:r>
            <w:r>
              <w:rPr>
                <w:rFonts w:hint="eastAsia"/>
                <w:highlight w:val="none"/>
              </w:rPr>
              <w:t>详见招标公告“申请人的资格要求”，其中未列示的资格要求不得导致废标。</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highlight w:val="none"/>
              </w:rPr>
            </w:pPr>
            <w:r>
              <w:rPr>
                <w:rFonts w:hint="eastAsia"/>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将一个包或一个包的内容拆开投标；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szCs w:val="21"/>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未按招标文件所提供的样式填写《投标函》；未按招标文件所提供的《政府采购投标及履约承诺函》进行承诺；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投标报价未按照“招标文件第三章项目需求-商务需求-4.报价方式及说明”要求；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szCs w:val="21"/>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33"/>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法律、法规规定的属于投标无效的其他情形。</w:t>
            </w:r>
          </w:p>
        </w:tc>
      </w:tr>
    </w:tbl>
    <w:p>
      <w:pPr>
        <w:pStyle w:val="62"/>
        <w:widowControl w:val="0"/>
        <w:shd w:val="clear" w:color="auto" w:fill="auto"/>
        <w:tabs>
          <w:tab w:val="clear" w:pos="426"/>
        </w:tabs>
        <w:adjustRightInd/>
        <w:snapToGrid/>
        <w:jc w:val="both"/>
        <w:outlineLvl w:val="9"/>
        <w:rPr>
          <w:sz w:val="21"/>
          <w:szCs w:val="21"/>
          <w:highlight w:val="none"/>
        </w:rPr>
      </w:pPr>
    </w:p>
    <w:p>
      <w:pPr>
        <w:pStyle w:val="62"/>
        <w:widowControl w:val="0"/>
        <w:shd w:val="clear" w:color="auto" w:fill="auto"/>
        <w:tabs>
          <w:tab w:val="clear" w:pos="426"/>
        </w:tabs>
        <w:adjustRightInd/>
        <w:snapToGrid/>
        <w:outlineLvl w:val="0"/>
        <w:rPr>
          <w:rFonts w:ascii="宋体"/>
          <w:bCs w:val="0"/>
          <w:sz w:val="36"/>
          <w:szCs w:val="36"/>
          <w:highlight w:val="none"/>
        </w:rPr>
      </w:pPr>
      <w:r>
        <w:rPr>
          <w:sz w:val="24"/>
          <w:highlight w:val="none"/>
        </w:rPr>
        <w:br w:type="page"/>
      </w:r>
      <w:bookmarkStart w:id="3" w:name="_Toc152759217"/>
      <w:bookmarkStart w:id="4" w:name="_Toc435514846"/>
      <w:r>
        <w:rPr>
          <w:rFonts w:hint="eastAsia" w:ascii="宋体"/>
          <w:bCs w:val="0"/>
          <w:sz w:val="36"/>
          <w:szCs w:val="36"/>
          <w:highlight w:val="none"/>
        </w:rPr>
        <w:t>评标信息</w:t>
      </w:r>
      <w:bookmarkEnd w:id="3"/>
    </w:p>
    <w:bookmarkEnd w:id="4"/>
    <w:p>
      <w:pPr>
        <w:widowControl w:val="0"/>
        <w:shd w:val="clear" w:color="auto" w:fill="auto"/>
        <w:tabs>
          <w:tab w:val="clear" w:pos="426"/>
        </w:tabs>
        <w:adjustRightInd/>
        <w:snapToGrid/>
        <w:spacing w:line="300" w:lineRule="auto"/>
        <w:ind w:firstLine="422" w:firstLineChars="200"/>
        <w:rPr>
          <w:b/>
          <w:szCs w:val="21"/>
          <w:highlight w:val="none"/>
        </w:rPr>
      </w:pPr>
      <w:r>
        <w:rPr>
          <w:rFonts w:hint="eastAsia"/>
          <w:b/>
          <w:szCs w:val="21"/>
          <w:highlight w:val="none"/>
        </w:rPr>
        <w:t>本招标文件所述评标方法和定标方法与招标文件《通用条款》所述不一致之处，以以下方法为准。</w:t>
      </w:r>
    </w:p>
    <w:p>
      <w:pPr>
        <w:widowControl w:val="0"/>
        <w:shd w:val="clear" w:color="auto" w:fill="auto"/>
        <w:tabs>
          <w:tab w:val="clear" w:pos="426"/>
        </w:tabs>
        <w:adjustRightInd/>
        <w:snapToGrid/>
        <w:spacing w:line="300" w:lineRule="auto"/>
        <w:ind w:firstLine="422" w:firstLineChars="200"/>
        <w:rPr>
          <w:b/>
          <w:szCs w:val="21"/>
          <w:highlight w:val="none"/>
        </w:rPr>
      </w:pPr>
      <w:r>
        <w:rPr>
          <w:rFonts w:hint="eastAsia"/>
          <w:b/>
          <w:szCs w:val="21"/>
          <w:highlight w:val="none"/>
        </w:rPr>
        <w:t>一、</w:t>
      </w:r>
      <w:r>
        <w:rPr>
          <w:b/>
          <w:szCs w:val="21"/>
          <w:highlight w:val="none"/>
        </w:rPr>
        <w:t>本项目</w:t>
      </w:r>
      <w:r>
        <w:rPr>
          <w:rFonts w:hint="eastAsia"/>
          <w:b/>
          <w:szCs w:val="21"/>
          <w:highlight w:val="none"/>
        </w:rPr>
        <w:t>评标方法为</w:t>
      </w:r>
      <w:r>
        <w:rPr>
          <w:b/>
          <w:szCs w:val="21"/>
          <w:highlight w:val="none"/>
        </w:rPr>
        <w:t>：</w:t>
      </w:r>
      <w:r>
        <w:rPr>
          <w:rFonts w:hint="eastAsia"/>
          <w:b/>
          <w:szCs w:val="21"/>
          <w:highlight w:val="none"/>
        </w:rPr>
        <w:t>综合评分法</w:t>
      </w:r>
    </w:p>
    <w:p>
      <w:pPr>
        <w:widowControl w:val="0"/>
        <w:shd w:val="clear" w:color="auto" w:fill="auto"/>
        <w:tabs>
          <w:tab w:val="clear" w:pos="426"/>
        </w:tabs>
        <w:adjustRightInd/>
        <w:snapToGrid/>
        <w:spacing w:line="300" w:lineRule="auto"/>
        <w:ind w:firstLine="422" w:firstLineChars="200"/>
        <w:rPr>
          <w:b/>
          <w:bCs/>
          <w:szCs w:val="21"/>
          <w:highlight w:val="none"/>
        </w:rPr>
      </w:pPr>
      <w:r>
        <w:rPr>
          <w:b/>
          <w:bCs/>
          <w:szCs w:val="21"/>
          <w:highlight w:val="none"/>
        </w:rPr>
        <w:t>中标人数量为：1家</w:t>
      </w:r>
      <w:r>
        <w:rPr>
          <w:rFonts w:hint="eastAsia"/>
          <w:b/>
          <w:bCs/>
          <w:szCs w:val="21"/>
          <w:highlight w:val="none"/>
        </w:rPr>
        <w:t>；中标候选人数量为：</w:t>
      </w:r>
      <w:r>
        <w:rPr>
          <w:b/>
          <w:bCs/>
          <w:szCs w:val="21"/>
          <w:highlight w:val="none"/>
        </w:rPr>
        <w:t>3</w:t>
      </w:r>
      <w:r>
        <w:rPr>
          <w:rFonts w:hint="eastAsia"/>
          <w:b/>
          <w:bCs/>
          <w:szCs w:val="21"/>
          <w:highlight w:val="none"/>
        </w:rPr>
        <w:t>家。</w:t>
      </w:r>
    </w:p>
    <w:p>
      <w:pPr>
        <w:widowControl w:val="0"/>
        <w:shd w:val="clear" w:color="auto" w:fill="auto"/>
        <w:tabs>
          <w:tab w:val="clear" w:pos="426"/>
        </w:tabs>
        <w:adjustRightInd/>
        <w:snapToGrid/>
        <w:spacing w:line="300" w:lineRule="auto"/>
        <w:ind w:firstLine="420" w:firstLineChars="200"/>
        <w:rPr>
          <w:szCs w:val="21"/>
          <w:highlight w:val="none"/>
        </w:rPr>
      </w:pPr>
      <w:r>
        <w:rPr>
          <w:rFonts w:hint="eastAsia"/>
          <w:szCs w:val="21"/>
          <w:highlight w:val="none"/>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szCs w:val="21"/>
          <w:highlight w:val="none"/>
        </w:rPr>
      </w:pPr>
      <w:r>
        <w:rPr>
          <w:rFonts w:hint="eastAsia"/>
          <w:szCs w:val="21"/>
          <w:highlight w:val="none"/>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作出评审结论</w:t>
      </w:r>
      <w:r>
        <w:rPr>
          <w:rFonts w:hint="eastAsia"/>
          <w:bCs/>
          <w:szCs w:val="21"/>
          <w:highlight w:val="none"/>
        </w:rPr>
        <w:t>。经采购人同意后，确定排名第一的</w:t>
      </w:r>
      <w:r>
        <w:rPr>
          <w:rFonts w:hint="eastAsia"/>
          <w:szCs w:val="21"/>
          <w:highlight w:val="none"/>
        </w:rPr>
        <w:t>中标候选人</w:t>
      </w:r>
      <w:r>
        <w:rPr>
          <w:rFonts w:hint="eastAsia"/>
          <w:bCs/>
          <w:szCs w:val="21"/>
          <w:highlight w:val="none"/>
        </w:rPr>
        <w:t>为中标人。</w:t>
      </w:r>
    </w:p>
    <w:p>
      <w:pPr>
        <w:tabs>
          <w:tab w:val="clear" w:pos="426"/>
        </w:tabs>
        <w:spacing w:line="300" w:lineRule="auto"/>
        <w:ind w:firstLine="420" w:firstLineChars="200"/>
        <w:rPr>
          <w:rFonts w:cs="Times New Roman"/>
          <w:bCs/>
          <w:kern w:val="2"/>
          <w:szCs w:val="21"/>
          <w:highlight w:val="none"/>
        </w:rPr>
      </w:pPr>
      <w:r>
        <w:rPr>
          <w:rFonts w:hint="eastAsia"/>
          <w:szCs w:val="21"/>
          <w:highlight w:val="none"/>
        </w:rPr>
        <w:t>候选中标人按评审后得分由高到低顺序排列；得分相同的，按投标报价由低到高顺序排列；得分且投标报价相同的，按技术指标或服务方案优劣顺序排列。得分且投标报价相同的且技术指标或服务方案优劣相同的，</w:t>
      </w:r>
      <w:r>
        <w:rPr>
          <w:rFonts w:cs="Times New Roman"/>
          <w:bCs/>
          <w:kern w:val="2"/>
          <w:szCs w:val="21"/>
          <w:highlight w:val="none"/>
        </w:rPr>
        <w:t>采取随机抽取方式确定</w:t>
      </w:r>
      <w:r>
        <w:rPr>
          <w:rFonts w:hint="eastAsia" w:cs="Times New Roman"/>
          <w:bCs/>
          <w:kern w:val="2"/>
          <w:szCs w:val="21"/>
          <w:highlight w:val="none"/>
        </w:rPr>
        <w:t>候选中标人</w:t>
      </w:r>
      <w:r>
        <w:rPr>
          <w:rFonts w:cs="Times New Roman"/>
          <w:bCs/>
          <w:kern w:val="2"/>
          <w:szCs w:val="21"/>
          <w:highlight w:val="none"/>
        </w:rPr>
        <w:t>推荐资格</w:t>
      </w:r>
      <w:r>
        <w:rPr>
          <w:rFonts w:hint="eastAsia" w:cs="Times New Roman"/>
          <w:bCs/>
          <w:kern w:val="2"/>
          <w:szCs w:val="21"/>
          <w:highlight w:val="none"/>
        </w:rPr>
        <w:t>。</w:t>
      </w:r>
    </w:p>
    <w:p>
      <w:pPr>
        <w:tabs>
          <w:tab w:val="clear" w:pos="426"/>
        </w:tabs>
        <w:spacing w:line="300" w:lineRule="auto"/>
        <w:ind w:firstLine="420" w:firstLineChars="200"/>
        <w:rPr>
          <w:highlight w:val="none"/>
        </w:rPr>
      </w:pPr>
      <w:r>
        <w:rPr>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widowControl w:val="0"/>
        <w:shd w:val="clear" w:color="auto" w:fill="auto"/>
        <w:tabs>
          <w:tab w:val="clear" w:pos="426"/>
        </w:tabs>
        <w:adjustRightInd/>
        <w:snapToGrid/>
        <w:spacing w:line="300" w:lineRule="auto"/>
        <w:ind w:firstLine="422" w:firstLineChars="200"/>
        <w:rPr>
          <w:b/>
          <w:szCs w:val="21"/>
          <w:highlight w:val="none"/>
        </w:rPr>
      </w:pPr>
      <w:r>
        <w:rPr>
          <w:rFonts w:hint="eastAsia"/>
          <w:b/>
          <w:szCs w:val="21"/>
          <w:highlight w:val="none"/>
        </w:rPr>
        <w:t>二、</w:t>
      </w:r>
      <w:r>
        <w:rPr>
          <w:b/>
          <w:szCs w:val="21"/>
          <w:highlight w:val="none"/>
        </w:rPr>
        <w:t>价格分计算方法：</w:t>
      </w:r>
    </w:p>
    <w:p>
      <w:pPr>
        <w:tabs>
          <w:tab w:val="clear" w:pos="426"/>
        </w:tabs>
        <w:spacing w:line="300" w:lineRule="auto"/>
        <w:ind w:firstLine="420" w:firstLineChars="200"/>
        <w:rPr>
          <w:szCs w:val="21"/>
          <w:highlight w:val="none"/>
        </w:rPr>
      </w:pPr>
      <w:r>
        <w:rPr>
          <w:rFonts w:hint="eastAsia"/>
          <w:szCs w:val="21"/>
          <w:highlight w:val="none"/>
        </w:rPr>
        <w:t xml:space="preserve">综合评分法中的价格分统一采用低价优先法计算,即满足招标文件要求且投标总价格最低的投标总报价为评标基准价,其价格分为满分。其他投标人的价格分统一按照下列公式计算：   </w:t>
      </w:r>
    </w:p>
    <w:p>
      <w:pPr>
        <w:tabs>
          <w:tab w:val="clear" w:pos="426"/>
        </w:tabs>
        <w:spacing w:line="300" w:lineRule="auto"/>
        <w:ind w:firstLine="420" w:firstLineChars="200"/>
        <w:rPr>
          <w:szCs w:val="21"/>
          <w:highlight w:val="none"/>
        </w:rPr>
      </w:pPr>
      <w:r>
        <w:rPr>
          <w:rFonts w:hint="eastAsia"/>
          <w:szCs w:val="21"/>
          <w:highlight w:val="none"/>
        </w:rPr>
        <w:t>投标报价得分=(评</w:t>
      </w:r>
      <w:bookmarkStart w:id="210" w:name="_GoBack"/>
      <w:bookmarkEnd w:id="210"/>
      <w:r>
        <w:rPr>
          <w:rFonts w:hint="eastAsia"/>
          <w:szCs w:val="21"/>
          <w:highlight w:val="none"/>
        </w:rPr>
        <w:t>标基准价/投标总报价)×</w:t>
      </w:r>
      <w:r>
        <w:rPr>
          <w:szCs w:val="21"/>
          <w:highlight w:val="none"/>
        </w:rPr>
        <w:t>1</w:t>
      </w:r>
      <w:r>
        <w:rPr>
          <w:rFonts w:hint="eastAsia"/>
          <w:szCs w:val="21"/>
          <w:highlight w:val="none"/>
        </w:rPr>
        <w:t>0</w:t>
      </w:r>
    </w:p>
    <w:p>
      <w:pPr>
        <w:tabs>
          <w:tab w:val="clear" w:pos="426"/>
        </w:tabs>
        <w:spacing w:line="300" w:lineRule="auto"/>
        <w:ind w:firstLine="422" w:firstLineChars="200"/>
        <w:rPr>
          <w:b/>
          <w:bCs/>
          <w:szCs w:val="21"/>
          <w:highlight w:val="none"/>
        </w:rPr>
      </w:pPr>
      <w:r>
        <w:rPr>
          <w:rFonts w:hint="eastAsia"/>
          <w:b/>
          <w:bCs/>
          <w:szCs w:val="21"/>
          <w:highlight w:val="none"/>
        </w:rPr>
        <w:t>三、评标优惠政策</w:t>
      </w:r>
    </w:p>
    <w:p>
      <w:pPr>
        <w:tabs>
          <w:tab w:val="clear" w:pos="426"/>
        </w:tabs>
        <w:spacing w:line="300" w:lineRule="auto"/>
        <w:ind w:firstLine="420" w:firstLineChars="200"/>
        <w:rPr>
          <w:rFonts w:cs="Times New Roman"/>
          <w:kern w:val="2"/>
          <w:szCs w:val="21"/>
          <w:highlight w:val="none"/>
        </w:rPr>
      </w:pPr>
      <w:r>
        <w:rPr>
          <w:rFonts w:hint="eastAsia" w:cs="Times New Roman"/>
          <w:kern w:val="2"/>
          <w:szCs w:val="21"/>
          <w:highlight w:val="none"/>
        </w:rPr>
        <w:t>本项目采购标的(服务)对应的中小企业划分标准所属行业为</w:t>
      </w:r>
      <w:r>
        <w:rPr>
          <w:rFonts w:hint="eastAsia" w:cs="Times New Roman"/>
          <w:kern w:val="2"/>
          <w:szCs w:val="21"/>
          <w:highlight w:val="none"/>
          <w:u w:val="single"/>
        </w:rPr>
        <w:t>餐饮业</w:t>
      </w:r>
      <w:r>
        <w:rPr>
          <w:rFonts w:hint="eastAsia" w:cs="Times New Roman"/>
          <w:kern w:val="2"/>
          <w:szCs w:val="21"/>
          <w:highlight w:val="none"/>
        </w:rPr>
        <w:t>。</w:t>
      </w:r>
    </w:p>
    <w:p>
      <w:pPr>
        <w:tabs>
          <w:tab w:val="clear" w:pos="426"/>
        </w:tabs>
        <w:spacing w:line="300" w:lineRule="auto"/>
        <w:ind w:firstLine="420" w:firstLineChars="200"/>
        <w:rPr>
          <w:szCs w:val="21"/>
          <w:highlight w:val="none"/>
        </w:rPr>
      </w:pPr>
      <w:bookmarkStart w:id="5" w:name="OLE_LINK1"/>
      <w:r>
        <w:rPr>
          <w:szCs w:val="21"/>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w:t>
      </w:r>
      <w:r>
        <w:rPr>
          <w:rFonts w:hint="eastAsia"/>
          <w:szCs w:val="21"/>
          <w:highlight w:val="none"/>
        </w:rPr>
        <w:t>：</w:t>
      </w:r>
      <w:r>
        <w:rPr>
          <w:rFonts w:hint="eastAsia" w:hAnsi="宋体"/>
          <w:b w:val="0"/>
          <w:bCs w:val="0"/>
          <w:szCs w:val="21"/>
          <w:highlight w:val="none"/>
        </w:rPr>
        <w:t>(1)若投标人不分包，须自身为小微企业，提供《中小企业声明</w:t>
      </w:r>
      <w:r>
        <w:rPr>
          <w:rFonts w:hint="eastAsia" w:hAnsi="宋体"/>
          <w:b w:val="0"/>
          <w:bCs w:val="0"/>
          <w:szCs w:val="21"/>
          <w:highlight w:val="none"/>
          <w:lang w:val="en-US" w:eastAsia="zh-CN"/>
        </w:rPr>
        <w:t>函</w:t>
      </w:r>
      <w:r>
        <w:rPr>
          <w:rFonts w:hint="eastAsia" w:hAnsi="宋体"/>
          <w:b w:val="0"/>
          <w:bCs w:val="0"/>
          <w:szCs w:val="21"/>
          <w:highlight w:val="none"/>
        </w:rPr>
        <w:t>》。(2)若投标人分包的，须提供《分包意问协议》(格式仅供参考，需加盖投标人与各分包承担主体的公章，并在协议中明确各方的合同全额比例，要求由中小微企业承担的合同金额比例符合预留份额的比例要求)，且须提供《中小企业声明</w:t>
      </w:r>
      <w:r>
        <w:rPr>
          <w:rFonts w:hint="eastAsia" w:hAnsi="宋体"/>
          <w:b w:val="0"/>
          <w:bCs w:val="0"/>
          <w:szCs w:val="21"/>
          <w:highlight w:val="none"/>
          <w:lang w:val="en-US" w:eastAsia="zh-CN"/>
        </w:rPr>
        <w:t>函</w:t>
      </w:r>
      <w:r>
        <w:rPr>
          <w:rFonts w:hint="eastAsia" w:hAnsi="宋体"/>
          <w:b w:val="0"/>
          <w:bCs w:val="0"/>
          <w:szCs w:val="21"/>
          <w:highlight w:val="none"/>
        </w:rPr>
        <w:t>》</w:t>
      </w:r>
      <w:r>
        <w:rPr>
          <w:szCs w:val="21"/>
          <w:highlight w:val="none"/>
        </w:rPr>
        <w:t>。对于同时属于小微企业、监狱企业或残疾人福利性</w:t>
      </w:r>
      <w:r>
        <w:rPr>
          <w:rFonts w:hint="eastAsia"/>
          <w:szCs w:val="21"/>
          <w:highlight w:val="none"/>
        </w:rPr>
        <w:t>单位的，不重复进行投标报价扣除。如有其它政策支持因素（如鼓励创新等）需一并列出</w:t>
      </w:r>
      <w:bookmarkEnd w:id="5"/>
      <w:r>
        <w:rPr>
          <w:rFonts w:hint="eastAsia"/>
          <w:szCs w:val="21"/>
          <w:highlight w:val="none"/>
        </w:rPr>
        <w:t>。</w:t>
      </w:r>
    </w:p>
    <w:p>
      <w:pPr>
        <w:tabs>
          <w:tab w:val="clear" w:pos="426"/>
        </w:tabs>
        <w:spacing w:line="300" w:lineRule="auto"/>
        <w:ind w:firstLine="420" w:firstLineChars="200"/>
        <w:rPr>
          <w:szCs w:val="21"/>
          <w:highlight w:val="none"/>
        </w:rPr>
      </w:pPr>
      <w:r>
        <w:rPr>
          <w:rFonts w:hint="eastAsia"/>
          <w:szCs w:val="21"/>
          <w:highlight w:val="none"/>
        </w:rPr>
        <w:t>四、</w:t>
      </w:r>
      <w:r>
        <w:rPr>
          <w:szCs w:val="21"/>
          <w:highlight w:val="none"/>
        </w:rPr>
        <w:t>评标专家应对通过投标文件初审进入评标程序的投标文件先评技术标、再评商务标；</w:t>
      </w:r>
    </w:p>
    <w:p>
      <w:pPr>
        <w:tabs>
          <w:tab w:val="clear" w:pos="426"/>
        </w:tabs>
        <w:spacing w:line="300" w:lineRule="auto"/>
        <w:ind w:firstLine="420" w:firstLineChars="200"/>
        <w:rPr>
          <w:szCs w:val="21"/>
          <w:highlight w:val="none"/>
        </w:rPr>
      </w:pPr>
      <w:r>
        <w:rPr>
          <w:rFonts w:hint="eastAsia"/>
          <w:szCs w:val="21"/>
          <w:highlight w:val="none"/>
        </w:rPr>
        <w:t>五、</w:t>
      </w:r>
      <w:r>
        <w:rPr>
          <w:szCs w:val="21"/>
          <w:highlight w:val="none"/>
        </w:rPr>
        <w:t>评标专家需按招标文件规定的评审标准对投标</w:t>
      </w:r>
      <w:r>
        <w:rPr>
          <w:rFonts w:hint="eastAsia"/>
          <w:szCs w:val="21"/>
          <w:highlight w:val="none"/>
        </w:rPr>
        <w:t>供应商</w:t>
      </w:r>
      <w:r>
        <w:rPr>
          <w:szCs w:val="21"/>
          <w:highlight w:val="none"/>
        </w:rPr>
        <w:t>提交的投标文件进行评审，投标文件中与评审标准无关的内容不作为评审内容</w:t>
      </w:r>
      <w:r>
        <w:rPr>
          <w:rFonts w:hint="eastAsia"/>
          <w:szCs w:val="21"/>
          <w:highlight w:val="none"/>
        </w:rPr>
        <w:t>。</w:t>
      </w:r>
    </w:p>
    <w:p>
      <w:pPr>
        <w:tabs>
          <w:tab w:val="clear" w:pos="426"/>
        </w:tabs>
        <w:spacing w:line="300" w:lineRule="auto"/>
        <w:ind w:firstLine="420" w:firstLineChars="200"/>
        <w:rPr>
          <w:rFonts w:hAnsi="宋体"/>
          <w:szCs w:val="21"/>
          <w:highlight w:val="none"/>
        </w:rPr>
      </w:pPr>
      <w:r>
        <w:rPr>
          <w:rFonts w:hint="eastAsia"/>
          <w:szCs w:val="21"/>
          <w:highlight w:val="none"/>
        </w:rPr>
        <w:t>六、评标委员会在评标时，应按照以下量化的评审因素，对各投标文件进行分析和比较</w:t>
      </w:r>
      <w:r>
        <w:rPr>
          <w:rFonts w:hint="eastAsia" w:hAnsi="宋体"/>
          <w:szCs w:val="21"/>
          <w:highlight w:val="none"/>
        </w:rPr>
        <w:t>：</w:t>
      </w:r>
    </w:p>
    <w:p>
      <w:pPr>
        <w:shd w:val="clear" w:color="auto" w:fill="auto"/>
        <w:tabs>
          <w:tab w:val="clear" w:pos="426"/>
        </w:tabs>
        <w:adjustRightInd/>
        <w:snapToGrid/>
        <w:spacing w:line="240" w:lineRule="auto"/>
        <w:jc w:val="left"/>
        <w:rPr>
          <w:rFonts w:hAnsi="宋体"/>
          <w:szCs w:val="21"/>
          <w:highlight w:val="none"/>
        </w:rPr>
      </w:pPr>
      <w:r>
        <w:rPr>
          <w:rFonts w:hAnsi="宋体"/>
          <w:szCs w:val="21"/>
          <w:highlight w:val="none"/>
        </w:rPr>
        <w:br w:type="page"/>
      </w:r>
    </w:p>
    <w:p>
      <w:pPr>
        <w:pStyle w:val="62"/>
        <w:widowControl w:val="0"/>
        <w:shd w:val="clear" w:color="auto" w:fill="auto"/>
        <w:tabs>
          <w:tab w:val="clear" w:pos="426"/>
        </w:tabs>
        <w:adjustRightInd/>
        <w:snapToGrid/>
        <w:outlineLvl w:val="0"/>
        <w:rPr>
          <w:rFonts w:ascii="宋体"/>
          <w:bCs w:val="0"/>
          <w:sz w:val="36"/>
          <w:szCs w:val="36"/>
          <w:highlight w:val="none"/>
        </w:rPr>
      </w:pPr>
      <w:bookmarkStart w:id="6" w:name="_Toc152759218"/>
      <w:r>
        <w:rPr>
          <w:rFonts w:hint="eastAsia" w:ascii="宋体"/>
          <w:bCs w:val="0"/>
          <w:sz w:val="36"/>
          <w:szCs w:val="36"/>
          <w:highlight w:val="none"/>
        </w:rPr>
        <w:t>评分细则表</w:t>
      </w:r>
      <w:bookmarkEnd w:id="6"/>
    </w:p>
    <w:tbl>
      <w:tblPr>
        <w:tblStyle w:val="85"/>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568"/>
        <w:gridCol w:w="1826"/>
        <w:gridCol w:w="1160"/>
        <w:gridCol w:w="5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shd w:val="clear" w:color="auto" w:fill="auto"/>
            <w:vAlign w:val="center"/>
          </w:tcPr>
          <w:p>
            <w:pPr>
              <w:spacing w:line="240" w:lineRule="auto"/>
              <w:jc w:val="center"/>
              <w:rPr>
                <w:rFonts w:hint="default" w:hAnsi="宋体"/>
                <w:b/>
                <w:bCs/>
                <w:color w:val="auto"/>
                <w:szCs w:val="21"/>
                <w:highlight w:val="none"/>
                <w:lang w:val="en-US" w:eastAsia="zh-CN"/>
              </w:rPr>
            </w:pPr>
            <w:bookmarkStart w:id="7" w:name="_Hlk109230509"/>
            <w:bookmarkStart w:id="8" w:name="_Toc432592812"/>
            <w:r>
              <w:rPr>
                <w:rFonts w:hint="eastAsia" w:hAnsi="宋体"/>
                <w:b/>
                <w:bCs/>
                <w:color w:val="auto"/>
                <w:szCs w:val="21"/>
                <w:highlight w:val="none"/>
                <w:lang w:val="en-US" w:eastAsia="zh-CN"/>
              </w:rPr>
              <w:t>序号</w:t>
            </w:r>
          </w:p>
        </w:tc>
        <w:tc>
          <w:tcPr>
            <w:tcW w:w="3554" w:type="dxa"/>
            <w:gridSpan w:val="3"/>
            <w:shd w:val="clear" w:color="auto" w:fill="auto"/>
            <w:vAlign w:val="center"/>
          </w:tcPr>
          <w:p>
            <w:pPr>
              <w:spacing w:line="240" w:lineRule="auto"/>
              <w:jc w:val="center"/>
              <w:rPr>
                <w:rFonts w:hint="eastAsia" w:hAnsi="宋体"/>
                <w:b/>
                <w:bCs/>
                <w:color w:val="auto"/>
                <w:szCs w:val="21"/>
                <w:highlight w:val="none"/>
              </w:rPr>
            </w:pPr>
            <w:r>
              <w:rPr>
                <w:rFonts w:hint="eastAsia" w:hAnsi="宋体"/>
                <w:b/>
                <w:bCs/>
                <w:color w:val="auto"/>
                <w:szCs w:val="21"/>
                <w:highlight w:val="none"/>
                <w:lang w:val="en-US" w:eastAsia="zh-CN"/>
              </w:rPr>
              <w:t>评分项</w:t>
            </w:r>
          </w:p>
        </w:tc>
        <w:tc>
          <w:tcPr>
            <w:tcW w:w="5536" w:type="dxa"/>
            <w:shd w:val="clear" w:color="auto" w:fill="auto"/>
            <w:vAlign w:val="center"/>
          </w:tcPr>
          <w:p>
            <w:pPr>
              <w:spacing w:line="240" w:lineRule="auto"/>
              <w:jc w:val="center"/>
              <w:rPr>
                <w:rFonts w:hint="eastAsia" w:hAnsi="宋体"/>
                <w:b/>
                <w:bCs/>
                <w:color w:val="auto"/>
                <w:szCs w:val="21"/>
                <w:highlight w:val="none"/>
              </w:rPr>
            </w:pPr>
            <w:r>
              <w:rPr>
                <w:rFonts w:hint="eastAsia" w:hAnsi="宋体"/>
                <w:b/>
                <w:bCs/>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shd w:val="clear" w:color="auto" w:fill="auto"/>
            <w:vAlign w:val="center"/>
          </w:tcPr>
          <w:p>
            <w:pPr>
              <w:spacing w:line="240" w:lineRule="auto"/>
              <w:jc w:val="center"/>
              <w:rPr>
                <w:rFonts w:hint="default" w:hAnsi="宋体"/>
                <w:b/>
                <w:bCs/>
                <w:color w:val="auto"/>
                <w:szCs w:val="21"/>
                <w:highlight w:val="none"/>
                <w:lang w:val="en-US" w:eastAsia="zh-CN"/>
              </w:rPr>
            </w:pPr>
            <w:r>
              <w:rPr>
                <w:rFonts w:hint="eastAsia" w:hAnsi="宋体"/>
                <w:b/>
                <w:bCs/>
                <w:color w:val="auto"/>
                <w:szCs w:val="21"/>
                <w:highlight w:val="none"/>
                <w:lang w:val="en-US" w:eastAsia="zh-CN"/>
              </w:rPr>
              <w:t>1</w:t>
            </w:r>
          </w:p>
        </w:tc>
        <w:tc>
          <w:tcPr>
            <w:tcW w:w="3554" w:type="dxa"/>
            <w:gridSpan w:val="3"/>
            <w:shd w:val="clear" w:color="auto" w:fill="auto"/>
            <w:vAlign w:val="center"/>
          </w:tcPr>
          <w:p>
            <w:pPr>
              <w:spacing w:line="240" w:lineRule="auto"/>
              <w:jc w:val="center"/>
              <w:rPr>
                <w:rFonts w:hint="eastAsia" w:hAnsi="宋体" w:eastAsia="宋体"/>
                <w:b/>
                <w:bCs/>
                <w:color w:val="auto"/>
                <w:szCs w:val="21"/>
                <w:highlight w:val="none"/>
                <w:lang w:val="en-US" w:eastAsia="zh-CN"/>
              </w:rPr>
            </w:pPr>
            <w:r>
              <w:rPr>
                <w:rFonts w:hint="eastAsia" w:hAnsi="宋体"/>
                <w:b/>
                <w:bCs/>
                <w:color w:val="auto"/>
                <w:szCs w:val="21"/>
                <w:highlight w:val="none"/>
                <w:lang w:val="en-US" w:eastAsia="zh-CN"/>
              </w:rPr>
              <w:t>技术</w:t>
            </w:r>
          </w:p>
        </w:tc>
        <w:tc>
          <w:tcPr>
            <w:tcW w:w="5536" w:type="dxa"/>
            <w:shd w:val="clear" w:color="auto" w:fill="auto"/>
            <w:vAlign w:val="center"/>
          </w:tcPr>
          <w:p>
            <w:pPr>
              <w:spacing w:line="240" w:lineRule="auto"/>
              <w:jc w:val="center"/>
              <w:rPr>
                <w:rFonts w:hint="eastAsia" w:hAnsi="宋体" w:eastAsia="宋体"/>
                <w:b/>
                <w:bCs/>
                <w:color w:val="auto"/>
                <w:szCs w:val="21"/>
                <w:highlight w:val="none"/>
                <w:lang w:val="en-US" w:eastAsia="zh-CN"/>
              </w:rPr>
            </w:pPr>
            <w:r>
              <w:rPr>
                <w:rFonts w:hint="eastAsia" w:hAnsi="宋体"/>
                <w:b/>
                <w:bCs/>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restart"/>
            <w:shd w:val="clear" w:color="auto" w:fill="auto"/>
            <w:vAlign w:val="center"/>
          </w:tcPr>
          <w:p>
            <w:pPr>
              <w:spacing w:line="240" w:lineRule="auto"/>
              <w:jc w:val="center"/>
              <w:rPr>
                <w:rFonts w:hint="eastAsia" w:hAnsi="宋体"/>
                <w:b/>
                <w:bCs/>
                <w:color w:val="auto"/>
                <w:szCs w:val="21"/>
                <w:highlight w:val="none"/>
                <w:lang w:val="en-US" w:eastAsia="zh-CN"/>
              </w:rPr>
            </w:pPr>
          </w:p>
        </w:tc>
        <w:tc>
          <w:tcPr>
            <w:tcW w:w="568" w:type="dxa"/>
            <w:shd w:val="clear" w:color="auto" w:fill="auto"/>
            <w:vAlign w:val="center"/>
          </w:tcPr>
          <w:p>
            <w:pPr>
              <w:spacing w:line="240" w:lineRule="auto"/>
              <w:jc w:val="center"/>
              <w:rPr>
                <w:rFonts w:hint="eastAsia" w:hAnsi="宋体" w:eastAsia="宋体"/>
                <w:b/>
                <w:bCs/>
                <w:color w:val="auto"/>
                <w:szCs w:val="21"/>
                <w:highlight w:val="none"/>
                <w:lang w:val="en-US" w:eastAsia="zh-CN"/>
              </w:rPr>
            </w:pPr>
            <w:r>
              <w:rPr>
                <w:rFonts w:hint="eastAsia" w:hAnsi="宋体"/>
                <w:b/>
                <w:bCs/>
                <w:iCs/>
                <w:color w:val="auto"/>
                <w:szCs w:val="21"/>
                <w:highlight w:val="none"/>
                <w:lang w:val="en-US" w:eastAsia="zh-CN"/>
              </w:rPr>
              <w:t>序号</w:t>
            </w:r>
          </w:p>
        </w:tc>
        <w:tc>
          <w:tcPr>
            <w:tcW w:w="1826" w:type="dxa"/>
            <w:shd w:val="clear" w:color="auto" w:fill="auto"/>
            <w:vAlign w:val="center"/>
          </w:tcPr>
          <w:p>
            <w:pPr>
              <w:spacing w:line="240" w:lineRule="auto"/>
              <w:jc w:val="center"/>
              <w:rPr>
                <w:rFonts w:hAnsi="宋体"/>
                <w:b/>
                <w:bCs/>
                <w:color w:val="auto"/>
                <w:szCs w:val="21"/>
                <w:highlight w:val="none"/>
              </w:rPr>
            </w:pPr>
            <w:r>
              <w:rPr>
                <w:rFonts w:hint="eastAsia" w:hAnsi="宋体"/>
                <w:b/>
                <w:bCs/>
                <w:iCs/>
                <w:color w:val="auto"/>
                <w:szCs w:val="21"/>
                <w:highlight w:val="none"/>
                <w:lang w:val="en-US" w:eastAsia="zh-CN"/>
              </w:rPr>
              <w:t>评分因素</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b/>
                <w:bCs/>
                <w:color w:val="auto"/>
                <w:szCs w:val="21"/>
                <w:highlight w:val="none"/>
              </w:rPr>
            </w:pPr>
            <w:r>
              <w:rPr>
                <w:rFonts w:hint="eastAsia" w:hAnsi="宋体"/>
                <w:b/>
                <w:bCs/>
                <w:iCs/>
                <w:color w:val="auto"/>
                <w:szCs w:val="21"/>
                <w:highlight w:val="none"/>
                <w:lang w:val="en-US" w:eastAsia="zh-CN"/>
              </w:rPr>
              <w:t>分值</w:t>
            </w:r>
          </w:p>
        </w:tc>
        <w:tc>
          <w:tcPr>
            <w:tcW w:w="5536" w:type="dxa"/>
            <w:shd w:val="clear" w:color="auto" w:fill="auto"/>
            <w:vAlign w:val="center"/>
          </w:tcPr>
          <w:p>
            <w:pPr>
              <w:spacing w:line="240" w:lineRule="auto"/>
              <w:ind w:firstLine="422" w:firstLineChars="200"/>
              <w:jc w:val="center"/>
              <w:rPr>
                <w:rFonts w:hAnsi="宋体"/>
                <w:b/>
                <w:bCs/>
                <w:color w:val="auto"/>
                <w:szCs w:val="21"/>
                <w:highlight w:val="none"/>
              </w:rPr>
            </w:pPr>
            <w:r>
              <w:rPr>
                <w:rFonts w:hint="eastAsia" w:hAnsi="宋体"/>
                <w:b/>
                <w:bCs/>
                <w:iCs/>
                <w:color w:val="auto"/>
                <w:szCs w:val="21"/>
                <w:highlight w:val="none"/>
                <w:lang w:val="en-US" w:eastAsia="zh-C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1</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配送实施方案</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所有涉及本项目配送服务的各方面方案，根据以下内容进行评审：</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1.货源；</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2.采购渠道；</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3.供货保障；</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4.品质监控；</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5.日常管理组织；</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6.防疫措施；</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7.应急预案；</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8.物流配送方案；</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9.各种规章制度；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满足以上全部内容得2分，每少一项扣0.3分，扣完为止。在此基础上，评委根据各投标人提供的配送服务方案进一步评审：</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优：完全满足项目需求，实施方案合理，可操作性强，得3分；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良：评分标准：较能满足项目需求，实施方案较合理，可操作性较强，得2分；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中：评分标准：基本满足项目需求，实施方案一般，具有一定可操作性，得1分；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差：评分标准：不能满足项目需求，实施方案思路不清，可操作性不强。如果评审为差，要求专家书面说明理由，并记录在档。未提供的不得分。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shd w:val="clear" w:color="auto" w:fill="auto"/>
            <w:vAlign w:val="center"/>
          </w:tcPr>
          <w:p>
            <w:pPr>
              <w:spacing w:line="240" w:lineRule="auto"/>
              <w:jc w:val="center"/>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2</w:t>
            </w:r>
          </w:p>
        </w:tc>
        <w:tc>
          <w:tcPr>
            <w:tcW w:w="3554"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商务</w:t>
            </w:r>
          </w:p>
        </w:tc>
        <w:tc>
          <w:tcPr>
            <w:tcW w:w="5536" w:type="dxa"/>
            <w:shd w:val="clear" w:color="auto" w:fill="auto"/>
            <w:vAlign w:val="center"/>
          </w:tcPr>
          <w:p>
            <w:pPr>
              <w:spacing w:line="240" w:lineRule="auto"/>
              <w:ind w:firstLine="422" w:firstLineChars="200"/>
              <w:jc w:val="center"/>
              <w:rPr>
                <w:rFonts w:hint="default" w:hAnsi="宋体" w:eastAsia="宋体"/>
                <w:b/>
                <w:bCs/>
                <w:iCs/>
                <w:color w:val="auto"/>
                <w:szCs w:val="21"/>
                <w:highlight w:val="none"/>
                <w:lang w:val="en-US" w:eastAsia="zh-CN"/>
              </w:rPr>
            </w:pPr>
            <w:r>
              <w:rPr>
                <w:rFonts w:hint="eastAsia" w:hAnsi="宋体"/>
                <w:b/>
                <w:bCs/>
                <w:iCs/>
                <w:color w:val="auto"/>
                <w:szCs w:val="21"/>
                <w:highlight w:val="none"/>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restart"/>
            <w:shd w:val="clear" w:color="auto" w:fill="auto"/>
            <w:vAlign w:val="center"/>
          </w:tcPr>
          <w:p>
            <w:pPr>
              <w:spacing w:line="240" w:lineRule="auto"/>
              <w:jc w:val="center"/>
              <w:rPr>
                <w:rFonts w:hint="eastAsia" w:hAnsi="宋体"/>
                <w:b/>
                <w:bCs/>
                <w:iCs/>
                <w:color w:val="auto"/>
                <w:szCs w:val="21"/>
                <w:highlight w:val="none"/>
              </w:rPr>
            </w:pPr>
          </w:p>
        </w:tc>
        <w:tc>
          <w:tcPr>
            <w:tcW w:w="568" w:type="dxa"/>
            <w:shd w:val="clear" w:color="auto" w:fill="auto"/>
            <w:vAlign w:val="center"/>
          </w:tcPr>
          <w:p>
            <w:pPr>
              <w:spacing w:line="240" w:lineRule="auto"/>
              <w:jc w:val="center"/>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序号</w:t>
            </w:r>
          </w:p>
        </w:tc>
        <w:tc>
          <w:tcPr>
            <w:tcW w:w="1826" w:type="dxa"/>
            <w:shd w:val="clear" w:color="auto" w:fill="auto"/>
            <w:vAlign w:val="center"/>
          </w:tcPr>
          <w:p>
            <w:pPr>
              <w:spacing w:line="240" w:lineRule="auto"/>
              <w:jc w:val="center"/>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评分因素</w:t>
            </w:r>
          </w:p>
        </w:tc>
        <w:tc>
          <w:tcPr>
            <w:tcW w:w="1160"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lang w:val="en-US" w:eastAsia="zh-CN"/>
              </w:rPr>
            </w:pPr>
            <w:r>
              <w:rPr>
                <w:rFonts w:hint="eastAsia" w:hAnsi="宋体"/>
                <w:b/>
                <w:bCs/>
                <w:iCs/>
                <w:color w:val="auto"/>
                <w:szCs w:val="21"/>
                <w:highlight w:val="none"/>
                <w:lang w:val="en-US" w:eastAsia="zh-CN"/>
              </w:rPr>
              <w:t>分值</w:t>
            </w:r>
          </w:p>
        </w:tc>
        <w:tc>
          <w:tcPr>
            <w:tcW w:w="5536" w:type="dxa"/>
            <w:shd w:val="clear" w:color="auto" w:fill="auto"/>
            <w:vAlign w:val="center"/>
          </w:tcPr>
          <w:p>
            <w:pPr>
              <w:spacing w:line="240" w:lineRule="auto"/>
              <w:ind w:firstLine="422" w:firstLineChars="200"/>
              <w:jc w:val="center"/>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eastAsia="宋体"/>
                <w:iCs/>
                <w:color w:val="auto"/>
                <w:szCs w:val="21"/>
                <w:highlight w:val="none"/>
                <w:lang w:val="en-US" w:eastAsia="zh-CN"/>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1</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体系认证情况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投标人具有：</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（1）质量管理体系认证证书；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w:t>
            </w:r>
            <w:r>
              <w:rPr>
                <w:rFonts w:hAnsi="宋体"/>
                <w:iCs/>
                <w:color w:val="auto"/>
                <w:szCs w:val="21"/>
                <w:highlight w:val="none"/>
              </w:rPr>
              <w:t>2</w:t>
            </w:r>
            <w:r>
              <w:rPr>
                <w:rFonts w:hint="eastAsia" w:hAnsi="宋体"/>
                <w:iCs/>
                <w:color w:val="auto"/>
                <w:szCs w:val="21"/>
                <w:highlight w:val="none"/>
              </w:rPr>
              <w:t>）食品安全管理体系认证证书；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（3）售后服务认证证书；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（4）农副产品配送服务认证证书；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（5）食用农产品保鲜贮藏规范体系认证证书；</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满足以上一项得1分，累计最高得5分，不提供不得分。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（1）要求提供有效的认证证书复印件，原件备查作为得分依据。</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（2）国家认证认可监督管理委员会批准的认证机构颁发的认证证书需同时出具证书官网或全国认证认可信息公共服务平台</w:t>
            </w:r>
            <w:r>
              <w:rPr>
                <w:rFonts w:hint="eastAsia" w:hAnsi="宋体" w:cs="仿宋"/>
                <w:color w:val="auto"/>
                <w:kern w:val="2"/>
                <w:szCs w:val="21"/>
                <w:highlight w:val="none"/>
              </w:rPr>
              <w:t>（认e云）</w:t>
            </w:r>
            <w:r>
              <w:rPr>
                <w:rFonts w:hint="eastAsia" w:hAnsi="宋体"/>
                <w:iCs/>
                <w:color w:val="auto"/>
                <w:szCs w:val="21"/>
                <w:highlight w:val="none"/>
              </w:rPr>
              <w:t>（http://cx.cnca.cn/）的证书查询记录</w:t>
            </w:r>
            <w:r>
              <w:rPr>
                <w:rFonts w:hint="eastAsia" w:hAnsi="宋体" w:cs="仿宋"/>
                <w:color w:val="auto"/>
                <w:kern w:val="2"/>
                <w:szCs w:val="21"/>
                <w:highlight w:val="none"/>
              </w:rPr>
              <w:t>（须体现网站信息）</w:t>
            </w:r>
            <w:r>
              <w:rPr>
                <w:rFonts w:hint="eastAsia" w:hAnsi="宋体"/>
                <w:iCs/>
                <w:color w:val="auto"/>
                <w:szCs w:val="21"/>
                <w:highlight w:val="none"/>
              </w:rPr>
              <w:t>。</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（3）上述资料加盖投标人公章，原件备查。评分中出现无证明资料或专家无法凭所提供资料判断是否得分的情况，一律作不得分处理。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2</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同类业绩</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根据投标人2021年1月1日至本项目投标截止之日（以合同签订时间为准）独立承担行政单位或企事业单位食堂食材配送业绩情况（且履约评价为优或优秀或满意或90分（含以上的）或</w:t>
            </w:r>
            <w:r>
              <w:rPr>
                <w:rFonts w:hint="eastAsia" w:hAnsi="宋体" w:cs="仿宋"/>
                <w:color w:val="auto"/>
                <w:kern w:val="2"/>
                <w:szCs w:val="21"/>
                <w:highlight w:val="none"/>
              </w:rPr>
              <w:t>其他最高档次评价</w:t>
            </w:r>
            <w:r>
              <w:rPr>
                <w:rFonts w:hint="eastAsia" w:hAnsi="宋体"/>
                <w:iCs/>
                <w:color w:val="auto"/>
                <w:szCs w:val="21"/>
                <w:highlight w:val="none"/>
              </w:rPr>
              <w:t xml:space="preserve">的）进行评分，多份合同仅对应一份中标通知书的，仅算作一个业绩。每提供一项业绩，得1分，累计最高得5分。 </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numPr>
                <w:ilvl w:val="0"/>
                <w:numId w:val="34"/>
              </w:num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投标人须提供项目业绩的中标</w:t>
            </w:r>
            <w:r>
              <w:rPr>
                <w:rFonts w:hint="eastAsia" w:hAnsi="宋体"/>
                <w:iCs/>
                <w:color w:val="auto"/>
                <w:szCs w:val="21"/>
                <w:highlight w:val="none"/>
                <w:lang w:eastAsia="zh-CN"/>
              </w:rPr>
              <w:t>（</w:t>
            </w:r>
            <w:r>
              <w:rPr>
                <w:rFonts w:hint="eastAsia" w:hAnsi="宋体"/>
                <w:iCs/>
                <w:color w:val="auto"/>
                <w:szCs w:val="21"/>
                <w:highlight w:val="none"/>
                <w:lang w:val="en-US" w:eastAsia="zh-CN"/>
              </w:rPr>
              <w:t>成交</w:t>
            </w:r>
            <w:r>
              <w:rPr>
                <w:rFonts w:hint="eastAsia" w:hAnsi="宋体"/>
                <w:iCs/>
                <w:color w:val="auto"/>
                <w:szCs w:val="21"/>
                <w:highlight w:val="none"/>
                <w:lang w:eastAsia="zh-CN"/>
              </w:rPr>
              <w:t>）</w:t>
            </w:r>
            <w:r>
              <w:rPr>
                <w:rFonts w:hint="eastAsia" w:hAnsi="宋体"/>
                <w:iCs/>
                <w:color w:val="auto"/>
                <w:szCs w:val="21"/>
                <w:highlight w:val="none"/>
              </w:rPr>
              <w:t>通知书和合同原件关键页复印件及评价为优或优秀或满意或90分（含以上的）或</w:t>
            </w:r>
            <w:r>
              <w:rPr>
                <w:rFonts w:hint="eastAsia" w:hAnsi="宋体" w:cs="仿宋"/>
                <w:color w:val="auto"/>
                <w:kern w:val="2"/>
                <w:szCs w:val="21"/>
                <w:highlight w:val="none"/>
              </w:rPr>
              <w:t>其他最高档次评价</w:t>
            </w:r>
            <w:r>
              <w:rPr>
                <w:rFonts w:hint="eastAsia" w:hAnsi="宋体"/>
                <w:iCs/>
                <w:color w:val="auto"/>
                <w:szCs w:val="21"/>
                <w:highlight w:val="none"/>
              </w:rPr>
              <w:t>的履约评价复印件。</w:t>
            </w:r>
          </w:p>
          <w:p>
            <w:pPr>
              <w:numPr>
                <w:ilvl w:val="0"/>
                <w:numId w:val="34"/>
              </w:num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上述资料加盖投标人公章，原件备查。评分中出现无证明资料或专家无法凭所提供资料判断是否得分的情况，一律作不得分处理。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3</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配送场所情况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4</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根据投标人的配送场所面积进行评分：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（1）3000（含）平方米以上的，得4分；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（2）1500（含）-3000（不含）平方米的，得3分；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（3）800（含）-1500（不含）平方米的，得2分；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（4）800（不含）平方米以下，得1分；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（5）承诺中标后5个工作日内提供上述相应的配送场所面积则得上述相应的分数。</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numPr>
                <w:ilvl w:val="0"/>
                <w:numId w:val="35"/>
              </w:num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投标人提供的场所地权属证明（房产证明或租赁合同（合同有效期应为投标截止之日后六个月））的复印件，租赁的还需提供合同发票复印件。承诺中标后投入的提供承诺函，格式自拟。</w:t>
            </w:r>
            <w:r>
              <w:rPr>
                <w:rFonts w:hint="eastAsia"/>
                <w:color w:val="auto"/>
                <w:highlight w:val="none"/>
              </w:rPr>
              <w:t>多个配送场地</w:t>
            </w:r>
            <w:r>
              <w:rPr>
                <w:rFonts w:hint="eastAsia"/>
                <w:color w:val="auto"/>
                <w:highlight w:val="none"/>
                <w:lang w:val="en-US" w:eastAsia="zh-CN"/>
              </w:rPr>
              <w:t>可</w:t>
            </w:r>
            <w:r>
              <w:rPr>
                <w:rFonts w:hint="eastAsia"/>
                <w:color w:val="auto"/>
                <w:highlight w:val="none"/>
              </w:rPr>
              <w:t>累计</w:t>
            </w:r>
            <w:r>
              <w:rPr>
                <w:rFonts w:hint="eastAsia"/>
                <w:color w:val="auto"/>
                <w:highlight w:val="none"/>
                <w:lang w:val="en-US" w:eastAsia="zh-CN"/>
              </w:rPr>
              <w:t>后予以评分。</w:t>
            </w:r>
          </w:p>
          <w:p>
            <w:pPr>
              <w:numPr>
                <w:ilvl w:val="0"/>
                <w:numId w:val="35"/>
              </w:num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上述资料加盖投标人公章，原件备查。评分中出现无证明资料或专家无法凭所提供资料判断是否得分的情况，一律作不得分处理。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4</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基地建设情况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1.投标人具备（自有或租赁或合作）蔬菜种植基地面积情况：面积≥1000 亩的，得2分；500 亩＜面积＜1000 亩的，得1分；其他情况不得分，本项最高得2分。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2.按以下要求提供2023年1月1日来至投标截止之日，由第三方检测机构出具带有CMA或CNAS印章标识的种植基地检测报告（检测报告的委托单位需为投标人，检测结果或结论为合格或符合或其他同等表述）：</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（1）提供土壤检测报告，得1分；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（2）提供灌溉水源检测报告，得1分；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（3）提供环境空气检测报告，得1分；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以上</w:t>
            </w:r>
            <w:r>
              <w:rPr>
                <w:rFonts w:hint="eastAsia" w:hAnsi="宋体"/>
                <w:iCs/>
                <w:color w:val="auto"/>
                <w:szCs w:val="21"/>
                <w:highlight w:val="none"/>
                <w:lang w:val="en-US" w:eastAsia="zh-CN"/>
              </w:rPr>
              <w:t>累计</w:t>
            </w:r>
            <w:r>
              <w:rPr>
                <w:rFonts w:hint="eastAsia" w:hAnsi="宋体"/>
                <w:iCs/>
                <w:color w:val="auto"/>
                <w:szCs w:val="21"/>
                <w:highlight w:val="none"/>
              </w:rPr>
              <w:t>最高得5分。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（1）投标人提供有效的自有蔬菜种植基地产权证明或基地土地租赁合同证明文件或合作协议复印件</w:t>
            </w:r>
            <w:r>
              <w:rPr>
                <w:rFonts w:hint="eastAsia" w:hAnsi="宋体"/>
                <w:iCs/>
                <w:color w:val="auto"/>
                <w:szCs w:val="21"/>
                <w:highlight w:val="none"/>
                <w:lang w:eastAsia="zh-CN"/>
              </w:rPr>
              <w:t>。</w:t>
            </w:r>
            <w:r>
              <w:rPr>
                <w:rFonts w:hint="eastAsia" w:hAnsi="宋体"/>
                <w:iCs/>
                <w:color w:val="auto"/>
                <w:szCs w:val="21"/>
                <w:highlight w:val="none"/>
              </w:rPr>
              <w:t>多个蔬菜种植基地可累计后予以评分。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（2）投标人提供土壤、灌溉水源、环境空气相关检测报告复印件；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（3）上述资料加盖投标人公章，原件备查。评分中出现无证明资料或专家无法凭所提供资料判断是否得分的情况，一律作不得分处理。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5</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食材检测</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12</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根据投标人提供的自2023年1月1日至本项目投标截止日之前，由具备中国计量认证（以下简称“CMA”）资质或中国合格评定国家认可委员会（以下简称“CNAS”）资质的第三方检测机构出具印有CMA印章标识或CNAS印章标识的检测报告（检测报告的委托单位需为投标人，检测结果为合格或未检出等表述，且报告应注明样品的抽样方式为“随机抽样”，随机采集样品每个抽样单元内抽样点不少于3个，否则不得分）：</w:t>
            </w:r>
          </w:p>
          <w:p>
            <w:pPr>
              <w:spacing w:line="240" w:lineRule="auto"/>
              <w:ind w:firstLine="210" w:firstLineChars="100"/>
              <w:jc w:val="left"/>
              <w:rPr>
                <w:rFonts w:hAnsi="宋体"/>
                <w:iCs/>
                <w:color w:val="auto"/>
                <w:szCs w:val="21"/>
                <w:highlight w:val="none"/>
              </w:rPr>
            </w:pPr>
            <w:r>
              <w:rPr>
                <w:rFonts w:hint="eastAsia" w:hAnsi="宋体"/>
                <w:iCs/>
                <w:color w:val="auto"/>
                <w:szCs w:val="21"/>
                <w:highlight w:val="none"/>
              </w:rPr>
              <w:t>（1）各提供叶菜类、瓜果类、水果类（三种）的检测报告，且每份检测报告的检测项目须包含：铅、镉、灭幼脲、三氯杀螨醇、苯并(b)荧蒽、五氯硝基苯、乙烯菌核利、乙酰甲胺磷、二嗪磷、嘧霉胺、苯并(a)芘、氯虫苯甲酰胺，以上全部符合得3分，其他情况不得分；</w:t>
            </w:r>
          </w:p>
          <w:p>
            <w:pPr>
              <w:spacing w:line="240" w:lineRule="auto"/>
              <w:ind w:firstLine="210" w:firstLineChars="100"/>
              <w:jc w:val="left"/>
              <w:rPr>
                <w:rFonts w:hAnsi="宋体"/>
                <w:iCs/>
                <w:color w:val="auto"/>
                <w:szCs w:val="21"/>
                <w:highlight w:val="none"/>
              </w:rPr>
            </w:pPr>
            <w:r>
              <w:rPr>
                <w:rFonts w:hint="eastAsia" w:hAnsi="宋体"/>
                <w:iCs/>
                <w:color w:val="auto"/>
                <w:szCs w:val="21"/>
                <w:highlight w:val="none"/>
              </w:rPr>
              <w:t>（2）各提供海鱼类、淡水鱼类、贝壳类（三种）的检测报告，且每份检测报告的检测项目须包含：铅、镉、培氟沙星、恩诺沙星、氟甲砜霉素、四环素、金霉素、土霉素、氯霉素、多西环素、磺胺甲噁唑、苯并(a)芘，以上全部符合得3分，其他情况不得分；</w:t>
            </w:r>
          </w:p>
          <w:p>
            <w:pPr>
              <w:spacing w:line="240" w:lineRule="auto"/>
              <w:ind w:firstLine="210" w:firstLineChars="100"/>
              <w:jc w:val="left"/>
              <w:rPr>
                <w:rFonts w:hAnsi="宋体"/>
                <w:iCs/>
                <w:color w:val="auto"/>
                <w:szCs w:val="21"/>
                <w:highlight w:val="none"/>
              </w:rPr>
            </w:pPr>
            <w:r>
              <w:rPr>
                <w:rFonts w:hint="eastAsia" w:hAnsi="宋体"/>
                <w:iCs/>
                <w:color w:val="auto"/>
                <w:szCs w:val="21"/>
                <w:highlight w:val="none"/>
              </w:rPr>
              <w:t>（3）各提供猪、牛、鸡（三种）的检测报告，且每份检测报告的检测项目须包含：铅、镉、呋喃丹、甲萘威、涕灭威、异丙威、金霉素、四环素、土霉素、呋喃西林代谢物、苯并(a)芘、磺胺喹恶啉，以上全部符合得3分，其他情况不得分；</w:t>
            </w:r>
          </w:p>
          <w:p>
            <w:pPr>
              <w:spacing w:line="240" w:lineRule="auto"/>
              <w:ind w:firstLine="210" w:firstLineChars="100"/>
              <w:jc w:val="left"/>
              <w:rPr>
                <w:rFonts w:hAnsi="宋体"/>
                <w:iCs/>
                <w:color w:val="auto"/>
                <w:szCs w:val="21"/>
                <w:highlight w:val="none"/>
              </w:rPr>
            </w:pPr>
            <w:r>
              <w:rPr>
                <w:rFonts w:hint="eastAsia" w:hAnsi="宋体"/>
                <w:iCs/>
                <w:color w:val="auto"/>
                <w:szCs w:val="21"/>
                <w:highlight w:val="none"/>
              </w:rPr>
              <w:t>（4）各提供酱油、醋、辣椒酱（三种）的检测报告，且每份检测报告的检测项目须包含：铅、镉、苯甲酸、黄曲霉毒素B1、二嗪磷、哒螨灵、阿维菌素、2,6-二叔丁基对甲基苯酚(BHT)、没食子酸丙酯（PG）、叔丁基对苯二酚(TBHQ)、叔丁基对羟基茴香醚(BHA)、环己基氨基磺酸钠，以上全部符合得3分，其他情况不得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本项累计最高得12分。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投标人提供2023年1月1日至本项目投标截止日之前连续三个月</w:t>
            </w:r>
            <w:r>
              <w:rPr>
                <w:rFonts w:hAnsi="宋体" w:cs="仿宋"/>
                <w:color w:val="auto"/>
                <w:kern w:val="2"/>
                <w:szCs w:val="21"/>
                <w:highlight w:val="none"/>
              </w:rPr>
              <w:t>（时间以抽样时间为准）</w:t>
            </w:r>
            <w:r>
              <w:rPr>
                <w:rFonts w:hint="eastAsia" w:hAnsi="宋体"/>
                <w:iCs/>
                <w:color w:val="auto"/>
                <w:szCs w:val="21"/>
                <w:highlight w:val="none"/>
              </w:rPr>
              <w:t>抽样产品的检测报告（加盖第三方检测机构公章和检测专用章）复印件及相对应三个月的检测费用发票，检测报告上需有CMA印章标识或CNAS印章标识和抽样人员信息，提供食品安全抽样检验任务委托书复印件。未按要求提供或提供不清晰导致专家无法判断的不得分，原件备查。</w:t>
            </w:r>
          </w:p>
          <w:p>
            <w:pPr>
              <w:spacing w:line="240" w:lineRule="auto"/>
              <w:ind w:firstLine="420" w:firstLineChars="200"/>
              <w:jc w:val="left"/>
              <w:rPr>
                <w:rFonts w:hAnsi="宋体"/>
                <w:iCs/>
                <w:color w:val="auto"/>
                <w:szCs w:val="21"/>
                <w:highlight w:val="none"/>
              </w:rPr>
            </w:pPr>
            <w:r>
              <w:rPr>
                <w:rFonts w:hint="eastAsia" w:hAnsi="宋体" w:cs="仿宋"/>
                <w:color w:val="auto"/>
                <w:kern w:val="2"/>
                <w:szCs w:val="21"/>
                <w:highlight w:val="none"/>
              </w:rPr>
              <w:t>注：若供应商成立不足三个月的，需提供成立情况说明函（格式自拟，加盖投标人公章），无需提供相关检测报告，亦可得分；原件备查，未按要求提供或提供不清晰导致专家无法判断的不得分。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6</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冷库情况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4</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投标人拟投入本项目自有或租赁的冷库（含冷藏库和冷冻库）：</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（1）300立方米（含）以上得4分；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（2）150立方米（含）-300（不含）立方米得2分；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（3）100立方米（含）-150（不含）立方米得1分；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（4）承诺中标后5个工作日内提供上述相应的冷库面积则得上述相应的分数。</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（1）自有冷库提供冷库工程竣工验收报告或冷库安装合同或冷库转让合同的复印件，租赁冷库提供租赁合同复印件；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（2）提供2023年1月1日至本项目投标截止日之前连续三个月</w:t>
            </w:r>
            <w:r>
              <w:rPr>
                <w:rFonts w:hAnsi="宋体" w:cs="仿宋"/>
                <w:color w:val="auto"/>
                <w:kern w:val="2"/>
                <w:szCs w:val="21"/>
                <w:highlight w:val="none"/>
              </w:rPr>
              <w:t>（时间以</w:t>
            </w:r>
            <w:r>
              <w:rPr>
                <w:rFonts w:hint="eastAsia" w:hAnsi="宋体" w:cs="仿宋"/>
                <w:color w:val="auto"/>
                <w:kern w:val="2"/>
                <w:szCs w:val="21"/>
                <w:highlight w:val="none"/>
                <w:lang w:val="en-US" w:eastAsia="zh-CN"/>
              </w:rPr>
              <w:t>证书</w:t>
            </w:r>
            <w:r>
              <w:rPr>
                <w:rFonts w:hAnsi="宋体" w:cs="仿宋"/>
                <w:color w:val="auto"/>
                <w:kern w:val="2"/>
                <w:szCs w:val="21"/>
                <w:highlight w:val="none"/>
              </w:rPr>
              <w:t>时间为准）</w:t>
            </w:r>
            <w:r>
              <w:rPr>
                <w:rFonts w:hint="eastAsia" w:hAnsi="宋体"/>
                <w:iCs/>
                <w:color w:val="auto"/>
                <w:szCs w:val="21"/>
                <w:highlight w:val="none"/>
              </w:rPr>
              <w:t>第三方检测机构出具带有</w:t>
            </w:r>
            <w:r>
              <w:rPr>
                <w:rFonts w:hint="eastAsia" w:hAnsi="宋体" w:cs="仿宋"/>
                <w:color w:val="auto"/>
                <w:kern w:val="2"/>
                <w:szCs w:val="21"/>
                <w:highlight w:val="none"/>
              </w:rPr>
              <w:t>CMA资质或</w:t>
            </w:r>
            <w:r>
              <w:rPr>
                <w:rFonts w:hint="eastAsia" w:hAnsi="宋体"/>
                <w:iCs/>
                <w:color w:val="auto"/>
                <w:szCs w:val="21"/>
                <w:highlight w:val="none"/>
              </w:rPr>
              <w:t>CNAS认证标志的冷库（含冷藏库和冷冻库）温度校准证书复印件，委托单位需为投标人；</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（3）提供第三方测绘机构出具的面积测绘报告复印件，委托单位需为投标人，且需体现冷库容积。</w:t>
            </w:r>
            <w:r>
              <w:rPr>
                <w:rFonts w:hint="eastAsia"/>
                <w:color w:val="auto"/>
                <w:highlight w:val="none"/>
              </w:rPr>
              <w:t>多个</w:t>
            </w:r>
            <w:r>
              <w:rPr>
                <w:rFonts w:hint="eastAsia" w:hAnsi="宋体"/>
                <w:iCs/>
                <w:color w:val="auto"/>
                <w:szCs w:val="21"/>
                <w:highlight w:val="none"/>
              </w:rPr>
              <w:t>冷库（含冷藏库和冷冻库）</w:t>
            </w:r>
            <w:r>
              <w:rPr>
                <w:rFonts w:hint="eastAsia"/>
                <w:color w:val="auto"/>
                <w:highlight w:val="none"/>
                <w:lang w:val="en-US" w:eastAsia="zh-CN"/>
              </w:rPr>
              <w:t>可</w:t>
            </w:r>
            <w:r>
              <w:rPr>
                <w:rFonts w:hint="eastAsia"/>
                <w:color w:val="auto"/>
                <w:highlight w:val="none"/>
              </w:rPr>
              <w:t>累计</w:t>
            </w:r>
            <w:r>
              <w:rPr>
                <w:rFonts w:hint="eastAsia"/>
                <w:color w:val="auto"/>
                <w:highlight w:val="none"/>
                <w:lang w:val="en-US" w:eastAsia="zh-CN"/>
              </w:rPr>
              <w:t>后予以评分。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（4）承诺中标后投入的提供承诺函，格式自拟。</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（5）以上资料加盖投标人公章，原件备查。评分中出现无证明资料或专家无法凭所提供资料判断是否得分的情况，一律作不得分处理。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7</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配送车辆</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2" w:firstLineChars="200"/>
              <w:jc w:val="left"/>
              <w:rPr>
                <w:rFonts w:hAnsi="宋体"/>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投标人拟投入本项目自有或租赁粤B牌冷藏车辆装备满分为5分。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（1）冷藏车≥5辆，得5分；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（2）3辆≤冷藏车＜5辆，得3分；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（3）1辆≤冷藏车＜3辆，得1分；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（4）承诺中标后5个工作日内提供上述相应的冷藏车数量则得上述相应的分数。</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（1）投标人自有车辆须提供行驶证和车头完整正面图片（含车牌号码），所有权人必须为投标人（冷藏车需能体现冷藏功能）。</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（2）投标人租赁车辆须提供车辆行驶证和租赁合同及车头完整正面图片（含车牌号码），租赁方必须为投标人（冷藏车需能体现冷藏功能）。</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（3）承诺中标后投入的提供承诺函，格式自拟。</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（4）以上资料加盖投标人公章，原件备查。评分中出现无证明资料或专家无法凭所提供资料判断是否得分的情况，一律作不得分处理。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8</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项目负责人情况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10</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投标人拟派本科（或以上）的本项目负责人（限1人），本项累计最高得10分（没有社保不得分）。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1.具有人社部门颁发的高级职称（农产品或食品类相关）的证书得3分；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2.具有</w:t>
            </w:r>
            <w:r>
              <w:rPr>
                <w:rFonts w:hint="eastAsia" w:hAnsi="宋体" w:cs="仿宋"/>
                <w:color w:val="auto"/>
                <w:kern w:val="2"/>
                <w:szCs w:val="21"/>
                <w:highlight w:val="none"/>
              </w:rPr>
              <w:t>人力资源与社会保障部门（或原劳动和社会保障）行政主管部门或在人力资源和社会保障部门备案的第三方评价机构颁发的</w:t>
            </w:r>
            <w:r>
              <w:rPr>
                <w:rFonts w:hint="eastAsia" w:hAnsi="宋体"/>
                <w:iCs/>
                <w:color w:val="auto"/>
                <w:szCs w:val="21"/>
                <w:highlight w:val="none"/>
              </w:rPr>
              <w:t>农产品食品检验员或食品检验员（工）技能等级或职业资格证书（一级/高级技师）得4分；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3.具有省级（含副省级）或以上政府部门颁发</w:t>
            </w:r>
            <w:r>
              <w:rPr>
                <w:rFonts w:hint="eastAsia" w:hAnsi="宋体"/>
                <w:iCs/>
                <w:color w:val="auto"/>
                <w:szCs w:val="21"/>
                <w:highlight w:val="none"/>
                <w:lang w:val="en-US" w:eastAsia="zh-CN"/>
              </w:rPr>
              <w:t>食材配送服务或农业类相关</w:t>
            </w:r>
            <w:r>
              <w:rPr>
                <w:rFonts w:hint="eastAsia" w:hAnsi="宋体"/>
                <w:iCs/>
                <w:color w:val="auto"/>
                <w:szCs w:val="21"/>
                <w:highlight w:val="none"/>
              </w:rPr>
              <w:t>的获奖证书得3分。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（1）提供相关证书的复印件；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涉及学历：提供毕业证书及学信网查询记录。对于较早颁发的学历证书，学信网无法查询的，要求提供其他佐证材料（如毕业院校、人社部门等颁发机构或监管机构等单位出具的证明）作为可以得分的依据等证明文件作为得分依据。海外留学人员（含港澳台）学历无法通过学信网站查询，允许提供“教育部留学服务中心出具的国外学历认证证书以及教育部留学服务中心官网查询截图”；</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（3）涉及技能等级或职业资格证书：还需同时提供技能人才评价证书全国联网查询截图（http://jndj.osta.org.cn）；</w:t>
            </w:r>
            <w:r>
              <w:rPr>
                <w:rFonts w:hint="eastAsia" w:hAnsi="宋体" w:cs="仿宋"/>
                <w:color w:val="auto"/>
                <w:kern w:val="2"/>
                <w:szCs w:val="21"/>
                <w:highlight w:val="none"/>
              </w:rPr>
              <w:t>如已获得职业技能等级证书，但尚未能在技能人才评价证书全国联网查询的，需提供发证机构在人社部备案的查询截图</w:t>
            </w:r>
            <w:r>
              <w:rPr>
                <w:rFonts w:hAnsi="宋体" w:cs="仿宋"/>
                <w:color w:val="auto"/>
                <w:kern w:val="2"/>
                <w:szCs w:val="21"/>
                <w:highlight w:val="none"/>
              </w:rPr>
              <w:t xml:space="preserve">(http://pjjg.osta.org.cn/) </w:t>
            </w:r>
            <w:r>
              <w:rPr>
                <w:rFonts w:hint="eastAsia" w:hAnsi="宋体" w:cs="仿宋"/>
                <w:color w:val="auto"/>
                <w:kern w:val="2"/>
                <w:szCs w:val="21"/>
                <w:highlight w:val="none"/>
              </w:rPr>
              <w:t>，截图页须显示评价机构的名称及开展职业技能等级认定的职业内容：包含职业名称、工种</w:t>
            </w:r>
            <w:r>
              <w:rPr>
                <w:rFonts w:hAnsi="宋体" w:cs="仿宋"/>
                <w:color w:val="auto"/>
                <w:kern w:val="2"/>
                <w:szCs w:val="21"/>
                <w:highlight w:val="none"/>
              </w:rPr>
              <w:t>/职业方向名称、级别（必须有1级）等信息，未包含或不符合以上信息不得分。另外提供发证机构开具加盖公章的证明文件；</w:t>
            </w:r>
            <w:r>
              <w:rPr>
                <w:rFonts w:hint="eastAsia" w:hAnsi="宋体" w:cs="仿宋"/>
                <w:color w:val="auto"/>
                <w:kern w:val="2"/>
                <w:szCs w:val="21"/>
                <w:highlight w:val="none"/>
              </w:rPr>
              <w:t>由行业协会等社会组织颁发的证书，还需同时提供该组织在“中国社会组织政务服务平台（全国社会组织信用信息公示平台）</w:t>
            </w:r>
            <w:r>
              <w:rPr>
                <w:rFonts w:hAnsi="宋体" w:cs="仿宋"/>
                <w:color w:val="auto"/>
                <w:kern w:val="2"/>
                <w:szCs w:val="21"/>
                <w:highlight w:val="none"/>
              </w:rPr>
              <w:t>https://chinanpo.mca.gov.cn/”的查询截图（截图需体现网址且状态为正常），否则不得分</w:t>
            </w:r>
            <w:r>
              <w:rPr>
                <w:rFonts w:hint="eastAsia" w:hAnsi="宋体" w:cs="仿宋"/>
                <w:color w:val="auto"/>
                <w:kern w:val="2"/>
                <w:szCs w:val="21"/>
                <w:highlight w:val="none"/>
              </w:rPr>
              <w:t>；</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（4）国家级奖项的颁发单位应当为国务院或其组成部门；省级（含副省级）奖项的颁发单位应当为省级（含副省级）人民政府或其组成部门；</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提供通过投标人缴纳的近三个月的任意一个月的社保证明作为本单位员工的证明依据。若供应商成立不足三个月的，需提供成立情况说明函（格式自拟，加盖投标人公章），无需提供相关人员社保，亦可得分。评分中出现无证明资料或证书过期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eastAsia" w:hAnsi="宋体" w:eastAsia="宋体"/>
                <w:iCs/>
                <w:color w:val="auto"/>
                <w:szCs w:val="21"/>
                <w:highlight w:val="none"/>
                <w:lang w:val="en-US" w:eastAsia="zh-CN"/>
              </w:rPr>
            </w:pPr>
            <w:r>
              <w:rPr>
                <w:rFonts w:hint="eastAsia" w:hAnsi="宋体"/>
                <w:iCs/>
                <w:color w:val="auto"/>
                <w:szCs w:val="21"/>
                <w:highlight w:val="none"/>
                <w:lang w:val="en-US" w:eastAsia="zh-CN"/>
              </w:rPr>
              <w:t>9</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配备专业服务人员情况（项目负责人除外）</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6</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投标人拟派本项目服务团队情况（同一人具有多个证书，不重复计分），本项累计最高得6分（没有社保不得分）。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1.配备1名</w:t>
            </w:r>
            <w:r>
              <w:rPr>
                <w:rFonts w:hint="eastAsia" w:hAnsi="宋体" w:cs="仿宋"/>
                <w:color w:val="auto"/>
                <w:kern w:val="2"/>
                <w:szCs w:val="21"/>
                <w:highlight w:val="none"/>
              </w:rPr>
              <w:t>具有人力资源与社会保障部门（或原劳动和社会保障）行政主管部门或在人力资源和社会保障部门备案的第三方评价机构颁发的</w:t>
            </w:r>
            <w:r>
              <w:rPr>
                <w:rFonts w:hint="eastAsia" w:hAnsi="宋体"/>
                <w:iCs/>
                <w:color w:val="auto"/>
                <w:szCs w:val="21"/>
                <w:highlight w:val="none"/>
              </w:rPr>
              <w:t>农产品食品检验员或食品检验员（工）技能等级证书（一级/高级技师）得2分；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2.配备1名</w:t>
            </w:r>
            <w:r>
              <w:rPr>
                <w:rFonts w:hint="eastAsia" w:hAnsi="宋体" w:cs="仿宋"/>
                <w:color w:val="auto"/>
                <w:kern w:val="2"/>
                <w:szCs w:val="21"/>
                <w:highlight w:val="none"/>
              </w:rPr>
              <w:t>具有人力资源与社会保障部门（或原劳动和社会保障）行政主管部门或在人力资源和社会保障部门备案的第三方评价机构颁发的</w:t>
            </w:r>
            <w:r>
              <w:rPr>
                <w:rFonts w:hint="eastAsia" w:hAnsi="宋体"/>
                <w:iCs/>
                <w:color w:val="auto"/>
                <w:szCs w:val="21"/>
                <w:highlight w:val="none"/>
              </w:rPr>
              <w:t>健康管理师技能等级证书（一级</w:t>
            </w:r>
            <w:r>
              <w:rPr>
                <w:rFonts w:hAnsi="宋体"/>
                <w:iCs/>
                <w:color w:val="auto"/>
                <w:szCs w:val="21"/>
                <w:highlight w:val="none"/>
              </w:rPr>
              <w:t>/高级技师）得2分。</w:t>
            </w:r>
          </w:p>
          <w:p>
            <w:pPr>
              <w:spacing w:line="240" w:lineRule="auto"/>
              <w:ind w:firstLine="420" w:firstLineChars="200"/>
              <w:jc w:val="left"/>
              <w:rPr>
                <w:rFonts w:hAnsi="宋体"/>
                <w:iCs/>
                <w:color w:val="auto"/>
                <w:szCs w:val="21"/>
                <w:highlight w:val="none"/>
              </w:rPr>
            </w:pPr>
            <w:r>
              <w:rPr>
                <w:rFonts w:hAnsi="宋体"/>
                <w:iCs/>
                <w:color w:val="auto"/>
                <w:szCs w:val="21"/>
                <w:highlight w:val="none"/>
              </w:rPr>
              <w:t>3.配备1名</w:t>
            </w:r>
            <w:r>
              <w:rPr>
                <w:rFonts w:hint="eastAsia" w:hAnsi="宋体"/>
                <w:iCs/>
                <w:color w:val="auto"/>
                <w:szCs w:val="21"/>
                <w:highlight w:val="none"/>
              </w:rPr>
              <w:t>具有人力资源与社会保障部门（或原劳动和社会保障）行政主管部门或在人力资源和社会保障部门备案的第三方评价机构颁发的公共营养师技能等级证书（一级</w:t>
            </w:r>
            <w:r>
              <w:rPr>
                <w:rFonts w:hAnsi="宋体"/>
                <w:iCs/>
                <w:color w:val="auto"/>
                <w:szCs w:val="21"/>
                <w:highlight w:val="none"/>
              </w:rPr>
              <w:t>/高级技师）得2分。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（1）提供相关证书的复印件；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（2）涉及技能等级或职业资格证书：还需同时提供技能人才评价证书全国联网查询截图（http://jndj.osta.org.cn）；</w:t>
            </w:r>
            <w:r>
              <w:rPr>
                <w:rFonts w:hint="eastAsia" w:hAnsi="宋体" w:cs="仿宋"/>
                <w:color w:val="auto"/>
                <w:kern w:val="2"/>
                <w:szCs w:val="21"/>
                <w:highlight w:val="none"/>
              </w:rPr>
              <w:t>如已获得职业技能等级证书，但尚未能在技能人才评价证书全国联网查询的，需提供发证机构在人社部备案的查询截图</w:t>
            </w:r>
            <w:r>
              <w:rPr>
                <w:rFonts w:hAnsi="宋体" w:cs="仿宋"/>
                <w:color w:val="auto"/>
                <w:kern w:val="2"/>
                <w:szCs w:val="21"/>
                <w:highlight w:val="none"/>
              </w:rPr>
              <w:t xml:space="preserve">(http://pjjg.osta.org.cn/) </w:t>
            </w:r>
            <w:r>
              <w:rPr>
                <w:rFonts w:hint="eastAsia" w:hAnsi="宋体" w:cs="仿宋"/>
                <w:color w:val="auto"/>
                <w:kern w:val="2"/>
                <w:szCs w:val="21"/>
                <w:highlight w:val="none"/>
              </w:rPr>
              <w:t>，截图页须显示评价机构的名称及开展职业技能等级认定的职业内容：包含职业名称、工种</w:t>
            </w:r>
            <w:r>
              <w:rPr>
                <w:rFonts w:hAnsi="宋体" w:cs="仿宋"/>
                <w:color w:val="auto"/>
                <w:kern w:val="2"/>
                <w:szCs w:val="21"/>
                <w:highlight w:val="none"/>
              </w:rPr>
              <w:t>/职业方向名称、级别（必须有1级）等信息，未包含或不符合以上信息不得分。另外提供发证机构开具加盖公章的证明文件；</w:t>
            </w:r>
            <w:r>
              <w:rPr>
                <w:rFonts w:hint="eastAsia" w:hAnsi="宋体" w:cs="仿宋"/>
                <w:color w:val="auto"/>
                <w:kern w:val="2"/>
                <w:szCs w:val="21"/>
                <w:highlight w:val="none"/>
              </w:rPr>
              <w:t>由行业协会等社会组织颁发的证书，还需同时提供该组织在“中国社会组织政务服务平台（全国社会组织信用信息公示平台）</w:t>
            </w:r>
            <w:r>
              <w:rPr>
                <w:rFonts w:hAnsi="宋体" w:cs="仿宋"/>
                <w:color w:val="auto"/>
                <w:kern w:val="2"/>
                <w:szCs w:val="21"/>
                <w:highlight w:val="none"/>
              </w:rPr>
              <w:t>https://chinanpo.mca.gov.cn/”的查询截图（截图需体现网址且状态为正常），否则不得分</w:t>
            </w:r>
            <w:r>
              <w:rPr>
                <w:rFonts w:hint="eastAsia" w:hAnsi="宋体" w:cs="仿宋"/>
                <w:color w:val="auto"/>
                <w:kern w:val="2"/>
                <w:szCs w:val="21"/>
                <w:highlight w:val="none"/>
              </w:rPr>
              <w:t>；</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w:t>
            </w:r>
            <w:r>
              <w:rPr>
                <w:rFonts w:hAnsi="宋体"/>
                <w:iCs/>
                <w:color w:val="auto"/>
                <w:szCs w:val="21"/>
                <w:highlight w:val="none"/>
              </w:rPr>
              <w:t>3</w:t>
            </w:r>
            <w:r>
              <w:rPr>
                <w:rFonts w:hint="eastAsia" w:hAnsi="宋体"/>
                <w:iCs/>
                <w:color w:val="auto"/>
                <w:szCs w:val="21"/>
                <w:highlight w:val="none"/>
              </w:rPr>
              <w:t>）提供通过投标人缴纳的近三个月的任意一个月的社保证明作为本单位员工的证明依据。若供应商成立不足三个月的，需提供成立情况说明函（格式自拟，加盖投标人公章），无需提供相关人员社保，亦可得分。评分中出现无证明资料或证书过期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default" w:hAnsi="宋体" w:eastAsia="宋体"/>
                <w:iCs/>
                <w:color w:val="auto"/>
                <w:szCs w:val="21"/>
                <w:highlight w:val="none"/>
                <w:lang w:val="en-US" w:eastAsia="zh-CN"/>
              </w:rPr>
            </w:pPr>
            <w:r>
              <w:rPr>
                <w:rFonts w:hint="eastAsia" w:hAnsi="宋体"/>
                <w:iCs/>
                <w:color w:val="auto"/>
                <w:szCs w:val="21"/>
                <w:highlight w:val="none"/>
                <w:lang w:val="en-US" w:eastAsia="zh-CN"/>
              </w:rPr>
              <w:t>10</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食品安全保险</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4</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根据投标人购买相关责任险等级评定：</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1.投标人提供有效的食品安全保险，最高得2分：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（1）保额在20000万（含）以上，且每次事故赔偿限额5000万（含）以上的，得2分；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（2）保额在20000万（不含）-10000万（含），且每次事故赔偿限额3000万（含）以上的，得1分；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（3）保额在10000万（不含）-5000万（含），且每次事故赔偿限额得1000万（含）以上的，得0.5分；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（4）保额在5000万（不含）以下，且每次事故赔偿限额得200万（含）以上的，得0.2分；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（5）承诺中标后5个工作日内提供上述对应保额及每次赔偿限额的保险单，可以得上述对应分数。</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 投标人提供有效的公众责任险，最高得2分：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（1）保额在20000万（含）以上的得2分；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（2）保额在20000万（不含）-10000万（含）的得1分；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（3）保额在10000万（不含）以下得0.5分；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（4）承诺中标后5个工作日内提供上述对应保额的保险单，可以得上述对应分数</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以上两项累计最高得4分。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（1）投标人须提供保险发票和投保单复印件(加盖投标人公章)</w:t>
            </w:r>
            <w:r>
              <w:rPr>
                <w:rFonts w:hint="eastAsia" w:hAnsi="宋体" w:cs="仿宋"/>
                <w:color w:val="auto"/>
                <w:kern w:val="2"/>
                <w:szCs w:val="21"/>
                <w:highlight w:val="none"/>
              </w:rPr>
              <w:t xml:space="preserve"> ，被保险人需为投标人</w:t>
            </w:r>
            <w:r>
              <w:rPr>
                <w:rFonts w:hint="eastAsia" w:hAnsi="宋体"/>
                <w:iCs/>
                <w:color w:val="auto"/>
                <w:szCs w:val="21"/>
                <w:highlight w:val="none"/>
              </w:rPr>
              <w:t>；承诺中标后投入的提供承诺函，格式自拟并加盖投标人公章。未提供证明材料或者提供的证明材料不符合要求或提供的证明材料不清晰导致评审专家无法辨认的不得分，原件备查。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default" w:hAnsi="宋体" w:eastAsia="宋体"/>
                <w:iCs/>
                <w:color w:val="auto"/>
                <w:szCs w:val="21"/>
                <w:highlight w:val="none"/>
                <w:lang w:val="en-US" w:eastAsia="zh-CN"/>
              </w:rPr>
            </w:pPr>
            <w:r>
              <w:rPr>
                <w:rFonts w:hint="eastAsia" w:hAnsi="宋体"/>
                <w:iCs/>
                <w:color w:val="auto"/>
                <w:szCs w:val="21"/>
                <w:highlight w:val="none"/>
                <w:lang w:val="en-US" w:eastAsia="zh-CN"/>
              </w:rPr>
              <w:t>11</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产品认证情况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8</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投标人具有农副产品类证书，产品范围需包含蔬菜类、肉类、水产类、蛋品类、干货类、调味品类、粮油类等，否则不得分。符合以上范围的基础上对产品的数量进行评分：</w:t>
            </w:r>
          </w:p>
          <w:p>
            <w:pPr>
              <w:spacing w:line="240" w:lineRule="auto"/>
              <w:jc w:val="left"/>
              <w:rPr>
                <w:rFonts w:hAnsi="宋体"/>
                <w:iCs/>
                <w:color w:val="auto"/>
                <w:szCs w:val="21"/>
                <w:highlight w:val="none"/>
              </w:rPr>
            </w:pPr>
            <w:r>
              <w:rPr>
                <w:rFonts w:hint="eastAsia" w:hAnsi="宋体"/>
                <w:iCs/>
                <w:color w:val="auto"/>
                <w:szCs w:val="21"/>
                <w:highlight w:val="none"/>
              </w:rPr>
              <w:t>（1）每获得1个有机产品，得0.2分，最高得8分；</w:t>
            </w:r>
          </w:p>
          <w:p>
            <w:pPr>
              <w:spacing w:line="240" w:lineRule="auto"/>
              <w:jc w:val="left"/>
              <w:rPr>
                <w:rFonts w:hAnsi="宋体"/>
                <w:iCs/>
                <w:color w:val="auto"/>
                <w:szCs w:val="21"/>
                <w:highlight w:val="none"/>
              </w:rPr>
            </w:pPr>
            <w:r>
              <w:rPr>
                <w:rFonts w:hint="eastAsia" w:hAnsi="宋体"/>
                <w:iCs/>
                <w:color w:val="auto"/>
                <w:szCs w:val="21"/>
                <w:highlight w:val="none"/>
              </w:rPr>
              <w:t>（2）每获得1个绿色产品，得0.1分，最高得4分；</w:t>
            </w:r>
          </w:p>
          <w:p>
            <w:pPr>
              <w:spacing w:line="240" w:lineRule="auto"/>
              <w:jc w:val="left"/>
              <w:rPr>
                <w:rFonts w:hAnsi="宋体"/>
                <w:iCs/>
                <w:color w:val="auto"/>
                <w:szCs w:val="21"/>
                <w:highlight w:val="none"/>
              </w:rPr>
            </w:pPr>
            <w:r>
              <w:rPr>
                <w:rFonts w:hint="eastAsia" w:hAnsi="宋体"/>
                <w:iCs/>
                <w:color w:val="auto"/>
                <w:szCs w:val="21"/>
                <w:highlight w:val="none"/>
              </w:rPr>
              <w:t>（3）每获得1个无公害农产品，得0.05分，最高得2分；</w:t>
            </w:r>
          </w:p>
          <w:p>
            <w:pPr>
              <w:spacing w:line="240" w:lineRule="auto"/>
              <w:jc w:val="left"/>
              <w:rPr>
                <w:rFonts w:hAnsi="宋体"/>
                <w:iCs/>
                <w:color w:val="auto"/>
                <w:szCs w:val="21"/>
                <w:highlight w:val="none"/>
              </w:rPr>
            </w:pPr>
            <w:r>
              <w:rPr>
                <w:rFonts w:hint="eastAsia" w:hAnsi="宋体"/>
                <w:iCs/>
                <w:color w:val="auto"/>
                <w:szCs w:val="21"/>
                <w:highlight w:val="none"/>
              </w:rPr>
              <w:t>注：同一个种类的证书中如有多个产品可累计得分；如同一产品同时获得二项及以上有机产品或绿色产品或无公害农产品证书以其中最高分记分，不累计得分。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（1）涉及有机产品或绿色产品证书提供有效的证书的扫描件及全国认证认可信息公共服务平台（认e云）（http://cx.cnca.cn/）的认证信息截图（须体现网站信息）；</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（2）涉及无公害农产品证书提供有效的证书复印件及政府部门官网的查询截图（须体现网站信息）；</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（3）以上资料加盖投标人公章，原件备查。评分中出现无证明资料或专家无法凭所提供资料判断是否得分的情况，一律作不得分处理。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default" w:hAnsi="宋体" w:eastAsia="宋体"/>
                <w:iCs/>
                <w:color w:val="auto"/>
                <w:szCs w:val="21"/>
                <w:highlight w:val="none"/>
                <w:lang w:val="en-US" w:eastAsia="zh-CN"/>
              </w:rPr>
            </w:pPr>
            <w:r>
              <w:rPr>
                <w:rFonts w:hint="eastAsia" w:hAnsi="宋体"/>
                <w:iCs/>
                <w:color w:val="auto"/>
                <w:szCs w:val="21"/>
                <w:highlight w:val="none"/>
                <w:lang w:val="en-US" w:eastAsia="zh-CN"/>
              </w:rPr>
              <w:t>12</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企业荣誉</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4</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投标人获得农业部门颁发的国家级荣誉得4分，省级荣誉得2分，市级荣誉得1分，其他情况不得分。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提供多个荣誉不累计得分，以单个最高荣誉计分，最高得4分。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（1）要求提供奖项照片或获奖（荣誉）证书等证明材料作为得分依据。</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（2）以上资料均要求提供复印件（或官方网站截图），原件备查。评分中出现无证明资料或专家无法凭所提供资料判断是否得分的情况，一律作不得分处理。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default" w:hAnsi="宋体" w:eastAsia="宋体"/>
                <w:iCs/>
                <w:color w:val="auto"/>
                <w:szCs w:val="21"/>
                <w:highlight w:val="none"/>
                <w:lang w:val="en-US" w:eastAsia="zh-CN"/>
              </w:rPr>
            </w:pPr>
            <w:r>
              <w:rPr>
                <w:rFonts w:hint="eastAsia" w:hAnsi="宋体"/>
                <w:iCs/>
                <w:color w:val="auto"/>
                <w:szCs w:val="21"/>
                <w:highlight w:val="none"/>
                <w:lang w:val="en-US" w:eastAsia="zh-CN"/>
              </w:rPr>
              <w:t>13</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配套设备情况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8</w:t>
            </w:r>
          </w:p>
        </w:tc>
        <w:tc>
          <w:tcPr>
            <w:tcW w:w="5536" w:type="dxa"/>
            <w:shd w:val="clear" w:color="auto" w:fill="auto"/>
            <w:vAlign w:val="center"/>
          </w:tcPr>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评审标准：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自有或租赁或第三方合作的检测室，且通过行政部门或事业单位或行业协会（其业务主管单位须是省级（或以上）农业部门）颁发的A级或以上实验室操作规范认证得2分；A级以下得1分。最高得2分，不提供不得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（2）投标人自有或租赁农药残留检测仪，提供2023年以来的仪器校准报告，且仪器校准内容应包含但不限于分辨力、信噪比、质量准确性、峰面积重复性、离子丰度比重复性、保留时间重复性；得2分。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（3）投标人自有或租赁微生物检测仪，提供2023年以来的仪器校准报告，且仪器校准内容应包含但不限于进样压力稳定性、进样压力重复性、激发光波长、激发光强度均匀性、激发光强度稳定性；得2分。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（4）投标人自有或租赁食品添加剂检测仪，提供2023年以来的仪器校准报告，且仪器校准内容应包含但不限于基线噪声、基线漂移、最小检测浓度、波长示值最大允许误差、波长重复性、线性范围；得2分。</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累计最高得8分。</w:t>
            </w:r>
          </w:p>
          <w:p>
            <w:pPr>
              <w:spacing w:line="240" w:lineRule="auto"/>
              <w:ind w:firstLine="422" w:firstLineChars="200"/>
              <w:jc w:val="left"/>
              <w:rPr>
                <w:rFonts w:hAnsi="宋体"/>
                <w:b/>
                <w:bCs/>
                <w:iCs/>
                <w:color w:val="auto"/>
                <w:szCs w:val="21"/>
                <w:highlight w:val="none"/>
              </w:rPr>
            </w:pPr>
            <w:r>
              <w:rPr>
                <w:rFonts w:hint="eastAsia" w:hAnsi="宋体"/>
                <w:b/>
                <w:bCs/>
                <w:iCs/>
                <w:color w:val="auto"/>
                <w:szCs w:val="21"/>
                <w:highlight w:val="none"/>
              </w:rPr>
              <w:t>证明文件：</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（1）投标人提供检测室产权证明或建设合同复印件或租赁合同复印件或第三方合作协议</w:t>
            </w:r>
            <w:r>
              <w:rPr>
                <w:rFonts w:hint="eastAsia" w:hAnsi="宋体"/>
                <w:iCs/>
                <w:color w:val="auto"/>
                <w:szCs w:val="21"/>
                <w:highlight w:val="none"/>
                <w:lang w:val="en-US" w:eastAsia="zh-CN"/>
              </w:rPr>
              <w:t>复印件</w:t>
            </w:r>
            <w:r>
              <w:rPr>
                <w:rFonts w:hint="eastAsia" w:hAnsi="宋体"/>
                <w:iCs/>
                <w:color w:val="auto"/>
                <w:szCs w:val="21"/>
                <w:highlight w:val="none"/>
              </w:rPr>
              <w:t>。</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2）投标人提供实验室操作规范认证证书；评审标准中的证书若由行业协会颁发的，其业务主管单位须是省级（或以上）农业部门，还需提供颁发机构在中国社会组织政务服务平台（https://chinanpo.mca.gov.cn）登记信息状态“正常”的网站查询截图或行政机关（或事业单位）网站查询截图。</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（3）投标人提供检测仪器的照片；自有的提供以上检测仪器的购买发票复印件；租赁的提供以上检测仪器的租赁合同复印件及近三个月内任意一个月的租赁发票。</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（4）提供上述检测仪器由第三方检测机构出具带有CMA或CNAS认证标志的有效期内的校准证书复印件，委托单位需为投标人。</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（5）以上资料加盖投标人公章，原件备查。评分中出现无证明资料或专家无法凭所提供资料判断是否得分的情况，一律作不得分处理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center"/>
              <w:rPr>
                <w:rFonts w:hint="default" w:hAnsi="宋体" w:eastAsia="宋体"/>
                <w:iCs/>
                <w:color w:val="auto"/>
                <w:szCs w:val="21"/>
                <w:highlight w:val="none"/>
                <w:lang w:val="en-US" w:eastAsia="zh-CN"/>
              </w:rPr>
            </w:pPr>
            <w:r>
              <w:rPr>
                <w:rFonts w:hint="eastAsia" w:hAnsi="宋体"/>
                <w:iCs/>
                <w:color w:val="auto"/>
                <w:szCs w:val="21"/>
                <w:highlight w:val="none"/>
                <w:lang w:val="en-US" w:eastAsia="zh-CN"/>
              </w:rPr>
              <w:t>14</w:t>
            </w:r>
          </w:p>
        </w:tc>
        <w:tc>
          <w:tcPr>
            <w:tcW w:w="1826" w:type="dxa"/>
            <w:shd w:val="clear" w:color="auto" w:fill="auto"/>
            <w:vAlign w:val="center"/>
          </w:tcPr>
          <w:p>
            <w:pPr>
              <w:spacing w:line="240" w:lineRule="auto"/>
              <w:jc w:val="center"/>
              <w:rPr>
                <w:rFonts w:hAnsi="宋体"/>
                <w:iCs/>
                <w:color w:val="auto"/>
                <w:szCs w:val="21"/>
                <w:highlight w:val="none"/>
              </w:rPr>
            </w:pPr>
            <w:r>
              <w:rPr>
                <w:rFonts w:hint="eastAsia" w:hAnsi="宋体"/>
                <w:iCs/>
                <w:color w:val="auto"/>
                <w:szCs w:val="21"/>
                <w:highlight w:val="none"/>
              </w:rPr>
              <w:t>诚信情况</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5</w:t>
            </w:r>
          </w:p>
        </w:tc>
        <w:tc>
          <w:tcPr>
            <w:tcW w:w="5536" w:type="dxa"/>
            <w:shd w:val="clear" w:color="auto" w:fill="auto"/>
            <w:vAlign w:val="center"/>
          </w:tcPr>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根据相关法律法规规定：投标人被行政主管部门禁止参与政府采购活动或未被禁止参与政府采购活动，但受过警告、罚款、没收违法所得等行政处罚以及不正当理由放弃中标资格而不予退还投保保证金，得0分；投标人未出现过上述文件规定情形的或受过行政处罚，修正行政处罚期已满，可参与政府采购投标活动的，得5分。投标人按投标文件格式要求提供《诚信情况承诺函》，并加盖投标人公章</w:t>
            </w:r>
            <w:r>
              <w:rPr>
                <w:rFonts w:hint="eastAsia" w:hAnsi="宋体" w:cs="仿宋"/>
                <w:color w:val="auto"/>
                <w:kern w:val="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hAnsi="宋体" w:eastAsia="宋体"/>
                <w:b/>
                <w:bCs/>
                <w:iCs/>
                <w:color w:val="auto"/>
                <w:szCs w:val="21"/>
                <w:highlight w:val="none"/>
                <w:lang w:val="en-US" w:eastAsia="zh-CN"/>
              </w:rPr>
            </w:pPr>
            <w:r>
              <w:rPr>
                <w:rFonts w:hint="eastAsia" w:hAnsi="宋体"/>
                <w:b/>
                <w:bCs/>
                <w:iCs/>
                <w:color w:val="auto"/>
                <w:szCs w:val="21"/>
                <w:highlight w:val="none"/>
                <w:lang w:val="en-US" w:eastAsia="zh-CN"/>
              </w:rPr>
              <w:t>3</w:t>
            </w:r>
          </w:p>
        </w:tc>
        <w:tc>
          <w:tcPr>
            <w:tcW w:w="3554" w:type="dxa"/>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hAnsi="宋体" w:eastAsia="宋体"/>
                <w:b/>
                <w:bCs/>
                <w:iCs/>
                <w:color w:val="auto"/>
                <w:szCs w:val="21"/>
                <w:highlight w:val="none"/>
                <w:lang w:val="en-US" w:eastAsia="zh-CN"/>
              </w:rPr>
            </w:pPr>
            <w:r>
              <w:rPr>
                <w:rFonts w:hint="eastAsia" w:hAnsi="宋体"/>
                <w:b/>
                <w:bCs/>
                <w:iCs/>
                <w:color w:val="auto"/>
                <w:szCs w:val="21"/>
                <w:highlight w:val="none"/>
                <w:lang w:val="en-US" w:eastAsia="zh-CN"/>
              </w:rPr>
              <w:t>价格</w:t>
            </w:r>
          </w:p>
        </w:tc>
        <w:tc>
          <w:tcPr>
            <w:tcW w:w="553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hAnsi="宋体" w:eastAsia="宋体"/>
                <w:b/>
                <w:bCs/>
                <w:iCs/>
                <w:color w:val="auto"/>
                <w:szCs w:val="21"/>
                <w:highlight w:val="none"/>
                <w:lang w:val="en-US" w:eastAsia="zh-CN"/>
              </w:rPr>
            </w:pPr>
            <w:r>
              <w:rPr>
                <w:rFonts w:hint="eastAsia" w:hAnsi="宋体"/>
                <w:b/>
                <w:bCs/>
                <w:iCs/>
                <w:color w:val="auto"/>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rPr>
            </w:pPr>
          </w:p>
        </w:tc>
        <w:tc>
          <w:tcPr>
            <w:tcW w:w="5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lang w:val="en-US" w:eastAsia="zh-CN"/>
              </w:rPr>
            </w:pPr>
            <w:r>
              <w:rPr>
                <w:rFonts w:hint="eastAsia" w:hAnsi="宋体"/>
                <w:b/>
                <w:bCs/>
                <w:iCs/>
                <w:color w:val="auto"/>
                <w:szCs w:val="21"/>
                <w:highlight w:val="none"/>
                <w:lang w:val="en-US" w:eastAsia="zh-CN"/>
              </w:rPr>
              <w:t>序号</w:t>
            </w:r>
          </w:p>
        </w:tc>
        <w:tc>
          <w:tcPr>
            <w:tcW w:w="182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lang w:val="en-US" w:eastAsia="zh-CN"/>
              </w:rPr>
            </w:pPr>
            <w:r>
              <w:rPr>
                <w:rFonts w:hint="eastAsia" w:hAnsi="宋体"/>
                <w:b/>
                <w:bCs/>
                <w:iCs/>
                <w:color w:val="auto"/>
                <w:szCs w:val="21"/>
                <w:highlight w:val="none"/>
                <w:lang w:val="en-US" w:eastAsia="zh-CN"/>
              </w:rPr>
              <w:t>评分因素</w:t>
            </w:r>
          </w:p>
        </w:tc>
        <w:tc>
          <w:tcPr>
            <w:tcW w:w="1160"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lang w:val="en-US" w:eastAsia="zh-CN"/>
              </w:rPr>
            </w:pPr>
            <w:r>
              <w:rPr>
                <w:rFonts w:hint="eastAsia" w:hAnsi="宋体"/>
                <w:b/>
                <w:bCs/>
                <w:iCs/>
                <w:color w:val="auto"/>
                <w:szCs w:val="21"/>
                <w:highlight w:val="none"/>
                <w:lang w:val="en-US" w:eastAsia="zh-CN"/>
              </w:rPr>
              <w:t>分值</w:t>
            </w:r>
          </w:p>
        </w:tc>
        <w:tc>
          <w:tcPr>
            <w:tcW w:w="553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firstLineChars="0"/>
              <w:jc w:val="center"/>
              <w:textAlignment w:val="auto"/>
              <w:rPr>
                <w:rFonts w:hint="eastAsia" w:hAnsi="宋体"/>
                <w:b/>
                <w:bCs/>
                <w:iCs/>
                <w:color w:val="auto"/>
                <w:szCs w:val="21"/>
                <w:highlight w:val="none"/>
                <w:lang w:val="en-US" w:eastAsia="zh-CN"/>
              </w:rPr>
            </w:pPr>
            <w:r>
              <w:rPr>
                <w:rFonts w:hint="eastAsia" w:hAnsi="宋体"/>
                <w:b/>
                <w:bCs/>
                <w:iCs/>
                <w:color w:val="auto"/>
                <w:szCs w:val="21"/>
                <w:highlight w:val="none"/>
                <w:lang w:val="en-US" w:eastAsia="zh-CN"/>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Merge w:val="continue"/>
            <w:shd w:val="clear" w:color="auto" w:fill="auto"/>
            <w:vAlign w:val="center"/>
          </w:tcPr>
          <w:p>
            <w:pPr>
              <w:spacing w:line="240" w:lineRule="auto"/>
              <w:jc w:val="left"/>
              <w:rPr>
                <w:rFonts w:hint="eastAsia" w:hAnsi="宋体"/>
                <w:iCs/>
                <w:color w:val="auto"/>
                <w:szCs w:val="21"/>
                <w:highlight w:val="none"/>
              </w:rPr>
            </w:pPr>
          </w:p>
        </w:tc>
        <w:tc>
          <w:tcPr>
            <w:tcW w:w="568" w:type="dxa"/>
            <w:shd w:val="clear" w:color="auto" w:fill="auto"/>
            <w:vAlign w:val="center"/>
          </w:tcPr>
          <w:p>
            <w:pPr>
              <w:spacing w:line="240" w:lineRule="auto"/>
              <w:jc w:val="left"/>
              <w:rPr>
                <w:rFonts w:hint="eastAsia" w:hAnsi="宋体"/>
                <w:iCs/>
                <w:color w:val="auto"/>
                <w:szCs w:val="21"/>
                <w:highlight w:val="none"/>
              </w:rPr>
            </w:pPr>
          </w:p>
        </w:tc>
        <w:tc>
          <w:tcPr>
            <w:tcW w:w="182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价格</w:t>
            </w:r>
          </w:p>
        </w:tc>
        <w:tc>
          <w:tcPr>
            <w:tcW w:w="116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Ansi="宋体"/>
                <w:iCs/>
                <w:color w:val="auto"/>
                <w:szCs w:val="21"/>
                <w:highlight w:val="none"/>
              </w:rPr>
            </w:pPr>
            <w:r>
              <w:rPr>
                <w:rFonts w:hint="eastAsia" w:hAnsi="宋体"/>
                <w:iCs/>
                <w:color w:val="auto"/>
                <w:szCs w:val="21"/>
                <w:highlight w:val="none"/>
              </w:rPr>
              <w:t>10</w:t>
            </w:r>
          </w:p>
        </w:tc>
        <w:tc>
          <w:tcPr>
            <w:tcW w:w="5536" w:type="dxa"/>
            <w:shd w:val="clear" w:color="auto" w:fill="auto"/>
            <w:vAlign w:val="center"/>
          </w:tcPr>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综合评分法。在最大限度地满足招标文件实质性要求的前提下，按照招标文件中规定的各项因素进行综合评审，评标总得分排名前列的投标人，作为推荐的候选中标供应商。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价格分计算方法：</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采用低价优先法计算，即满足招标文件要求且投标价格最低的投标报价为评标基准价，其价格分为满分。其他投标人的价格分统一按照下列公式计算：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投标报价得分=(评标基准价／投标报价)×10</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评标总得分＝F1×A1＋F2×A2＋……＋Fn×An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F1、F2……Fn分别为各项评审因素的得分；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A1、A2、……An 分别为各项评审因素所占的权重(A1＋A2＋……＋An＝1)。 </w:t>
            </w:r>
          </w:p>
          <w:p>
            <w:pPr>
              <w:spacing w:line="240" w:lineRule="auto"/>
              <w:ind w:firstLine="420" w:firstLineChars="200"/>
              <w:jc w:val="left"/>
              <w:rPr>
                <w:rFonts w:hAnsi="宋体"/>
                <w:iCs/>
                <w:color w:val="auto"/>
                <w:szCs w:val="21"/>
                <w:highlight w:val="none"/>
              </w:rPr>
            </w:pPr>
            <w:r>
              <w:rPr>
                <w:rFonts w:hint="eastAsia" w:hAnsi="宋体"/>
                <w:iCs/>
                <w:color w:val="auto"/>
                <w:szCs w:val="21"/>
                <w:highlight w:val="none"/>
              </w:rPr>
              <w:t xml:space="preserve">评标过程中，不得去掉报价中的最高报价和最低报价。 </w:t>
            </w:r>
          </w:p>
        </w:tc>
      </w:tr>
    </w:tbl>
    <w:p>
      <w:pPr>
        <w:tabs>
          <w:tab w:val="clear" w:pos="426"/>
        </w:tabs>
        <w:spacing w:line="240" w:lineRule="auto"/>
        <w:rPr>
          <w:highlight w:val="none"/>
        </w:rPr>
      </w:pPr>
      <w:r>
        <w:rPr>
          <w:rFonts w:hint="eastAsia"/>
          <w:highlight w:val="none"/>
        </w:rPr>
        <w:t>备注：</w:t>
      </w:r>
    </w:p>
    <w:p>
      <w:pPr>
        <w:tabs>
          <w:tab w:val="clear" w:pos="426"/>
        </w:tabs>
        <w:spacing w:line="240" w:lineRule="auto"/>
        <w:ind w:firstLine="420" w:firstLineChars="200"/>
        <w:rPr>
          <w:highlight w:val="none"/>
        </w:rPr>
      </w:pPr>
      <w:r>
        <w:rPr>
          <w:highlight w:val="none"/>
        </w:rPr>
        <w:t xml:space="preserve">1. </w:t>
      </w:r>
      <w:r>
        <w:rPr>
          <w:rFonts w:hint="eastAsia"/>
          <w:highlight w:val="none"/>
        </w:rPr>
        <w:t>缺项则该项为</w:t>
      </w:r>
      <w:r>
        <w:rPr>
          <w:highlight w:val="none"/>
        </w:rPr>
        <w:t>0</w:t>
      </w:r>
      <w:r>
        <w:rPr>
          <w:rFonts w:hint="eastAsia"/>
          <w:highlight w:val="none"/>
        </w:rPr>
        <w:t>分或不合格为</w:t>
      </w:r>
      <w:r>
        <w:rPr>
          <w:highlight w:val="none"/>
        </w:rPr>
        <w:t>0</w:t>
      </w:r>
      <w:r>
        <w:rPr>
          <w:rFonts w:hint="eastAsia"/>
          <w:highlight w:val="none"/>
        </w:rPr>
        <w:t>分。</w:t>
      </w:r>
    </w:p>
    <w:p>
      <w:pPr>
        <w:tabs>
          <w:tab w:val="clear" w:pos="426"/>
        </w:tabs>
        <w:spacing w:line="240" w:lineRule="auto"/>
        <w:ind w:firstLine="420" w:firstLineChars="200"/>
        <w:rPr>
          <w:highlight w:val="none"/>
        </w:rPr>
      </w:pPr>
      <w:r>
        <w:rPr>
          <w:highlight w:val="none"/>
        </w:rPr>
        <w:t xml:space="preserve">2. </w:t>
      </w:r>
      <w:r>
        <w:rPr>
          <w:rFonts w:hint="eastAsia"/>
          <w:highlight w:val="none"/>
        </w:rPr>
        <w:t>价格、技术、商务部分为针对项目具体情况设置项目，累加满分为</w:t>
      </w:r>
      <w:r>
        <w:rPr>
          <w:highlight w:val="none"/>
        </w:rPr>
        <w:t>100</w:t>
      </w:r>
      <w:r>
        <w:rPr>
          <w:rFonts w:hint="eastAsia"/>
          <w:highlight w:val="none"/>
        </w:rPr>
        <w:t>分，固定额外加分部分为固定设置项，对涉及政策导向优先采购产品进行额外加分。</w:t>
      </w:r>
    </w:p>
    <w:p>
      <w:pPr>
        <w:tabs>
          <w:tab w:val="clear" w:pos="426"/>
        </w:tabs>
        <w:spacing w:line="240" w:lineRule="auto"/>
        <w:ind w:firstLine="420" w:firstLineChars="200"/>
        <w:rPr>
          <w:highlight w:val="none"/>
        </w:rPr>
      </w:pPr>
      <w:r>
        <w:rPr>
          <w:highlight w:val="none"/>
        </w:rPr>
        <w:t xml:space="preserve">3. </w:t>
      </w:r>
      <w:r>
        <w:rPr>
          <w:rFonts w:hint="eastAsia"/>
          <w:highlight w:val="none"/>
        </w:rPr>
        <w:t>综合以上分析比较，评委会将对各投标文件进行书面的量化评定，得分精确到小数点后两位。</w:t>
      </w:r>
    </w:p>
    <w:p>
      <w:pPr>
        <w:tabs>
          <w:tab w:val="clear" w:pos="426"/>
        </w:tabs>
        <w:spacing w:line="240" w:lineRule="auto"/>
        <w:ind w:firstLine="420" w:firstLineChars="200"/>
        <w:rPr>
          <w:bCs/>
          <w:highlight w:val="none"/>
        </w:rPr>
      </w:pPr>
      <w:r>
        <w:rPr>
          <w:bCs/>
          <w:highlight w:val="none"/>
        </w:rPr>
        <w:t xml:space="preserve">4. </w:t>
      </w:r>
      <w:r>
        <w:rPr>
          <w:rFonts w:hint="eastAsia"/>
          <w:bCs/>
          <w:highlight w:val="none"/>
        </w:rPr>
        <w:t>客观评分项，所有评审专家应当统一打分分值；主观评分项，评审专家应当按照打分标准独立打分。</w:t>
      </w:r>
    </w:p>
    <w:bookmarkEnd w:id="7"/>
    <w:p>
      <w:pPr>
        <w:shd w:val="clear" w:color="auto" w:fill="auto"/>
        <w:tabs>
          <w:tab w:val="clear" w:pos="426"/>
        </w:tabs>
        <w:adjustRightInd/>
        <w:snapToGrid/>
        <w:spacing w:line="240" w:lineRule="auto"/>
        <w:jc w:val="left"/>
        <w:rPr>
          <w:bCs/>
          <w:highlight w:val="none"/>
        </w:rPr>
      </w:pPr>
      <w:r>
        <w:rPr>
          <w:bCs/>
          <w:highlight w:val="none"/>
        </w:rPr>
        <w:br w:type="page"/>
      </w:r>
    </w:p>
    <w:p>
      <w:pPr>
        <w:pStyle w:val="81"/>
        <w:tabs>
          <w:tab w:val="clear" w:pos="426"/>
        </w:tabs>
        <w:rPr>
          <w:highlight w:val="none"/>
        </w:rPr>
      </w:pPr>
      <w:bookmarkStart w:id="9" w:name="_Toc152759219"/>
      <w:r>
        <w:rPr>
          <w:rFonts w:hint="eastAsia"/>
          <w:highlight w:val="none"/>
        </w:rPr>
        <w:t>第一册专用条款</w:t>
      </w:r>
      <w:bookmarkEnd w:id="8"/>
      <w:bookmarkEnd w:id="9"/>
    </w:p>
    <w:p>
      <w:pPr>
        <w:pStyle w:val="62"/>
        <w:tabs>
          <w:tab w:val="clear" w:pos="426"/>
        </w:tabs>
        <w:rPr>
          <w:highlight w:val="none"/>
        </w:rPr>
      </w:pPr>
      <w:bookmarkStart w:id="10" w:name="_Toc265483798"/>
      <w:bookmarkStart w:id="11" w:name="_Toc152759220"/>
      <w:bookmarkStart w:id="12" w:name="_Toc432592813"/>
      <w:r>
        <w:rPr>
          <w:rFonts w:hint="eastAsia"/>
          <w:highlight w:val="none"/>
        </w:rPr>
        <w:t>第一章招标公告</w:t>
      </w:r>
      <w:bookmarkEnd w:id="10"/>
      <w:bookmarkEnd w:id="11"/>
      <w:bookmarkEnd w:id="12"/>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ind w:firstLine="420" w:firstLineChars="200"/>
        <w:rPr>
          <w:rFonts w:cs="Times New Roman"/>
          <w:kern w:val="2"/>
          <w:szCs w:val="21"/>
          <w:highlight w:val="none"/>
          <w:u w:val="none"/>
        </w:rPr>
      </w:pPr>
      <w:bookmarkStart w:id="13" w:name="_Hlk107928347"/>
      <w:r>
        <w:rPr>
          <w:rFonts w:hint="eastAsia" w:cs="Times New Roman"/>
          <w:kern w:val="2"/>
          <w:szCs w:val="21"/>
          <w:highlight w:val="none"/>
          <w:u w:val="none"/>
        </w:rPr>
        <w:t>项目概况：</w:t>
      </w:r>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广东省深圳市消防救援支队2024年度机关食堂配送服务采购项目的潜在投标人应在深圳市罗湖区清水河街道清水河社区清水河一路112号罗湖投资控股大厦裙楼401获取招标文件，并于</w:t>
      </w:r>
      <w:r>
        <w:rPr>
          <w:rFonts w:cs="Times New Roman"/>
          <w:kern w:val="2"/>
          <w:szCs w:val="21"/>
          <w:highlight w:val="none"/>
          <w:u w:val="none"/>
        </w:rPr>
        <w:t>2024</w:t>
      </w:r>
      <w:r>
        <w:rPr>
          <w:rFonts w:hint="eastAsia" w:cs="Times New Roman"/>
          <w:kern w:val="2"/>
          <w:szCs w:val="21"/>
          <w:highlight w:val="none"/>
          <w:u w:val="none"/>
        </w:rPr>
        <w:t>年</w:t>
      </w:r>
      <w:r>
        <w:rPr>
          <w:rFonts w:hint="eastAsia" w:cs="Times New Roman"/>
          <w:kern w:val="2"/>
          <w:szCs w:val="21"/>
          <w:highlight w:val="none"/>
          <w:u w:val="none"/>
          <w:lang w:val="en-US" w:eastAsia="zh-CN"/>
        </w:rPr>
        <w:t>7</w:t>
      </w:r>
      <w:r>
        <w:rPr>
          <w:rFonts w:hint="eastAsia" w:cs="Times New Roman"/>
          <w:kern w:val="2"/>
          <w:szCs w:val="21"/>
          <w:highlight w:val="none"/>
          <w:u w:val="none"/>
        </w:rPr>
        <w:t>月</w:t>
      </w:r>
      <w:r>
        <w:rPr>
          <w:rFonts w:hint="eastAsia" w:cs="Times New Roman"/>
          <w:kern w:val="2"/>
          <w:szCs w:val="21"/>
          <w:highlight w:val="none"/>
          <w:u w:val="none"/>
          <w:lang w:val="en-US" w:eastAsia="zh-CN"/>
        </w:rPr>
        <w:t>26</w:t>
      </w:r>
      <w:r>
        <w:rPr>
          <w:rFonts w:hint="eastAsia" w:cs="Times New Roman"/>
          <w:kern w:val="2"/>
          <w:szCs w:val="21"/>
          <w:highlight w:val="none"/>
          <w:u w:val="none"/>
        </w:rPr>
        <w:t>日</w:t>
      </w:r>
      <w:r>
        <w:rPr>
          <w:rFonts w:cs="Times New Roman"/>
          <w:bCs/>
          <w:kern w:val="2"/>
          <w:szCs w:val="21"/>
          <w:highlight w:val="none"/>
          <w:u w:val="none"/>
        </w:rPr>
        <w:t>1</w:t>
      </w:r>
      <w:r>
        <w:rPr>
          <w:rFonts w:hint="eastAsia" w:cs="Times New Roman"/>
          <w:bCs/>
          <w:kern w:val="2"/>
          <w:szCs w:val="21"/>
          <w:highlight w:val="none"/>
          <w:u w:val="none"/>
          <w:lang w:val="en-US" w:eastAsia="zh-CN"/>
        </w:rPr>
        <w:t>4</w:t>
      </w:r>
      <w:r>
        <w:rPr>
          <w:rFonts w:hint="eastAsia" w:cs="Times New Roman"/>
          <w:bCs/>
          <w:kern w:val="2"/>
          <w:szCs w:val="21"/>
          <w:highlight w:val="none"/>
          <w:u w:val="none"/>
        </w:rPr>
        <w:t>点</w:t>
      </w:r>
      <w:r>
        <w:rPr>
          <w:rFonts w:hint="eastAsia" w:cs="Times New Roman"/>
          <w:bCs/>
          <w:kern w:val="2"/>
          <w:szCs w:val="21"/>
          <w:highlight w:val="none"/>
          <w:u w:val="none"/>
          <w:lang w:val="en-US" w:eastAsia="zh-CN"/>
        </w:rPr>
        <w:t>3</w:t>
      </w:r>
      <w:r>
        <w:rPr>
          <w:rFonts w:cs="Times New Roman"/>
          <w:bCs/>
          <w:kern w:val="2"/>
          <w:szCs w:val="21"/>
          <w:highlight w:val="none"/>
          <w:u w:val="none"/>
        </w:rPr>
        <w:t>0</w:t>
      </w:r>
      <w:r>
        <w:rPr>
          <w:rFonts w:hint="eastAsia" w:cs="Times New Roman"/>
          <w:bCs/>
          <w:kern w:val="2"/>
          <w:szCs w:val="21"/>
          <w:highlight w:val="none"/>
          <w:u w:val="none"/>
        </w:rPr>
        <w:t>分（北京时间）前递交投标文件</w:t>
      </w:r>
      <w:r>
        <w:rPr>
          <w:rFonts w:hint="eastAsia" w:cs="Times New Roman"/>
          <w:kern w:val="2"/>
          <w:szCs w:val="21"/>
          <w:highlight w:val="none"/>
          <w:u w:val="none"/>
        </w:rPr>
        <w:t>。</w:t>
      </w:r>
    </w:p>
    <w:p>
      <w:pPr>
        <w:pStyle w:val="3"/>
        <w:numPr>
          <w:ilvl w:val="0"/>
          <w:numId w:val="0"/>
        </w:numPr>
        <w:rPr>
          <w:highlight w:val="none"/>
          <w:u w:val="none"/>
        </w:rPr>
      </w:pPr>
      <w:bookmarkStart w:id="14" w:name="_Toc152759221"/>
      <w:bookmarkStart w:id="15" w:name="_Toc28359079"/>
      <w:bookmarkStart w:id="16" w:name="_Toc145666453"/>
      <w:bookmarkStart w:id="17" w:name="_Toc35393790"/>
      <w:bookmarkStart w:id="18" w:name="_Toc28359002"/>
      <w:bookmarkStart w:id="19" w:name="_Toc120892133"/>
      <w:bookmarkStart w:id="20" w:name="_Toc35393621"/>
      <w:bookmarkStart w:id="21" w:name="_Hlk24379207"/>
      <w:r>
        <w:rPr>
          <w:rFonts w:hint="eastAsia"/>
          <w:highlight w:val="none"/>
          <w:u w:val="none"/>
        </w:rPr>
        <w:t>一、项目基本情况</w:t>
      </w:r>
      <w:bookmarkEnd w:id="14"/>
      <w:bookmarkEnd w:id="15"/>
      <w:bookmarkEnd w:id="16"/>
      <w:bookmarkEnd w:id="17"/>
      <w:bookmarkEnd w:id="18"/>
      <w:bookmarkEnd w:id="19"/>
      <w:bookmarkEnd w:id="20"/>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项目编号：</w:t>
      </w:r>
      <w:r>
        <w:rPr>
          <w:rFonts w:cs="Times New Roman"/>
          <w:kern w:val="2"/>
          <w:szCs w:val="21"/>
          <w:highlight w:val="none"/>
          <w:u w:val="none"/>
        </w:rPr>
        <w:t>SSZX2024-205</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项目名称：广东省深圳市消防救援支队2024年度机关食堂配送服务采购项目</w:t>
      </w:r>
    </w:p>
    <w:bookmarkEnd w:id="21"/>
    <w:p>
      <w:pPr>
        <w:widowControl w:val="0"/>
        <w:shd w:val="clear" w:color="auto" w:fill="auto"/>
        <w:tabs>
          <w:tab w:val="clear" w:pos="426"/>
        </w:tabs>
        <w:adjustRightInd/>
        <w:snapToGrid/>
        <w:ind w:firstLine="420" w:firstLineChars="200"/>
        <w:rPr>
          <w:szCs w:val="21"/>
          <w:highlight w:val="none"/>
          <w:u w:val="none"/>
        </w:rPr>
      </w:pPr>
      <w:r>
        <w:rPr>
          <w:rFonts w:hint="eastAsia" w:cs="Times New Roman"/>
          <w:kern w:val="2"/>
          <w:szCs w:val="21"/>
          <w:highlight w:val="none"/>
          <w:u w:val="none"/>
        </w:rPr>
        <w:t>预算金额：</w:t>
      </w:r>
      <w:r>
        <w:rPr>
          <w:szCs w:val="21"/>
          <w:highlight w:val="none"/>
          <w:u w:val="none"/>
        </w:rPr>
        <w:t>588</w:t>
      </w:r>
      <w:r>
        <w:rPr>
          <w:rFonts w:hint="eastAsia"/>
          <w:szCs w:val="21"/>
          <w:highlight w:val="none"/>
          <w:u w:val="none"/>
        </w:rPr>
        <w:t>.</w:t>
      </w:r>
      <w:r>
        <w:rPr>
          <w:szCs w:val="21"/>
          <w:highlight w:val="none"/>
          <w:u w:val="none"/>
        </w:rPr>
        <w:t>1240</w:t>
      </w:r>
      <w:r>
        <w:rPr>
          <w:rFonts w:hint="eastAsia"/>
          <w:szCs w:val="21"/>
          <w:highlight w:val="none"/>
          <w:u w:val="none"/>
        </w:rPr>
        <w:t>00万元（人民币）</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采购需求：</w:t>
      </w:r>
    </w:p>
    <w:tbl>
      <w:tblPr>
        <w:tblStyle w:val="85"/>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90"/>
        <w:gridCol w:w="796"/>
        <w:gridCol w:w="1112"/>
        <w:gridCol w:w="4777"/>
        <w:gridCol w:w="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33"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标的名称</w:t>
            </w:r>
          </w:p>
        </w:tc>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数量</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单位</w:t>
            </w:r>
          </w:p>
        </w:tc>
        <w:tc>
          <w:tcPr>
            <w:tcW w:w="2471"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简要技术需求</w:t>
            </w:r>
          </w:p>
          <w:p>
            <w:pPr>
              <w:jc w:val="center"/>
              <w:rPr>
                <w:rFonts w:hAnsi="宋体"/>
                <w:szCs w:val="21"/>
                <w:highlight w:val="none"/>
                <w:u w:val="none"/>
              </w:rPr>
            </w:pPr>
            <w:r>
              <w:rPr>
                <w:rFonts w:hint="eastAsia" w:hAnsi="宋体"/>
                <w:szCs w:val="21"/>
                <w:highlight w:val="none"/>
                <w:u w:val="none"/>
              </w:rPr>
              <w:t>（服务需求）</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133"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bCs/>
                <w:szCs w:val="21"/>
                <w:highlight w:val="none"/>
                <w:u w:val="none"/>
              </w:rPr>
              <w:t>餐饮服务</w:t>
            </w:r>
          </w:p>
        </w:tc>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1</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项</w:t>
            </w:r>
          </w:p>
        </w:tc>
        <w:tc>
          <w:tcPr>
            <w:tcW w:w="2471" w:type="pct"/>
            <w:tcBorders>
              <w:top w:val="single" w:color="auto" w:sz="4" w:space="0"/>
              <w:left w:val="single" w:color="auto" w:sz="4" w:space="0"/>
              <w:bottom w:val="single" w:color="auto" w:sz="4" w:space="0"/>
              <w:right w:val="single" w:color="auto" w:sz="4" w:space="0"/>
            </w:tcBorders>
            <w:vAlign w:val="center"/>
          </w:tcPr>
          <w:p>
            <w:pPr>
              <w:jc w:val="left"/>
              <w:rPr>
                <w:rFonts w:hAnsi="宋体"/>
                <w:szCs w:val="21"/>
                <w:highlight w:val="none"/>
                <w:u w:val="none"/>
              </w:rPr>
            </w:pPr>
            <w:r>
              <w:rPr>
                <w:rFonts w:hint="eastAsia" w:hAnsi="宋体"/>
                <w:szCs w:val="21"/>
                <w:highlight w:val="none"/>
                <w:u w:val="none"/>
              </w:rPr>
              <w:t>食堂就餐人员共计329人，配送内容包括粮谷（米、面）、蔬菜、水果、禽畜生肉、禽蛋、冻品、水产品、副食品、干货、杂货、调料等食堂原材料。</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hAnsi="宋体"/>
                <w:szCs w:val="21"/>
                <w:highlight w:val="none"/>
                <w:u w:val="none"/>
              </w:rPr>
            </w:pPr>
            <w:r>
              <w:rPr>
                <w:rFonts w:hint="eastAsia" w:hAnsi="宋体"/>
                <w:szCs w:val="21"/>
                <w:highlight w:val="none"/>
                <w:u w:val="none"/>
              </w:rPr>
              <w:t>无</w:t>
            </w:r>
          </w:p>
        </w:tc>
      </w:tr>
    </w:tbl>
    <w:p>
      <w:pPr>
        <w:widowControl w:val="0"/>
        <w:shd w:val="clear" w:color="auto" w:fill="auto"/>
        <w:tabs>
          <w:tab w:val="clear" w:pos="426"/>
        </w:tabs>
        <w:adjustRightInd/>
        <w:snapToGrid/>
        <w:ind w:firstLine="420" w:firstLineChars="200"/>
        <w:rPr>
          <w:rFonts w:cs="Times New Roman"/>
          <w:strike/>
          <w:kern w:val="2"/>
          <w:szCs w:val="21"/>
          <w:highlight w:val="none"/>
          <w:u w:val="none"/>
        </w:rPr>
      </w:pPr>
      <w:r>
        <w:rPr>
          <w:rFonts w:hint="eastAsia" w:cs="Times New Roman"/>
          <w:kern w:val="2"/>
          <w:szCs w:val="21"/>
          <w:highlight w:val="none"/>
          <w:u w:val="none"/>
        </w:rPr>
        <w:t>合同履行期限：本项目服务期限为合同签订生效后一年。</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本项目（不接受）联合体投标。</w:t>
      </w:r>
    </w:p>
    <w:p>
      <w:pPr>
        <w:pStyle w:val="3"/>
        <w:numPr>
          <w:ilvl w:val="0"/>
          <w:numId w:val="0"/>
        </w:numPr>
        <w:rPr>
          <w:highlight w:val="none"/>
          <w:u w:val="none"/>
        </w:rPr>
      </w:pPr>
      <w:bookmarkStart w:id="22" w:name="_Toc145666454"/>
      <w:bookmarkStart w:id="23" w:name="_Toc35393791"/>
      <w:bookmarkStart w:id="24" w:name="_Toc28359080"/>
      <w:bookmarkStart w:id="25" w:name="_Toc152759222"/>
      <w:bookmarkStart w:id="26" w:name="_Toc120892134"/>
      <w:bookmarkStart w:id="27" w:name="_Toc35393622"/>
      <w:bookmarkStart w:id="28" w:name="_Toc28359003"/>
      <w:r>
        <w:rPr>
          <w:rFonts w:hint="eastAsia"/>
          <w:highlight w:val="none"/>
          <w:u w:val="none"/>
        </w:rPr>
        <w:t>二、申请人的资格要求：</w:t>
      </w:r>
      <w:bookmarkEnd w:id="22"/>
      <w:bookmarkEnd w:id="23"/>
      <w:bookmarkEnd w:id="24"/>
      <w:bookmarkEnd w:id="25"/>
      <w:bookmarkEnd w:id="26"/>
      <w:bookmarkEnd w:id="27"/>
      <w:bookmarkEnd w:id="28"/>
    </w:p>
    <w:p>
      <w:pPr>
        <w:widowControl w:val="0"/>
        <w:shd w:val="clear" w:color="auto" w:fill="auto"/>
        <w:tabs>
          <w:tab w:val="clear" w:pos="426"/>
        </w:tabs>
        <w:adjustRightInd/>
        <w:snapToGrid/>
        <w:ind w:firstLine="420" w:firstLineChars="200"/>
        <w:rPr>
          <w:rFonts w:cs="Times New Roman"/>
          <w:kern w:val="2"/>
          <w:szCs w:val="21"/>
          <w:highlight w:val="none"/>
          <w:u w:val="none"/>
        </w:rPr>
      </w:pPr>
      <w:bookmarkStart w:id="29" w:name="_Toc28359081"/>
      <w:bookmarkStart w:id="30" w:name="_Toc28359004"/>
      <w:r>
        <w:rPr>
          <w:rFonts w:hint="eastAsia" w:cs="Times New Roman"/>
          <w:kern w:val="2"/>
          <w:szCs w:val="21"/>
          <w:highlight w:val="none"/>
          <w:u w:val="none"/>
        </w:rPr>
        <w:t>1.满足《中华人民共和国政府采购法》第二十二条规定；</w:t>
      </w:r>
    </w:p>
    <w:p>
      <w:pPr>
        <w:widowControl w:val="0"/>
        <w:shd w:val="clear" w:color="auto" w:fill="auto"/>
        <w:tabs>
          <w:tab w:val="clear" w:pos="426"/>
        </w:tabs>
        <w:adjustRightInd/>
        <w:snapToGrid/>
        <w:ind w:firstLine="420" w:firstLineChars="200"/>
        <w:rPr>
          <w:rFonts w:hint="eastAsia" w:cs="Times New Roman"/>
          <w:kern w:val="2"/>
          <w:szCs w:val="21"/>
          <w:highlight w:val="none"/>
          <w:u w:val="none"/>
        </w:rPr>
      </w:pPr>
      <w:bookmarkStart w:id="31" w:name="_Hlk141433537"/>
      <w:r>
        <w:rPr>
          <w:rFonts w:hint="eastAsia" w:cs="Times New Roman"/>
          <w:kern w:val="2"/>
          <w:szCs w:val="21"/>
          <w:highlight w:val="none"/>
          <w:u w:val="none"/>
        </w:rPr>
        <w:t>2.落实政府采购政策需满足的资格要求：</w:t>
      </w:r>
      <w:bookmarkEnd w:id="31"/>
    </w:p>
    <w:p>
      <w:pPr>
        <w:widowControl w:val="0"/>
        <w:shd w:val="clear" w:color="auto" w:fill="auto"/>
        <w:tabs>
          <w:tab w:val="clear" w:pos="426"/>
        </w:tabs>
        <w:adjustRightInd/>
        <w:snapToGrid/>
        <w:ind w:firstLine="420" w:firstLineChars="200"/>
        <w:rPr>
          <w:rFonts w:hint="eastAsia" w:cs="Times New Roman"/>
          <w:kern w:val="2"/>
          <w:szCs w:val="21"/>
          <w:highlight w:val="none"/>
          <w:u w:val="none"/>
        </w:rPr>
      </w:pPr>
      <w:r>
        <w:rPr>
          <w:rFonts w:hint="eastAsia" w:cs="Times New Roman"/>
          <w:kern w:val="2"/>
          <w:szCs w:val="21"/>
          <w:highlight w:val="none"/>
          <w:u w:val="none"/>
        </w:rPr>
        <w:t>根据《政府采购促进中小企业发展管理办法》（财库〔2020〕46号）：</w:t>
      </w:r>
    </w:p>
    <w:p>
      <w:pPr>
        <w:widowControl w:val="0"/>
        <w:shd w:val="clear" w:color="auto" w:fill="auto"/>
        <w:tabs>
          <w:tab w:val="clear" w:pos="426"/>
        </w:tabs>
        <w:adjustRightInd/>
        <w:snapToGrid/>
        <w:ind w:firstLine="420" w:firstLineChars="200"/>
        <w:rPr>
          <w:rFonts w:hint="eastAsia" w:cs="Times New Roman"/>
          <w:kern w:val="2"/>
          <w:szCs w:val="21"/>
          <w:highlight w:val="none"/>
          <w:u w:val="none"/>
        </w:rPr>
      </w:pPr>
      <w:r>
        <w:rPr>
          <w:rFonts w:hint="eastAsia" w:cs="Times New Roman"/>
          <w:kern w:val="2"/>
          <w:szCs w:val="21"/>
          <w:highlight w:val="none"/>
          <w:u w:val="none"/>
        </w:rPr>
        <w:t>①若投标人不分包，须自身为小微企业，提供《中小企业声明函》（详见招标文件格式内容，并加盖投标人公章）。</w:t>
      </w:r>
    </w:p>
    <w:p>
      <w:pPr>
        <w:widowControl w:val="0"/>
        <w:shd w:val="clear" w:color="auto" w:fill="auto"/>
        <w:tabs>
          <w:tab w:val="clear" w:pos="426"/>
        </w:tabs>
        <w:adjustRightInd/>
        <w:snapToGrid/>
        <w:ind w:firstLine="420" w:firstLineChars="200"/>
        <w:rPr>
          <w:rFonts w:hint="eastAsia" w:cs="Times New Roman"/>
          <w:kern w:val="2"/>
          <w:szCs w:val="21"/>
          <w:highlight w:val="none"/>
          <w:u w:val="none"/>
        </w:rPr>
      </w:pPr>
      <w:r>
        <w:rPr>
          <w:rFonts w:hint="eastAsia" w:cs="Times New Roman"/>
          <w:kern w:val="2"/>
          <w:szCs w:val="21"/>
          <w:highlight w:val="none"/>
          <w:u w:val="none"/>
        </w:rPr>
        <w:t>②若投标人自身为中型或大型企业，须将本项目非主体、非关键性服务内容分包，且需满足：本项目预留部分份额专门面向中小微企业采购，要求中小微企业承担的比例不低于合同总额的30%，其中预留给小微企业承担的比例不低于60%。分包承担主体不多于3家，且分包承担主体不得再次分包，须提供《分包意向协议》（格式仅供参考，需加盖投标人与各分包承担主体的公章，并在协议中明确各方的合同金额比例，要求由中小微企业承担的合同金额比例符合预留份额的比例要求），且须提供《中小企业声明函》（详见招标文件格式内容，并加盖投标人公章）。</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 xml:space="preserve">注：接受分包合同的中小企业与分包企业之间不得存在直接控股、管理关系，且在同一项目中不得接受两个或以上包组中标企业的分包。残疾人福利性单位或监狱企业视同小型、微型企业，提供《残疾人福利性单位声明函》或由省级以上监狱管理局、戒毒管理局(含新疆生产建设兵团)出具的监狱企业证明文件，未提供声明函或声明函内容不符合中小企业声明函“填写指引”要求的做资格审查不通过处理。 </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3.本项目的特定资格要求：</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3.1</w:t>
      </w:r>
      <w:r>
        <w:rPr>
          <w:rFonts w:hint="eastAsia" w:cs="Times New Roman"/>
          <w:kern w:val="2"/>
          <w:szCs w:val="21"/>
          <w:highlight w:val="none"/>
          <w:u w:val="none"/>
        </w:rPr>
        <w:t>具有独立法人资格或具有独立承担民事责任的能力的其它组织（提供营业执照或事业单位法人证等法人证明复印件并加盖投标人公章，原件备查）。</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3.2</w:t>
      </w:r>
      <w:r>
        <w:rPr>
          <w:rFonts w:hint="eastAsia" w:cs="Times New Roman"/>
          <w:kern w:val="2"/>
          <w:szCs w:val="21"/>
          <w:highlight w:val="none"/>
          <w:u w:val="none"/>
        </w:rPr>
        <w:t>具备《中华人民共和国政府采购法》第二十二条第一款的条件（由供应商在《政府采购投标及履约承诺函》中作出声明）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.3</w:t>
      </w:r>
      <w:r>
        <w:rPr>
          <w:rFonts w:hint="eastAsia" w:cs="Times New Roman"/>
          <w:kern w:val="2"/>
          <w:szCs w:val="21"/>
          <w:highlight w:val="none"/>
          <w:u w:val="none"/>
        </w:rPr>
        <w:t>参加政府采购活动前三年内，在经营活动中没有重大违法记录（由供应商在《政府采购投标及履约承诺函》中作出声明）。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3.4</w:t>
      </w:r>
      <w:r>
        <w:rPr>
          <w:rFonts w:hint="eastAsia" w:cs="Times New Roman"/>
          <w:kern w:val="2"/>
          <w:szCs w:val="21"/>
          <w:highlight w:val="none"/>
          <w:u w:val="none"/>
        </w:rPr>
        <w:t>参与本项目政府采购活动时不存在被有关部门禁止参与政府采购活动且在有效期内的情况（由供应商在《政府采购投标及履约承诺函》中作出声明）。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3.5</w:t>
      </w:r>
      <w:r>
        <w:rPr>
          <w:rFonts w:hint="eastAsia" w:cs="Times New Roman"/>
          <w:kern w:val="2"/>
          <w:szCs w:val="21"/>
          <w:highlight w:val="none"/>
          <w:u w:val="none"/>
        </w:rPr>
        <w:t>未被列入失信被执行人、重大税收违法失信主体、政府采购严重违法失信行为记录名单</w:t>
      </w:r>
      <w:bookmarkStart w:id="32" w:name="_Hlk141432637"/>
      <w:r>
        <w:rPr>
          <w:rFonts w:hint="eastAsia" w:cs="Times New Roman"/>
          <w:kern w:val="2"/>
          <w:szCs w:val="21"/>
          <w:highlight w:val="none"/>
          <w:u w:val="none"/>
        </w:rPr>
        <w:t>（由供应商在《政府采购投标及履约承诺函》中作出声明）</w:t>
      </w:r>
      <w:bookmarkEnd w:id="32"/>
      <w:r>
        <w:rPr>
          <w:rFonts w:hint="eastAsia" w:cs="Times New Roman"/>
          <w:kern w:val="2"/>
          <w:szCs w:val="21"/>
          <w:highlight w:val="none"/>
          <w:u w:val="none"/>
        </w:rPr>
        <w:t>。【注：采购代理机构将通过“信用中国”中“信用服务”栏的“重大税收违法失信主体”“失信被执行人”、“中国政府采购网”中的“政府采购严重违法失信行为记录名单”查询供应商的信用信息，相关信息以开标当日的查询结果为准。信用信息查询记录将作为项目档案材料一并保存。】</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3.6</w:t>
      </w:r>
      <w:r>
        <w:rPr>
          <w:rFonts w:hint="eastAsia" w:cs="Times New Roman"/>
          <w:kern w:val="2"/>
          <w:szCs w:val="21"/>
          <w:highlight w:val="none"/>
          <w:u w:val="none"/>
        </w:rPr>
        <w:t>单位负责人为同一人或者存在直接控股、管理关系的不同供应商，不得参加同一合同项下的政府采购活动（由供应商在《政府采购投标及履约承诺函》中作出声明）。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3.7</w:t>
      </w:r>
      <w:r>
        <w:rPr>
          <w:rFonts w:hint="eastAsia" w:cs="Times New Roman"/>
          <w:kern w:val="2"/>
          <w:szCs w:val="21"/>
          <w:highlight w:val="none"/>
          <w:u w:val="none"/>
        </w:rPr>
        <w:t>未参与本采购项目的整体设计、规范编制或者项目管理、监理、检测等服务（由供应商在《政府采购投标及履约承诺函》中作出声明）。</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3.8</w:t>
      </w:r>
      <w:r>
        <w:rPr>
          <w:rFonts w:hint="eastAsia" w:cs="Times New Roman"/>
          <w:kern w:val="2"/>
          <w:szCs w:val="21"/>
          <w:highlight w:val="none"/>
          <w:u w:val="none"/>
        </w:rPr>
        <w:t>本项目不接受联合体投标。</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9具有食品药品监督管理部门或市场监督管理部门颁发有效期内的《食品经营许可证》或仅销售预包装食品单位备案证明（提供证书复印件加盖投标人公章，原件备查）。</w:t>
      </w:r>
    </w:p>
    <w:p>
      <w:pPr>
        <w:widowControl w:val="0"/>
        <w:shd w:val="clear" w:color="auto" w:fill="auto"/>
        <w:tabs>
          <w:tab w:val="clear" w:pos="426"/>
        </w:tabs>
        <w:adjustRightInd/>
        <w:snapToGrid/>
        <w:ind w:firstLine="420" w:firstLineChars="200"/>
        <w:rPr>
          <w:rFonts w:cs="Times New Roman"/>
          <w:kern w:val="2"/>
          <w:szCs w:val="21"/>
          <w:highlight w:val="none"/>
          <w:u w:val="none"/>
        </w:rPr>
      </w:pPr>
    </w:p>
    <w:p>
      <w:pPr>
        <w:pStyle w:val="3"/>
        <w:numPr>
          <w:ilvl w:val="0"/>
          <w:numId w:val="0"/>
        </w:numPr>
        <w:rPr>
          <w:highlight w:val="none"/>
          <w:u w:val="none"/>
        </w:rPr>
      </w:pPr>
      <w:bookmarkStart w:id="33" w:name="_Toc35393623"/>
      <w:bookmarkStart w:id="34" w:name="_Toc152759223"/>
      <w:bookmarkStart w:id="35" w:name="_Toc35393792"/>
      <w:bookmarkStart w:id="36" w:name="_Toc120892135"/>
      <w:bookmarkStart w:id="37" w:name="_Toc145666455"/>
      <w:r>
        <w:rPr>
          <w:rFonts w:hint="eastAsia"/>
          <w:highlight w:val="none"/>
          <w:u w:val="none"/>
        </w:rPr>
        <w:t>三、获取招标文件</w:t>
      </w:r>
      <w:bookmarkEnd w:id="29"/>
      <w:bookmarkEnd w:id="30"/>
      <w:bookmarkEnd w:id="33"/>
      <w:bookmarkEnd w:id="34"/>
      <w:bookmarkEnd w:id="35"/>
      <w:bookmarkEnd w:id="36"/>
      <w:bookmarkEnd w:id="37"/>
    </w:p>
    <w:p>
      <w:pPr>
        <w:widowControl w:val="0"/>
        <w:shd w:val="clear" w:color="auto" w:fill="auto"/>
        <w:tabs>
          <w:tab w:val="clear" w:pos="426"/>
        </w:tabs>
        <w:adjustRightInd/>
        <w:snapToGrid/>
        <w:ind w:firstLine="540"/>
        <w:rPr>
          <w:kern w:val="2"/>
          <w:szCs w:val="21"/>
          <w:highlight w:val="none"/>
          <w:u w:val="none"/>
        </w:rPr>
      </w:pPr>
      <w:r>
        <w:rPr>
          <w:rFonts w:hint="eastAsia"/>
          <w:kern w:val="2"/>
          <w:szCs w:val="21"/>
          <w:highlight w:val="none"/>
          <w:u w:val="none"/>
        </w:rPr>
        <w:t>时间：</w:t>
      </w:r>
      <w:r>
        <w:rPr>
          <w:kern w:val="2"/>
          <w:szCs w:val="21"/>
          <w:highlight w:val="none"/>
          <w:u w:val="none"/>
        </w:rPr>
        <w:t>2024</w:t>
      </w:r>
      <w:r>
        <w:rPr>
          <w:rFonts w:hint="eastAsia"/>
          <w:kern w:val="2"/>
          <w:szCs w:val="21"/>
          <w:highlight w:val="none"/>
          <w:u w:val="none"/>
        </w:rPr>
        <w:t>年</w:t>
      </w:r>
      <w:r>
        <w:rPr>
          <w:rFonts w:hint="eastAsia" w:cs="Times New Roman"/>
          <w:kern w:val="2"/>
          <w:szCs w:val="21"/>
          <w:highlight w:val="none"/>
          <w:u w:val="none"/>
          <w:lang w:val="en-US" w:eastAsia="zh-CN"/>
        </w:rPr>
        <w:t>7</w:t>
      </w:r>
      <w:r>
        <w:rPr>
          <w:rFonts w:hint="eastAsia"/>
          <w:kern w:val="2"/>
          <w:szCs w:val="21"/>
          <w:highlight w:val="none"/>
          <w:u w:val="none"/>
        </w:rPr>
        <w:t>月</w:t>
      </w:r>
      <w:r>
        <w:rPr>
          <w:rFonts w:hint="eastAsia" w:cs="Times New Roman"/>
          <w:kern w:val="2"/>
          <w:szCs w:val="21"/>
          <w:highlight w:val="none"/>
          <w:u w:val="none"/>
          <w:lang w:val="en-US" w:eastAsia="zh-CN"/>
        </w:rPr>
        <w:t>6</w:t>
      </w:r>
      <w:r>
        <w:rPr>
          <w:rFonts w:hint="eastAsia"/>
          <w:kern w:val="2"/>
          <w:szCs w:val="21"/>
          <w:highlight w:val="none"/>
          <w:u w:val="none"/>
        </w:rPr>
        <w:t>日至</w:t>
      </w:r>
      <w:r>
        <w:rPr>
          <w:kern w:val="2"/>
          <w:szCs w:val="21"/>
          <w:highlight w:val="none"/>
          <w:u w:val="none"/>
        </w:rPr>
        <w:t>2024</w:t>
      </w:r>
      <w:r>
        <w:rPr>
          <w:rFonts w:hint="eastAsia"/>
          <w:kern w:val="2"/>
          <w:szCs w:val="21"/>
          <w:highlight w:val="none"/>
          <w:u w:val="none"/>
        </w:rPr>
        <w:t>年</w:t>
      </w:r>
      <w:r>
        <w:rPr>
          <w:rFonts w:hint="eastAsia" w:cs="Times New Roman"/>
          <w:kern w:val="2"/>
          <w:szCs w:val="21"/>
          <w:highlight w:val="none"/>
          <w:u w:val="none"/>
          <w:lang w:val="en-US" w:eastAsia="zh-CN"/>
        </w:rPr>
        <w:t>7</w:t>
      </w:r>
      <w:r>
        <w:rPr>
          <w:rFonts w:hint="eastAsia"/>
          <w:kern w:val="2"/>
          <w:szCs w:val="21"/>
          <w:highlight w:val="none"/>
          <w:u w:val="none"/>
        </w:rPr>
        <w:t>月</w:t>
      </w:r>
      <w:r>
        <w:rPr>
          <w:rFonts w:hint="eastAsia" w:cs="Times New Roman"/>
          <w:kern w:val="2"/>
          <w:szCs w:val="21"/>
          <w:highlight w:val="none"/>
          <w:u w:val="none"/>
          <w:lang w:val="en-US" w:eastAsia="zh-CN"/>
        </w:rPr>
        <w:t>15</w:t>
      </w:r>
      <w:r>
        <w:rPr>
          <w:rFonts w:hint="eastAsia"/>
          <w:kern w:val="2"/>
          <w:szCs w:val="21"/>
          <w:highlight w:val="none"/>
          <w:u w:val="none"/>
        </w:rPr>
        <w:t>日，每天上午</w:t>
      </w:r>
      <w:r>
        <w:rPr>
          <w:kern w:val="2"/>
          <w:szCs w:val="21"/>
          <w:highlight w:val="none"/>
          <w:u w:val="none"/>
        </w:rPr>
        <w:t>9:00</w:t>
      </w:r>
      <w:r>
        <w:rPr>
          <w:rFonts w:hint="eastAsia"/>
          <w:kern w:val="2"/>
          <w:szCs w:val="21"/>
          <w:highlight w:val="none"/>
          <w:u w:val="none"/>
        </w:rPr>
        <w:t>至</w:t>
      </w:r>
      <w:r>
        <w:rPr>
          <w:kern w:val="2"/>
          <w:szCs w:val="21"/>
          <w:highlight w:val="none"/>
          <w:u w:val="none"/>
        </w:rPr>
        <w:t>12:00</w:t>
      </w:r>
      <w:r>
        <w:rPr>
          <w:rFonts w:hint="eastAsia"/>
          <w:kern w:val="2"/>
          <w:szCs w:val="21"/>
          <w:highlight w:val="none"/>
          <w:u w:val="none"/>
        </w:rPr>
        <w:t>，下午</w:t>
      </w:r>
      <w:r>
        <w:rPr>
          <w:kern w:val="2"/>
          <w:szCs w:val="21"/>
          <w:highlight w:val="none"/>
          <w:u w:val="none"/>
        </w:rPr>
        <w:t>14:00</w:t>
      </w:r>
      <w:r>
        <w:rPr>
          <w:rFonts w:hint="eastAsia"/>
          <w:kern w:val="2"/>
          <w:szCs w:val="21"/>
          <w:highlight w:val="none"/>
          <w:u w:val="none"/>
        </w:rPr>
        <w:t>至</w:t>
      </w:r>
      <w:r>
        <w:rPr>
          <w:kern w:val="2"/>
          <w:szCs w:val="21"/>
          <w:highlight w:val="none"/>
          <w:u w:val="none"/>
        </w:rPr>
        <w:t>18:00</w:t>
      </w:r>
      <w:r>
        <w:rPr>
          <w:rFonts w:hint="eastAsia"/>
          <w:kern w:val="2"/>
          <w:szCs w:val="21"/>
          <w:highlight w:val="none"/>
          <w:u w:val="none"/>
        </w:rPr>
        <w:t>（北京时间，法定节假日除外）</w:t>
      </w:r>
    </w:p>
    <w:p>
      <w:pPr>
        <w:widowControl w:val="0"/>
        <w:shd w:val="clear" w:color="auto" w:fill="auto"/>
        <w:tabs>
          <w:tab w:val="clear" w:pos="426"/>
        </w:tabs>
        <w:adjustRightInd/>
        <w:snapToGrid/>
        <w:ind w:firstLine="540"/>
        <w:rPr>
          <w:kern w:val="2"/>
          <w:szCs w:val="21"/>
          <w:highlight w:val="none"/>
          <w:u w:val="none"/>
        </w:rPr>
      </w:pPr>
      <w:r>
        <w:rPr>
          <w:rFonts w:hint="eastAsia"/>
          <w:kern w:val="2"/>
          <w:szCs w:val="21"/>
          <w:highlight w:val="none"/>
          <w:u w:val="none"/>
        </w:rPr>
        <w:t>地点：</w:t>
      </w:r>
      <w:r>
        <w:rPr>
          <w:rFonts w:hint="eastAsia" w:cs="Times New Roman"/>
          <w:kern w:val="2"/>
          <w:szCs w:val="21"/>
          <w:highlight w:val="none"/>
          <w:u w:val="none"/>
        </w:rPr>
        <w:t>深圳市罗湖区清水河街道清水河社区清水河一路112号罗湖投资控股大厦裙楼401招标代理部</w:t>
      </w:r>
    </w:p>
    <w:p>
      <w:pPr>
        <w:widowControl w:val="0"/>
        <w:shd w:val="clear" w:color="auto" w:fill="auto"/>
        <w:tabs>
          <w:tab w:val="clear" w:pos="426"/>
        </w:tabs>
        <w:adjustRightInd/>
        <w:snapToGrid/>
        <w:ind w:firstLine="540"/>
        <w:rPr>
          <w:kern w:val="2"/>
          <w:szCs w:val="21"/>
          <w:highlight w:val="none"/>
          <w:u w:val="none"/>
        </w:rPr>
      </w:pPr>
      <w:r>
        <w:rPr>
          <w:rFonts w:hint="eastAsia"/>
          <w:kern w:val="2"/>
          <w:szCs w:val="21"/>
          <w:highlight w:val="none"/>
          <w:u w:val="none"/>
        </w:rPr>
        <w:t>方式：现场购买。</w:t>
      </w:r>
    </w:p>
    <w:p>
      <w:pPr>
        <w:widowControl w:val="0"/>
        <w:shd w:val="clear" w:color="auto" w:fill="auto"/>
        <w:tabs>
          <w:tab w:val="clear" w:pos="426"/>
        </w:tabs>
        <w:adjustRightInd/>
        <w:snapToGrid/>
        <w:ind w:firstLine="540"/>
        <w:rPr>
          <w:kern w:val="2"/>
          <w:szCs w:val="21"/>
          <w:highlight w:val="none"/>
          <w:u w:val="none"/>
        </w:rPr>
      </w:pPr>
      <w:r>
        <w:rPr>
          <w:rFonts w:hint="eastAsia"/>
          <w:kern w:val="2"/>
          <w:szCs w:val="21"/>
          <w:highlight w:val="none"/>
          <w:u w:val="none"/>
        </w:rPr>
        <w:t>报名须提交：投标人的营业执照复印件；法人代表证明书原件、法人代表身份证复印件、授权委托书原件、被授权委托人身份证复印件、被授权委托人联系方式（电话、邮箱）。以上资料均需加盖公章，原件中标备查。</w:t>
      </w:r>
    </w:p>
    <w:p>
      <w:pPr>
        <w:widowControl w:val="0"/>
        <w:shd w:val="clear" w:color="auto" w:fill="auto"/>
        <w:tabs>
          <w:tab w:val="clear" w:pos="426"/>
        </w:tabs>
        <w:adjustRightInd/>
        <w:snapToGrid/>
        <w:ind w:firstLine="540"/>
        <w:rPr>
          <w:kern w:val="2"/>
          <w:szCs w:val="21"/>
          <w:highlight w:val="none"/>
          <w:u w:val="none"/>
        </w:rPr>
      </w:pPr>
      <w:r>
        <w:rPr>
          <w:rFonts w:hint="eastAsia"/>
          <w:kern w:val="2"/>
          <w:szCs w:val="21"/>
          <w:highlight w:val="none"/>
          <w:u w:val="none"/>
        </w:rPr>
        <w:t>售价：</w:t>
      </w:r>
      <w:r>
        <w:rPr>
          <w:kern w:val="2"/>
          <w:szCs w:val="21"/>
          <w:highlight w:val="none"/>
          <w:u w:val="none"/>
        </w:rPr>
        <w:t>500</w:t>
      </w:r>
      <w:r>
        <w:rPr>
          <w:rFonts w:hint="eastAsia"/>
          <w:kern w:val="2"/>
          <w:szCs w:val="21"/>
          <w:highlight w:val="none"/>
          <w:u w:val="none"/>
        </w:rPr>
        <w:t>元</w:t>
      </w:r>
      <w:r>
        <w:rPr>
          <w:kern w:val="2"/>
          <w:szCs w:val="21"/>
          <w:highlight w:val="none"/>
          <w:u w:val="none"/>
        </w:rPr>
        <w:t>/</w:t>
      </w:r>
      <w:r>
        <w:rPr>
          <w:rFonts w:hint="eastAsia"/>
          <w:kern w:val="2"/>
          <w:szCs w:val="21"/>
          <w:highlight w:val="none"/>
          <w:u w:val="none"/>
        </w:rPr>
        <w:t>份，本公告包含的招标文件售价总和</w:t>
      </w:r>
    </w:p>
    <w:p>
      <w:pPr>
        <w:pStyle w:val="3"/>
        <w:numPr>
          <w:ilvl w:val="0"/>
          <w:numId w:val="0"/>
        </w:numPr>
        <w:rPr>
          <w:highlight w:val="none"/>
          <w:u w:val="none"/>
        </w:rPr>
      </w:pPr>
      <w:bookmarkStart w:id="38" w:name="_Toc28359005"/>
      <w:bookmarkStart w:id="39" w:name="_Toc28359082"/>
      <w:bookmarkStart w:id="40" w:name="_Toc35393624"/>
      <w:bookmarkStart w:id="41" w:name="_Toc152759224"/>
      <w:bookmarkStart w:id="42" w:name="_Toc120892136"/>
      <w:bookmarkStart w:id="43" w:name="_Toc35393793"/>
      <w:bookmarkStart w:id="44" w:name="_Toc145666456"/>
      <w:r>
        <w:rPr>
          <w:rFonts w:hint="eastAsia"/>
          <w:highlight w:val="none"/>
          <w:u w:val="none"/>
        </w:rPr>
        <w:t>四、提交投标文件</w:t>
      </w:r>
      <w:bookmarkEnd w:id="38"/>
      <w:bookmarkEnd w:id="39"/>
      <w:r>
        <w:rPr>
          <w:rFonts w:hint="eastAsia"/>
          <w:highlight w:val="none"/>
          <w:u w:val="none"/>
        </w:rPr>
        <w:t>截止时间、开标时间和地点</w:t>
      </w:r>
      <w:bookmarkEnd w:id="40"/>
      <w:bookmarkEnd w:id="41"/>
      <w:bookmarkEnd w:id="42"/>
      <w:bookmarkEnd w:id="43"/>
      <w:bookmarkEnd w:id="44"/>
    </w:p>
    <w:p>
      <w:pPr>
        <w:widowControl w:val="0"/>
        <w:shd w:val="clear" w:color="auto" w:fill="auto"/>
        <w:tabs>
          <w:tab w:val="clear" w:pos="426"/>
        </w:tabs>
        <w:adjustRightInd/>
        <w:snapToGrid/>
        <w:ind w:firstLine="420" w:firstLineChars="200"/>
        <w:rPr>
          <w:rFonts w:cs="Times New Roman"/>
          <w:bCs/>
          <w:kern w:val="2"/>
          <w:szCs w:val="21"/>
          <w:highlight w:val="none"/>
          <w:u w:val="none"/>
        </w:rPr>
      </w:pPr>
      <w:r>
        <w:rPr>
          <w:rFonts w:hint="eastAsia" w:cs="Times New Roman"/>
          <w:bCs/>
          <w:kern w:val="2"/>
          <w:szCs w:val="21"/>
          <w:highlight w:val="none"/>
          <w:u w:val="none"/>
        </w:rPr>
        <w:t>提交投标文件截止时间：</w:t>
      </w:r>
      <w:r>
        <w:rPr>
          <w:rFonts w:cs="Times New Roman"/>
          <w:bCs/>
          <w:kern w:val="2"/>
          <w:szCs w:val="21"/>
          <w:highlight w:val="none"/>
          <w:u w:val="none"/>
        </w:rPr>
        <w:t>2</w:t>
      </w:r>
      <w:r>
        <w:rPr>
          <w:rFonts w:cs="Times New Roman"/>
          <w:kern w:val="2"/>
          <w:szCs w:val="21"/>
          <w:highlight w:val="none"/>
          <w:u w:val="none"/>
        </w:rPr>
        <w:t>024</w:t>
      </w:r>
      <w:r>
        <w:rPr>
          <w:rFonts w:hint="eastAsia" w:cs="Times New Roman"/>
          <w:kern w:val="2"/>
          <w:szCs w:val="21"/>
          <w:highlight w:val="none"/>
          <w:u w:val="none"/>
        </w:rPr>
        <w:t>年</w:t>
      </w:r>
      <w:r>
        <w:rPr>
          <w:rFonts w:hint="eastAsia" w:cs="Times New Roman"/>
          <w:kern w:val="2"/>
          <w:szCs w:val="21"/>
          <w:highlight w:val="none"/>
          <w:u w:val="none"/>
          <w:lang w:val="en-US" w:eastAsia="zh-CN"/>
        </w:rPr>
        <w:t>7</w:t>
      </w:r>
      <w:r>
        <w:rPr>
          <w:rFonts w:hint="eastAsia" w:cs="Times New Roman"/>
          <w:kern w:val="2"/>
          <w:szCs w:val="21"/>
          <w:highlight w:val="none"/>
          <w:u w:val="none"/>
        </w:rPr>
        <w:t>月</w:t>
      </w:r>
      <w:r>
        <w:rPr>
          <w:rFonts w:hint="eastAsia" w:cs="Times New Roman"/>
          <w:kern w:val="2"/>
          <w:szCs w:val="21"/>
          <w:highlight w:val="none"/>
          <w:u w:val="none"/>
          <w:lang w:val="en-US" w:eastAsia="zh-CN"/>
        </w:rPr>
        <w:t>26</w:t>
      </w:r>
      <w:r>
        <w:rPr>
          <w:rFonts w:hint="eastAsia" w:cs="Times New Roman"/>
          <w:kern w:val="2"/>
          <w:szCs w:val="21"/>
          <w:highlight w:val="none"/>
          <w:u w:val="none"/>
        </w:rPr>
        <w:t>日</w:t>
      </w:r>
      <w:r>
        <w:rPr>
          <w:rFonts w:hint="eastAsia" w:cs="Times New Roman"/>
          <w:kern w:val="2"/>
          <w:szCs w:val="21"/>
          <w:highlight w:val="none"/>
          <w:u w:val="none"/>
          <w:lang w:val="en-US" w:eastAsia="zh-CN"/>
        </w:rPr>
        <w:t>14</w:t>
      </w:r>
      <w:r>
        <w:rPr>
          <w:rFonts w:hint="eastAsia" w:cs="Times New Roman"/>
          <w:kern w:val="2"/>
          <w:szCs w:val="21"/>
          <w:highlight w:val="none"/>
          <w:u w:val="none"/>
        </w:rPr>
        <w:t>点</w:t>
      </w:r>
      <w:r>
        <w:rPr>
          <w:rFonts w:hint="eastAsia" w:cs="Times New Roman"/>
          <w:kern w:val="2"/>
          <w:szCs w:val="21"/>
          <w:highlight w:val="none"/>
          <w:u w:val="none"/>
          <w:lang w:val="en-US" w:eastAsia="zh-CN"/>
        </w:rPr>
        <w:t>3</w:t>
      </w:r>
      <w:r>
        <w:rPr>
          <w:rFonts w:cs="Times New Roman"/>
          <w:kern w:val="2"/>
          <w:szCs w:val="21"/>
          <w:highlight w:val="none"/>
          <w:u w:val="none"/>
        </w:rPr>
        <w:t>0</w:t>
      </w:r>
      <w:r>
        <w:rPr>
          <w:rFonts w:hint="eastAsia" w:cs="Times New Roman"/>
          <w:kern w:val="2"/>
          <w:szCs w:val="21"/>
          <w:highlight w:val="none"/>
          <w:u w:val="none"/>
        </w:rPr>
        <w:t>分（</w:t>
      </w:r>
      <w:r>
        <w:rPr>
          <w:rFonts w:hint="eastAsia" w:cs="Times New Roman"/>
          <w:bCs/>
          <w:kern w:val="2"/>
          <w:szCs w:val="21"/>
          <w:highlight w:val="none"/>
          <w:u w:val="none"/>
        </w:rPr>
        <w:t>北京时间）</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开标时间：202</w:t>
      </w:r>
      <w:r>
        <w:rPr>
          <w:rFonts w:cs="Times New Roman"/>
          <w:kern w:val="2"/>
          <w:szCs w:val="21"/>
          <w:highlight w:val="none"/>
          <w:u w:val="none"/>
        </w:rPr>
        <w:t>4</w:t>
      </w:r>
      <w:r>
        <w:rPr>
          <w:rFonts w:hint="eastAsia" w:cs="Times New Roman"/>
          <w:kern w:val="2"/>
          <w:szCs w:val="21"/>
          <w:highlight w:val="none"/>
          <w:u w:val="none"/>
        </w:rPr>
        <w:t>年</w:t>
      </w:r>
      <w:r>
        <w:rPr>
          <w:rFonts w:hint="eastAsia" w:cs="Times New Roman"/>
          <w:kern w:val="2"/>
          <w:szCs w:val="21"/>
          <w:highlight w:val="none"/>
          <w:u w:val="none"/>
          <w:lang w:val="en-US" w:eastAsia="zh-CN"/>
        </w:rPr>
        <w:t>7</w:t>
      </w:r>
      <w:r>
        <w:rPr>
          <w:rFonts w:hint="eastAsia" w:cs="Times New Roman"/>
          <w:kern w:val="2"/>
          <w:szCs w:val="21"/>
          <w:highlight w:val="none"/>
          <w:u w:val="none"/>
        </w:rPr>
        <w:t>月</w:t>
      </w:r>
      <w:r>
        <w:rPr>
          <w:rFonts w:hint="eastAsia" w:cs="Times New Roman"/>
          <w:kern w:val="2"/>
          <w:szCs w:val="21"/>
          <w:highlight w:val="none"/>
          <w:u w:val="none"/>
          <w:lang w:val="en-US" w:eastAsia="zh-CN"/>
        </w:rPr>
        <w:t>26</w:t>
      </w:r>
      <w:r>
        <w:rPr>
          <w:rFonts w:hint="eastAsia" w:cs="Times New Roman"/>
          <w:kern w:val="2"/>
          <w:szCs w:val="21"/>
          <w:highlight w:val="none"/>
          <w:u w:val="none"/>
        </w:rPr>
        <w:t xml:space="preserve">日 </w:t>
      </w:r>
      <w:r>
        <w:rPr>
          <w:rFonts w:hint="eastAsia" w:cs="Times New Roman"/>
          <w:kern w:val="2"/>
          <w:szCs w:val="21"/>
          <w:highlight w:val="none"/>
          <w:u w:val="none"/>
          <w:lang w:val="en-US" w:eastAsia="zh-CN"/>
        </w:rPr>
        <w:t>14</w:t>
      </w:r>
      <w:r>
        <w:rPr>
          <w:rFonts w:hint="eastAsia" w:cs="Times New Roman"/>
          <w:kern w:val="2"/>
          <w:szCs w:val="21"/>
          <w:highlight w:val="none"/>
          <w:u w:val="none"/>
        </w:rPr>
        <w:t>点</w:t>
      </w:r>
      <w:r>
        <w:rPr>
          <w:rFonts w:hint="eastAsia" w:cs="Times New Roman"/>
          <w:kern w:val="2"/>
          <w:szCs w:val="21"/>
          <w:highlight w:val="none"/>
          <w:u w:val="none"/>
          <w:lang w:val="en-US" w:eastAsia="zh-CN"/>
        </w:rPr>
        <w:t>3</w:t>
      </w:r>
      <w:r>
        <w:rPr>
          <w:rFonts w:hint="eastAsia" w:cs="Times New Roman"/>
          <w:kern w:val="2"/>
          <w:szCs w:val="21"/>
          <w:highlight w:val="none"/>
          <w:u w:val="none"/>
        </w:rPr>
        <w:t>0分（北京时间）</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地点：深圳市罗湖区清水河街道清水河社区清水河一路112号罗湖投资控股大厦裙楼401</w:t>
      </w:r>
    </w:p>
    <w:p>
      <w:pPr>
        <w:pStyle w:val="3"/>
        <w:numPr>
          <w:ilvl w:val="0"/>
          <w:numId w:val="0"/>
        </w:numPr>
        <w:rPr>
          <w:highlight w:val="none"/>
          <w:u w:val="none"/>
        </w:rPr>
      </w:pPr>
      <w:bookmarkStart w:id="45" w:name="_Toc152759225"/>
      <w:bookmarkStart w:id="46" w:name="_Toc28359084"/>
      <w:bookmarkStart w:id="47" w:name="_Toc120892137"/>
      <w:bookmarkStart w:id="48" w:name="_Toc28359007"/>
      <w:bookmarkStart w:id="49" w:name="_Toc145666457"/>
      <w:bookmarkStart w:id="50" w:name="_Toc35393625"/>
      <w:bookmarkStart w:id="51" w:name="_Toc35393794"/>
      <w:r>
        <w:rPr>
          <w:rFonts w:hint="eastAsia"/>
          <w:highlight w:val="none"/>
          <w:u w:val="none"/>
        </w:rPr>
        <w:t>五、公告期限</w:t>
      </w:r>
      <w:bookmarkEnd w:id="45"/>
      <w:bookmarkEnd w:id="46"/>
      <w:bookmarkEnd w:id="47"/>
      <w:bookmarkEnd w:id="48"/>
      <w:bookmarkEnd w:id="49"/>
      <w:bookmarkEnd w:id="50"/>
      <w:bookmarkEnd w:id="51"/>
    </w:p>
    <w:p>
      <w:pPr>
        <w:widowControl w:val="0"/>
        <w:shd w:val="clear" w:color="auto" w:fill="auto"/>
        <w:tabs>
          <w:tab w:val="clear" w:pos="426"/>
        </w:tabs>
        <w:adjustRightInd/>
        <w:snapToGrid/>
        <w:ind w:firstLine="420" w:firstLineChars="200"/>
        <w:rPr>
          <w:szCs w:val="21"/>
          <w:highlight w:val="none"/>
          <w:u w:val="none"/>
        </w:rPr>
      </w:pPr>
      <w:r>
        <w:rPr>
          <w:rFonts w:hint="eastAsia"/>
          <w:szCs w:val="21"/>
          <w:highlight w:val="none"/>
          <w:u w:val="none"/>
        </w:rPr>
        <w:t>自本公告发布之日起</w:t>
      </w:r>
      <w:r>
        <w:rPr>
          <w:szCs w:val="21"/>
          <w:highlight w:val="none"/>
          <w:u w:val="none"/>
        </w:rPr>
        <w:t>5</w:t>
      </w:r>
      <w:r>
        <w:rPr>
          <w:rFonts w:hint="eastAsia"/>
          <w:szCs w:val="21"/>
          <w:highlight w:val="none"/>
          <w:u w:val="none"/>
        </w:rPr>
        <w:t>个工作日。</w:t>
      </w:r>
    </w:p>
    <w:p>
      <w:pPr>
        <w:pStyle w:val="3"/>
        <w:numPr>
          <w:ilvl w:val="0"/>
          <w:numId w:val="0"/>
        </w:numPr>
        <w:rPr>
          <w:highlight w:val="none"/>
          <w:u w:val="none"/>
        </w:rPr>
      </w:pPr>
      <w:bookmarkStart w:id="52" w:name="_Toc152759226"/>
      <w:bookmarkStart w:id="53" w:name="_Toc35393626"/>
      <w:bookmarkStart w:id="54" w:name="_Toc35393795"/>
      <w:bookmarkStart w:id="55" w:name="_Toc145666458"/>
      <w:bookmarkStart w:id="56" w:name="_Toc120892138"/>
      <w:r>
        <w:rPr>
          <w:rFonts w:hint="eastAsia"/>
          <w:highlight w:val="none"/>
          <w:u w:val="none"/>
        </w:rPr>
        <w:t>六、其他补充事宜</w:t>
      </w:r>
      <w:bookmarkEnd w:id="52"/>
      <w:bookmarkEnd w:id="53"/>
      <w:bookmarkEnd w:id="54"/>
      <w:bookmarkEnd w:id="55"/>
      <w:bookmarkEnd w:id="56"/>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答疑事项：</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1.1</w:t>
      </w:r>
      <w:r>
        <w:rPr>
          <w:rFonts w:hint="eastAsia" w:cs="Times New Roman"/>
          <w:kern w:val="2"/>
          <w:szCs w:val="21"/>
          <w:highlight w:val="none"/>
          <w:u w:val="none"/>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highlight w:val="none"/>
          <w:u w:val="none"/>
        </w:rPr>
        <w:t>7</w:t>
      </w:r>
      <w:r>
        <w:rPr>
          <w:rFonts w:hint="eastAsia" w:cs="Times New Roman"/>
          <w:kern w:val="2"/>
          <w:szCs w:val="21"/>
          <w:highlight w:val="none"/>
          <w:u w:val="none"/>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1.2</w:t>
      </w:r>
      <w:r>
        <w:rPr>
          <w:rFonts w:hint="eastAsia" w:cs="Times New Roman"/>
          <w:kern w:val="2"/>
          <w:szCs w:val="21"/>
          <w:highlight w:val="none"/>
          <w:u w:val="none"/>
        </w:rPr>
        <w:t>投标供应商有义务在招标活动期间浏览本公告</w:t>
      </w:r>
      <w:r>
        <w:rPr>
          <w:rFonts w:cs="Times New Roman"/>
          <w:kern w:val="2"/>
          <w:szCs w:val="21"/>
          <w:highlight w:val="none"/>
          <w:u w:val="none"/>
        </w:rPr>
        <w:t>“</w:t>
      </w:r>
      <w:r>
        <w:rPr>
          <w:rFonts w:hint="eastAsia" w:cs="Times New Roman"/>
          <w:kern w:val="2"/>
          <w:szCs w:val="21"/>
          <w:highlight w:val="none"/>
          <w:u w:val="none"/>
        </w:rPr>
        <w:t>六、其他补充事宜</w:t>
      </w:r>
      <w:r>
        <w:rPr>
          <w:rFonts w:cs="Times New Roman"/>
          <w:kern w:val="2"/>
          <w:szCs w:val="21"/>
          <w:highlight w:val="none"/>
          <w:u w:val="none"/>
        </w:rPr>
        <w:t>”</w:t>
      </w:r>
      <w:r>
        <w:rPr>
          <w:rFonts w:hint="eastAsia" w:cs="Times New Roman"/>
          <w:kern w:val="2"/>
          <w:szCs w:val="21"/>
          <w:highlight w:val="none"/>
          <w:u w:val="none"/>
        </w:rPr>
        <w:t>中的相关网站，招标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信息发布平台：</w:t>
      </w:r>
    </w:p>
    <w:p>
      <w:pPr>
        <w:widowControl w:val="0"/>
        <w:shd w:val="clear" w:color="auto" w:fill="auto"/>
        <w:tabs>
          <w:tab w:val="clear" w:pos="426"/>
        </w:tabs>
        <w:adjustRightInd/>
        <w:snapToGrid/>
        <w:ind w:firstLine="420" w:firstLineChars="200"/>
        <w:rPr>
          <w:highlight w:val="none"/>
          <w:u w:val="none"/>
        </w:rPr>
      </w:pPr>
      <w:r>
        <w:rPr>
          <w:rFonts w:hint="eastAsia"/>
          <w:highlight w:val="none"/>
          <w:u w:val="none"/>
        </w:rPr>
        <w:t>中国政府采购网（</w:t>
      </w:r>
      <w:r>
        <w:rPr>
          <w:highlight w:val="none"/>
          <w:u w:val="none"/>
        </w:rPr>
        <w:t>http://www.ccgp.gov.cn</w:t>
      </w:r>
      <w:r>
        <w:rPr>
          <w:rFonts w:hint="eastAsia"/>
          <w:highlight w:val="none"/>
          <w:u w:val="none"/>
        </w:rPr>
        <w:t>）；</w:t>
      </w:r>
    </w:p>
    <w:p>
      <w:pPr>
        <w:widowControl w:val="0"/>
        <w:shd w:val="clear" w:color="auto" w:fill="auto"/>
        <w:tabs>
          <w:tab w:val="clear" w:pos="426"/>
        </w:tabs>
        <w:adjustRightInd/>
        <w:snapToGrid/>
        <w:ind w:firstLine="420" w:firstLineChars="200"/>
        <w:rPr>
          <w:highlight w:val="none"/>
          <w:u w:val="none"/>
        </w:rPr>
      </w:pPr>
      <w:r>
        <w:rPr>
          <w:rFonts w:hint="eastAsia"/>
          <w:highlight w:val="none"/>
          <w:u w:val="none"/>
        </w:rPr>
        <w:t>深圳市深水水务咨询有限公司官网（</w:t>
      </w:r>
      <w:r>
        <w:rPr>
          <w:highlight w:val="none"/>
          <w:u w:val="none"/>
        </w:rPr>
        <w:t>http://www.szsszx.com/</w:t>
      </w:r>
      <w:r>
        <w:rPr>
          <w:rFonts w:hint="eastAsia"/>
          <w:highlight w:val="none"/>
          <w:u w:val="none"/>
        </w:rPr>
        <w:t>）。</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消防救援队伍政府采购项目投诉受理单位：</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联系人：财政部政府采购监督裁决处</w:t>
      </w:r>
    </w:p>
    <w:p>
      <w:pPr>
        <w:widowControl w:val="0"/>
        <w:shd w:val="clear" w:color="auto" w:fill="auto"/>
        <w:tabs>
          <w:tab w:val="clear" w:pos="426"/>
        </w:tabs>
        <w:adjustRightInd/>
        <w:snapToGrid/>
        <w:ind w:firstLine="420" w:firstLineChars="200"/>
        <w:rPr>
          <w:szCs w:val="21"/>
          <w:highlight w:val="none"/>
          <w:u w:val="none"/>
        </w:rPr>
      </w:pPr>
      <w:r>
        <w:rPr>
          <w:rFonts w:hint="eastAsia" w:cs="Times New Roman"/>
          <w:kern w:val="2"/>
          <w:szCs w:val="21"/>
          <w:highlight w:val="none"/>
          <w:u w:val="none"/>
        </w:rPr>
        <w:t>电话：</w:t>
      </w:r>
      <w:r>
        <w:rPr>
          <w:rFonts w:cs="Times New Roman"/>
          <w:kern w:val="2"/>
          <w:szCs w:val="21"/>
          <w:highlight w:val="none"/>
          <w:u w:val="none"/>
        </w:rPr>
        <w:t>010-68513070</w:t>
      </w:r>
      <w:r>
        <w:rPr>
          <w:rFonts w:hint="eastAsia" w:cs="Times New Roman"/>
          <w:kern w:val="2"/>
          <w:szCs w:val="21"/>
          <w:highlight w:val="none"/>
          <w:u w:val="none"/>
        </w:rPr>
        <w:t>、</w:t>
      </w:r>
      <w:r>
        <w:rPr>
          <w:rFonts w:cs="Times New Roman"/>
          <w:kern w:val="2"/>
          <w:szCs w:val="21"/>
          <w:highlight w:val="none"/>
          <w:u w:val="none"/>
        </w:rPr>
        <w:t>010-68519967</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地址：北京市西城区月坛北小街</w:t>
      </w:r>
      <w:r>
        <w:rPr>
          <w:rFonts w:cs="Times New Roman"/>
          <w:kern w:val="2"/>
          <w:szCs w:val="21"/>
          <w:highlight w:val="none"/>
          <w:u w:val="none"/>
        </w:rPr>
        <w:t>13</w:t>
      </w:r>
      <w:r>
        <w:rPr>
          <w:rFonts w:hint="eastAsia" w:cs="Times New Roman"/>
          <w:kern w:val="2"/>
          <w:szCs w:val="21"/>
          <w:highlight w:val="none"/>
          <w:u w:val="none"/>
        </w:rPr>
        <w:t>号中船宾馆北楼四层</w:t>
      </w:r>
      <w:r>
        <w:rPr>
          <w:rFonts w:cs="Times New Roman"/>
          <w:kern w:val="2"/>
          <w:szCs w:val="21"/>
          <w:highlight w:val="none"/>
          <w:u w:val="none"/>
        </w:rPr>
        <w:t>8401</w:t>
      </w:r>
      <w:r>
        <w:rPr>
          <w:rFonts w:hint="eastAsia" w:cs="Times New Roman"/>
          <w:kern w:val="2"/>
          <w:szCs w:val="21"/>
          <w:highlight w:val="none"/>
          <w:u w:val="none"/>
        </w:rPr>
        <w:t>室、</w:t>
      </w:r>
      <w:r>
        <w:rPr>
          <w:rFonts w:cs="Times New Roman"/>
          <w:kern w:val="2"/>
          <w:szCs w:val="21"/>
          <w:highlight w:val="none"/>
          <w:u w:val="none"/>
        </w:rPr>
        <w:t>8403</w:t>
      </w:r>
      <w:r>
        <w:rPr>
          <w:rFonts w:hint="eastAsia" w:cs="Times New Roman"/>
          <w:kern w:val="2"/>
          <w:szCs w:val="21"/>
          <w:highlight w:val="none"/>
          <w:u w:val="none"/>
        </w:rPr>
        <w:t>室</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各投标人法定代表人或其授权代表也可通过邮寄方式，按照规定的递交投标文件截止时间前向我公司邮寄投标文件，快递单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pStyle w:val="3"/>
        <w:numPr>
          <w:ilvl w:val="0"/>
          <w:numId w:val="0"/>
        </w:numPr>
        <w:rPr>
          <w:highlight w:val="none"/>
          <w:u w:val="none"/>
        </w:rPr>
      </w:pPr>
      <w:bookmarkStart w:id="57" w:name="_Toc28359085"/>
      <w:bookmarkStart w:id="58" w:name="_Toc28359008"/>
      <w:bookmarkStart w:id="59" w:name="_Toc35393796"/>
      <w:bookmarkStart w:id="60" w:name="_Toc145666459"/>
      <w:bookmarkStart w:id="61" w:name="_Toc35393627"/>
      <w:bookmarkStart w:id="62" w:name="_Toc152759227"/>
      <w:bookmarkStart w:id="63" w:name="_Toc120892139"/>
      <w:r>
        <w:rPr>
          <w:rFonts w:hint="eastAsia"/>
          <w:highlight w:val="none"/>
          <w:u w:val="none"/>
        </w:rPr>
        <w:t>七、对本次招标提出询问，请按以下方式联系。</w:t>
      </w:r>
      <w:bookmarkEnd w:id="57"/>
      <w:bookmarkEnd w:id="58"/>
      <w:bookmarkEnd w:id="59"/>
      <w:bookmarkEnd w:id="60"/>
      <w:bookmarkEnd w:id="61"/>
      <w:bookmarkEnd w:id="62"/>
      <w:bookmarkEnd w:id="63"/>
    </w:p>
    <w:p>
      <w:pPr>
        <w:shd w:val="clear" w:color="auto" w:fill="auto"/>
        <w:tabs>
          <w:tab w:val="clear" w:pos="426"/>
        </w:tabs>
        <w:adjustRightInd/>
        <w:snapToGrid/>
        <w:ind w:firstLine="420" w:firstLineChars="200"/>
        <w:jc w:val="left"/>
        <w:rPr>
          <w:rFonts w:cs="Times New Roman"/>
          <w:kern w:val="2"/>
          <w:szCs w:val="21"/>
          <w:highlight w:val="none"/>
          <w:u w:val="none"/>
        </w:rPr>
      </w:pPr>
      <w:r>
        <w:rPr>
          <w:kern w:val="2"/>
          <w:szCs w:val="21"/>
          <w:highlight w:val="none"/>
          <w:u w:val="none"/>
        </w:rPr>
        <w:t>1.</w:t>
      </w:r>
      <w:r>
        <w:rPr>
          <w:rFonts w:hint="eastAsia"/>
          <w:kern w:val="2"/>
          <w:szCs w:val="21"/>
          <w:highlight w:val="none"/>
          <w:u w:val="none"/>
        </w:rPr>
        <w:t>采购人信息</w:t>
      </w:r>
    </w:p>
    <w:p>
      <w:pPr>
        <w:widowControl w:val="0"/>
        <w:shd w:val="clear" w:color="auto" w:fill="auto"/>
        <w:tabs>
          <w:tab w:val="clear" w:pos="426"/>
        </w:tabs>
        <w:adjustRightInd/>
        <w:snapToGrid/>
        <w:ind w:firstLine="420" w:firstLineChars="200"/>
        <w:jc w:val="left"/>
        <w:rPr>
          <w:rFonts w:cs="Times New Roman"/>
          <w:kern w:val="2"/>
          <w:szCs w:val="21"/>
          <w:highlight w:val="none"/>
          <w:u w:val="none"/>
        </w:rPr>
      </w:pPr>
      <w:r>
        <w:rPr>
          <w:rFonts w:hint="eastAsia" w:cs="Times New Roman"/>
          <w:kern w:val="2"/>
          <w:szCs w:val="21"/>
          <w:highlight w:val="none"/>
          <w:u w:val="none"/>
        </w:rPr>
        <w:t>名称：深圳市消防救援支队</w:t>
      </w:r>
    </w:p>
    <w:p>
      <w:pPr>
        <w:widowControl w:val="0"/>
        <w:shd w:val="clear" w:color="auto" w:fill="auto"/>
        <w:tabs>
          <w:tab w:val="clear" w:pos="426"/>
        </w:tabs>
        <w:adjustRightInd/>
        <w:snapToGrid/>
        <w:ind w:firstLine="420" w:firstLineChars="200"/>
        <w:jc w:val="left"/>
        <w:rPr>
          <w:rFonts w:cs="Times New Roman"/>
          <w:kern w:val="2"/>
          <w:szCs w:val="21"/>
          <w:highlight w:val="none"/>
          <w:u w:val="none"/>
        </w:rPr>
      </w:pPr>
      <w:r>
        <w:rPr>
          <w:rFonts w:hint="eastAsia" w:cs="Times New Roman"/>
          <w:kern w:val="2"/>
          <w:szCs w:val="21"/>
          <w:highlight w:val="none"/>
          <w:u w:val="none"/>
        </w:rPr>
        <w:t>地址：深圳市福田区红荔路2009号</w:t>
      </w:r>
    </w:p>
    <w:p>
      <w:pPr>
        <w:widowControl w:val="0"/>
        <w:shd w:val="clear" w:color="auto" w:fill="auto"/>
        <w:tabs>
          <w:tab w:val="clear" w:pos="426"/>
        </w:tabs>
        <w:adjustRightInd/>
        <w:snapToGrid/>
        <w:ind w:firstLine="420" w:firstLineChars="200"/>
        <w:jc w:val="left"/>
        <w:rPr>
          <w:rFonts w:cs="Times New Roman"/>
          <w:kern w:val="2"/>
          <w:szCs w:val="21"/>
          <w:highlight w:val="none"/>
          <w:u w:val="none"/>
        </w:rPr>
      </w:pPr>
      <w:r>
        <w:rPr>
          <w:rFonts w:hint="eastAsia" w:cs="Times New Roman"/>
          <w:kern w:val="2"/>
          <w:szCs w:val="21"/>
          <w:highlight w:val="none"/>
          <w:u w:val="none"/>
        </w:rPr>
        <w:t>联系方式：</w:t>
      </w:r>
      <w:bookmarkStart w:id="64" w:name="_Toc28359009"/>
      <w:bookmarkStart w:id="65" w:name="_Toc28359086"/>
      <w:r>
        <w:rPr>
          <w:rFonts w:hint="eastAsia" w:cs="Times New Roman"/>
          <w:kern w:val="2"/>
          <w:szCs w:val="21"/>
          <w:highlight w:val="none"/>
          <w:u w:val="none"/>
          <w:lang w:val="en-US" w:eastAsia="zh-CN"/>
        </w:rPr>
        <w:t>弥</w:t>
      </w:r>
      <w:r>
        <w:rPr>
          <w:rFonts w:hint="eastAsia" w:cs="Times New Roman"/>
          <w:kern w:val="2"/>
          <w:szCs w:val="21"/>
          <w:highlight w:val="none"/>
          <w:u w:val="none"/>
        </w:rPr>
        <w:t>工0755-83232274</w:t>
      </w:r>
    </w:p>
    <w:p>
      <w:pPr>
        <w:widowControl w:val="0"/>
        <w:shd w:val="clear" w:color="auto" w:fill="auto"/>
        <w:tabs>
          <w:tab w:val="clear" w:pos="426"/>
        </w:tabs>
        <w:adjustRightInd/>
        <w:snapToGrid/>
        <w:ind w:firstLine="420" w:firstLineChars="200"/>
        <w:jc w:val="left"/>
        <w:rPr>
          <w:rFonts w:cs="Times New Roman"/>
          <w:kern w:val="2"/>
          <w:szCs w:val="21"/>
          <w:highlight w:val="none"/>
          <w:u w:val="none"/>
        </w:rPr>
      </w:pPr>
      <w:r>
        <w:rPr>
          <w:kern w:val="2"/>
          <w:szCs w:val="21"/>
          <w:highlight w:val="none"/>
          <w:u w:val="none"/>
        </w:rPr>
        <w:t>2.</w:t>
      </w:r>
      <w:r>
        <w:rPr>
          <w:rFonts w:hint="eastAsia"/>
          <w:kern w:val="2"/>
          <w:szCs w:val="21"/>
          <w:highlight w:val="none"/>
          <w:u w:val="none"/>
        </w:rPr>
        <w:t>采购代理机构信息</w:t>
      </w:r>
      <w:bookmarkEnd w:id="64"/>
      <w:bookmarkEnd w:id="65"/>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名称：深圳市深水水务咨询有限公司</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地址：深圳市罗湖区清水河街道清水河社区清水河一路112号罗湖投资控股大厦裙楼401</w:t>
      </w:r>
    </w:p>
    <w:p>
      <w:pPr>
        <w:widowControl w:val="0"/>
        <w:shd w:val="clear" w:color="auto" w:fill="auto"/>
        <w:tabs>
          <w:tab w:val="clear" w:pos="426"/>
        </w:tabs>
        <w:adjustRightInd/>
        <w:snapToGrid/>
        <w:ind w:firstLine="420" w:firstLineChars="200"/>
        <w:rPr>
          <w:rFonts w:cs="Times New Roman"/>
          <w:kern w:val="2"/>
          <w:szCs w:val="21"/>
          <w:highlight w:val="none"/>
          <w:u w:val="none"/>
        </w:rPr>
      </w:pPr>
      <w:bookmarkStart w:id="66" w:name="_Toc28359087"/>
      <w:bookmarkStart w:id="67" w:name="_Toc28359010"/>
      <w:r>
        <w:rPr>
          <w:rFonts w:hint="eastAsia" w:cs="Times New Roman"/>
          <w:kern w:val="2"/>
          <w:szCs w:val="21"/>
          <w:highlight w:val="none"/>
          <w:u w:val="none"/>
        </w:rPr>
        <w:t>联系方式：庄晓琴</w:t>
      </w:r>
      <w:r>
        <w:rPr>
          <w:rFonts w:cs="Times New Roman"/>
          <w:kern w:val="2"/>
          <w:szCs w:val="21"/>
          <w:highlight w:val="none"/>
          <w:u w:val="none"/>
        </w:rPr>
        <w:t>0755-25165821/13688812350/Email</w:t>
      </w:r>
      <w:r>
        <w:rPr>
          <w:rFonts w:hint="eastAsia" w:cs="Times New Roman"/>
          <w:kern w:val="2"/>
          <w:szCs w:val="21"/>
          <w:highlight w:val="none"/>
          <w:u w:val="none"/>
        </w:rPr>
        <w:t>：</w:t>
      </w:r>
      <w:r>
        <w:rPr>
          <w:rFonts w:cs="Times New Roman"/>
          <w:kern w:val="2"/>
          <w:szCs w:val="21"/>
          <w:highlight w:val="none"/>
          <w:u w:val="none"/>
        </w:rPr>
        <w:t>498174886@qq.com</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kern w:val="2"/>
          <w:szCs w:val="21"/>
          <w:highlight w:val="none"/>
          <w:u w:val="none"/>
        </w:rPr>
        <w:t>3.</w:t>
      </w:r>
      <w:r>
        <w:rPr>
          <w:rFonts w:hint="eastAsia"/>
          <w:kern w:val="2"/>
          <w:szCs w:val="21"/>
          <w:highlight w:val="none"/>
          <w:u w:val="none"/>
        </w:rPr>
        <w:t>项目联系方式</w:t>
      </w:r>
      <w:bookmarkEnd w:id="66"/>
      <w:bookmarkEnd w:id="67"/>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项目联系人：庄晓琴、李夏冰</w:t>
      </w:r>
    </w:p>
    <w:p>
      <w:pPr>
        <w:widowControl w:val="0"/>
        <w:shd w:val="clear" w:color="auto" w:fill="auto"/>
        <w:tabs>
          <w:tab w:val="clear" w:pos="426"/>
        </w:tabs>
        <w:adjustRightInd/>
        <w:snapToGrid/>
        <w:ind w:firstLine="420" w:firstLineChars="200"/>
        <w:rPr>
          <w:rFonts w:cs="Times New Roman"/>
          <w:kern w:val="2"/>
          <w:szCs w:val="21"/>
          <w:highlight w:val="none"/>
          <w:u w:val="none"/>
        </w:rPr>
      </w:pPr>
      <w:r>
        <w:rPr>
          <w:rFonts w:hint="eastAsia" w:cs="Times New Roman"/>
          <w:kern w:val="2"/>
          <w:szCs w:val="21"/>
          <w:highlight w:val="none"/>
          <w:u w:val="none"/>
        </w:rPr>
        <w:t>电话：</w:t>
      </w:r>
      <w:r>
        <w:rPr>
          <w:rFonts w:cs="Times New Roman"/>
          <w:kern w:val="2"/>
          <w:szCs w:val="21"/>
          <w:highlight w:val="none"/>
          <w:u w:val="none"/>
        </w:rPr>
        <w:t>13688812350</w:t>
      </w:r>
      <w:r>
        <w:rPr>
          <w:rFonts w:hint="eastAsia" w:cs="Times New Roman"/>
          <w:kern w:val="2"/>
          <w:szCs w:val="21"/>
          <w:highlight w:val="none"/>
          <w:u w:val="none"/>
        </w:rPr>
        <w:t>、</w:t>
      </w:r>
      <w:r>
        <w:rPr>
          <w:rFonts w:cs="Times New Roman"/>
          <w:kern w:val="2"/>
          <w:szCs w:val="21"/>
          <w:highlight w:val="none"/>
          <w:u w:val="none"/>
        </w:rPr>
        <w:t>15815558585</w:t>
      </w:r>
    </w:p>
    <w:p>
      <w:pPr>
        <w:ind w:firstLine="424" w:firstLineChars="202"/>
        <w:jc w:val="right"/>
        <w:rPr>
          <w:szCs w:val="21"/>
          <w:highlight w:val="none"/>
          <w:u w:val="none"/>
        </w:rPr>
      </w:pPr>
    </w:p>
    <w:p>
      <w:pPr>
        <w:ind w:firstLine="424" w:firstLineChars="202"/>
        <w:jc w:val="right"/>
        <w:rPr>
          <w:szCs w:val="21"/>
          <w:highlight w:val="none"/>
          <w:u w:val="none"/>
        </w:rPr>
      </w:pPr>
      <w:r>
        <w:rPr>
          <w:rFonts w:hint="eastAsia"/>
          <w:szCs w:val="21"/>
          <w:highlight w:val="none"/>
          <w:u w:val="none"/>
        </w:rPr>
        <w:t>深圳市深水水务咨询有限公司</w:t>
      </w:r>
    </w:p>
    <w:p>
      <w:pPr>
        <w:ind w:firstLine="424" w:firstLineChars="202"/>
        <w:jc w:val="right"/>
        <w:rPr>
          <w:szCs w:val="21"/>
          <w:highlight w:val="none"/>
          <w:u w:val="none"/>
        </w:rPr>
      </w:pPr>
      <w:r>
        <w:rPr>
          <w:szCs w:val="21"/>
          <w:highlight w:val="none"/>
          <w:u w:val="none"/>
        </w:rPr>
        <w:t>2024</w:t>
      </w:r>
      <w:r>
        <w:rPr>
          <w:rFonts w:hint="eastAsia"/>
          <w:szCs w:val="21"/>
          <w:highlight w:val="none"/>
          <w:u w:val="none"/>
        </w:rPr>
        <w:t>年</w:t>
      </w:r>
      <w:r>
        <w:rPr>
          <w:rFonts w:hint="eastAsia" w:cs="Times New Roman"/>
          <w:kern w:val="2"/>
          <w:szCs w:val="21"/>
          <w:highlight w:val="none"/>
          <w:u w:val="none"/>
          <w:lang w:val="en-US" w:eastAsia="zh-CN"/>
        </w:rPr>
        <w:t>7</w:t>
      </w:r>
      <w:r>
        <w:rPr>
          <w:rFonts w:hint="eastAsia"/>
          <w:szCs w:val="21"/>
          <w:highlight w:val="none"/>
          <w:u w:val="none"/>
        </w:rPr>
        <w:t>月</w:t>
      </w:r>
      <w:r>
        <w:rPr>
          <w:rFonts w:hint="eastAsia" w:cs="Times New Roman"/>
          <w:kern w:val="2"/>
          <w:szCs w:val="21"/>
          <w:highlight w:val="none"/>
          <w:u w:val="none"/>
          <w:lang w:val="en-US" w:eastAsia="zh-CN"/>
        </w:rPr>
        <w:t>5</w:t>
      </w:r>
      <w:r>
        <w:rPr>
          <w:rFonts w:hint="eastAsia"/>
          <w:szCs w:val="21"/>
          <w:highlight w:val="none"/>
          <w:u w:val="none"/>
        </w:rPr>
        <w:t>日</w:t>
      </w:r>
    </w:p>
    <w:bookmarkEnd w:id="13"/>
    <w:p>
      <w:pPr>
        <w:tabs>
          <w:tab w:val="clear" w:pos="426"/>
        </w:tabs>
        <w:rPr>
          <w:highlight w:val="none"/>
          <w:u w:val="none"/>
        </w:rPr>
        <w:sectPr>
          <w:headerReference r:id="rId9" w:type="first"/>
          <w:footerReference r:id="rId11" w:type="first"/>
          <w:headerReference r:id="rId8" w:type="default"/>
          <w:footerReference r:id="rId10" w:type="default"/>
          <w:pgSz w:w="11906" w:h="16838"/>
          <w:pgMar w:top="1440" w:right="1134" w:bottom="1440" w:left="1418" w:header="851" w:footer="992" w:gutter="0"/>
          <w:pgNumType w:start="1"/>
          <w:cols w:space="720" w:num="1"/>
          <w:titlePg/>
          <w:docGrid w:linePitch="462" w:charSpace="0"/>
        </w:sectPr>
      </w:pPr>
      <w:bookmarkStart w:id="68" w:name="_Toc432592814"/>
    </w:p>
    <w:p>
      <w:pPr>
        <w:pStyle w:val="62"/>
        <w:tabs>
          <w:tab w:val="clear" w:pos="426"/>
        </w:tabs>
        <w:rPr>
          <w:highlight w:val="none"/>
        </w:rPr>
      </w:pPr>
      <w:bookmarkStart w:id="69" w:name="_Toc152759228"/>
      <w:r>
        <w:rPr>
          <w:rFonts w:hint="eastAsia"/>
          <w:highlight w:val="none"/>
        </w:rPr>
        <w:t>第二章</w:t>
      </w:r>
      <w:bookmarkEnd w:id="68"/>
      <w:r>
        <w:rPr>
          <w:rFonts w:hint="eastAsia"/>
          <w:highlight w:val="none"/>
        </w:rPr>
        <w:t>投标须知前附表</w:t>
      </w:r>
      <w:bookmarkEnd w:id="69"/>
    </w:p>
    <w:p>
      <w:pPr>
        <w:tabs>
          <w:tab w:val="clear" w:pos="426"/>
        </w:tabs>
        <w:spacing w:line="240" w:lineRule="auto"/>
        <w:ind w:right="-174" w:rightChars="-83"/>
        <w:rPr>
          <w:highlight w:val="none"/>
        </w:rPr>
      </w:pPr>
      <w:r>
        <w:rPr>
          <w:rFonts w:hint="eastAsia"/>
          <w:highlight w:val="none"/>
        </w:rPr>
        <w:t>说明：本表是对通用条款《投标供应商须知》条款的补充、修改和完善，如果有矛盾，应以本表为准。</w:t>
      </w:r>
    </w:p>
    <w:tbl>
      <w:tblPr>
        <w:tblStyle w:val="85"/>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rFonts w:hint="eastAsia"/>
                <w:highlight w:val="none"/>
              </w:rPr>
              <w:t>序号</w:t>
            </w:r>
          </w:p>
        </w:tc>
        <w:tc>
          <w:tcPr>
            <w:tcW w:w="1889" w:type="dxa"/>
            <w:vAlign w:val="center"/>
          </w:tcPr>
          <w:p>
            <w:pPr>
              <w:tabs>
                <w:tab w:val="clear" w:pos="426"/>
              </w:tabs>
              <w:adjustRightInd/>
              <w:snapToGrid/>
              <w:spacing w:line="320" w:lineRule="exact"/>
              <w:jc w:val="center"/>
              <w:rPr>
                <w:highlight w:val="none"/>
              </w:rPr>
            </w:pPr>
            <w:r>
              <w:rPr>
                <w:rFonts w:hint="eastAsia"/>
                <w:highlight w:val="none"/>
              </w:rPr>
              <w:t>内容</w:t>
            </w:r>
          </w:p>
        </w:tc>
        <w:tc>
          <w:tcPr>
            <w:tcW w:w="6931" w:type="dxa"/>
            <w:vAlign w:val="center"/>
          </w:tcPr>
          <w:p>
            <w:pPr>
              <w:tabs>
                <w:tab w:val="clear" w:pos="426"/>
              </w:tabs>
              <w:adjustRightInd/>
              <w:snapToGrid/>
              <w:spacing w:line="32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w:t>
            </w:r>
          </w:p>
        </w:tc>
        <w:tc>
          <w:tcPr>
            <w:tcW w:w="1889" w:type="dxa"/>
            <w:vAlign w:val="center"/>
          </w:tcPr>
          <w:p>
            <w:pPr>
              <w:tabs>
                <w:tab w:val="clear" w:pos="426"/>
              </w:tabs>
              <w:adjustRightInd/>
              <w:snapToGrid/>
              <w:spacing w:line="320" w:lineRule="exact"/>
              <w:rPr>
                <w:highlight w:val="none"/>
              </w:rPr>
            </w:pPr>
            <w:r>
              <w:rPr>
                <w:rFonts w:hint="eastAsia"/>
                <w:highlight w:val="none"/>
              </w:rPr>
              <w:t>联合体投标</w:t>
            </w:r>
          </w:p>
        </w:tc>
        <w:tc>
          <w:tcPr>
            <w:tcW w:w="6931" w:type="dxa"/>
            <w:vAlign w:val="center"/>
          </w:tcPr>
          <w:p>
            <w:pPr>
              <w:tabs>
                <w:tab w:val="clear" w:pos="426"/>
              </w:tabs>
              <w:adjustRightInd/>
              <w:snapToGrid/>
              <w:spacing w:line="320" w:lineRule="exact"/>
              <w:rPr>
                <w:highlight w:val="none"/>
              </w:rPr>
            </w:pPr>
            <w:r>
              <w:rPr>
                <w:rFonts w:hint="eastAsia"/>
                <w:highlight w:val="none"/>
              </w:rPr>
              <w:t>■不接受（招标文件中相关联合体规定均不适用）□接受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2</w:t>
            </w:r>
          </w:p>
        </w:tc>
        <w:tc>
          <w:tcPr>
            <w:tcW w:w="1889" w:type="dxa"/>
            <w:vAlign w:val="center"/>
          </w:tcPr>
          <w:p>
            <w:pPr>
              <w:tabs>
                <w:tab w:val="clear" w:pos="426"/>
              </w:tabs>
              <w:adjustRightInd/>
              <w:snapToGrid/>
              <w:spacing w:line="320" w:lineRule="exact"/>
              <w:rPr>
                <w:highlight w:val="none"/>
              </w:rPr>
            </w:pPr>
            <w:r>
              <w:rPr>
                <w:rFonts w:hint="eastAsia"/>
                <w:highlight w:val="none"/>
              </w:rPr>
              <w:t>踏勘现场</w:t>
            </w:r>
          </w:p>
        </w:tc>
        <w:tc>
          <w:tcPr>
            <w:tcW w:w="6931" w:type="dxa"/>
            <w:vAlign w:val="center"/>
          </w:tcPr>
          <w:p>
            <w:pPr>
              <w:tabs>
                <w:tab w:val="clear" w:pos="426"/>
              </w:tabs>
              <w:adjustRightInd/>
              <w:snapToGrid/>
              <w:spacing w:line="320" w:lineRule="exact"/>
              <w:rPr>
                <w:highlight w:val="none"/>
              </w:rPr>
            </w:pPr>
            <w:r>
              <w:rPr>
                <w:rFonts w:hint="eastAsia"/>
                <w:highlight w:val="none"/>
              </w:rPr>
              <w:t>■不组织。</w:t>
            </w:r>
          </w:p>
          <w:p>
            <w:pPr>
              <w:tabs>
                <w:tab w:val="clear" w:pos="426"/>
              </w:tabs>
              <w:adjustRightInd/>
              <w:snapToGrid/>
              <w:spacing w:line="320" w:lineRule="exact"/>
              <w:rPr>
                <w:highlight w:val="none"/>
              </w:rPr>
            </w:pPr>
            <w:r>
              <w:rPr>
                <w:rFonts w:hint="eastAsia"/>
                <w:highlight w:val="none"/>
              </w:rPr>
              <w:t>□组织。踏勘时间：</w:t>
            </w:r>
            <w:r>
              <w:rPr>
                <w:highlight w:val="none"/>
                <w:u w:val="single"/>
              </w:rPr>
              <w:t>______</w:t>
            </w:r>
            <w:r>
              <w:rPr>
                <w:rFonts w:hint="eastAsia"/>
                <w:highlight w:val="none"/>
                <w:u w:val="single"/>
              </w:rPr>
              <w:t>年</w:t>
            </w:r>
            <w:r>
              <w:rPr>
                <w:highlight w:val="none"/>
                <w:u w:val="single"/>
              </w:rPr>
              <w:t>____</w:t>
            </w:r>
            <w:r>
              <w:rPr>
                <w:rFonts w:hint="eastAsia"/>
                <w:highlight w:val="none"/>
                <w:u w:val="single"/>
              </w:rPr>
              <w:t>月</w:t>
            </w:r>
            <w:r>
              <w:rPr>
                <w:highlight w:val="none"/>
                <w:u w:val="single"/>
              </w:rPr>
              <w:t>___</w:t>
            </w:r>
            <w:r>
              <w:rPr>
                <w:rFonts w:hint="eastAsia"/>
                <w:highlight w:val="none"/>
                <w:u w:val="single"/>
              </w:rPr>
              <w:t>日</w:t>
            </w:r>
            <w:r>
              <w:rPr>
                <w:highlight w:val="none"/>
                <w:u w:val="single"/>
              </w:rPr>
              <w:t>____</w:t>
            </w:r>
            <w:r>
              <w:rPr>
                <w:rFonts w:hint="eastAsia"/>
                <w:highlight w:val="none"/>
                <w:u w:val="single"/>
              </w:rPr>
              <w:t>时</w:t>
            </w:r>
            <w:r>
              <w:rPr>
                <w:highlight w:val="none"/>
                <w:u w:val="single"/>
              </w:rPr>
              <w:t>____</w:t>
            </w:r>
            <w:r>
              <w:rPr>
                <w:rFonts w:hint="eastAsia"/>
                <w:highlight w:val="none"/>
                <w:u w:val="single"/>
              </w:rPr>
              <w:t>分</w:t>
            </w:r>
          </w:p>
          <w:p>
            <w:pPr>
              <w:tabs>
                <w:tab w:val="clear" w:pos="426"/>
              </w:tabs>
              <w:adjustRightInd/>
              <w:snapToGrid/>
              <w:spacing w:line="320" w:lineRule="exact"/>
              <w:rPr>
                <w:highlight w:val="none"/>
              </w:rPr>
            </w:pPr>
            <w:r>
              <w:rPr>
                <w:rFonts w:hint="eastAsia"/>
                <w:highlight w:val="none"/>
              </w:rPr>
              <w:t>集合地点：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3</w:t>
            </w:r>
          </w:p>
        </w:tc>
        <w:tc>
          <w:tcPr>
            <w:tcW w:w="1889" w:type="dxa"/>
            <w:vAlign w:val="center"/>
          </w:tcPr>
          <w:p>
            <w:pPr>
              <w:tabs>
                <w:tab w:val="clear" w:pos="426"/>
              </w:tabs>
              <w:adjustRightInd/>
              <w:snapToGrid/>
              <w:spacing w:line="320" w:lineRule="exact"/>
              <w:rPr>
                <w:highlight w:val="none"/>
              </w:rPr>
            </w:pPr>
            <w:r>
              <w:rPr>
                <w:rFonts w:hint="eastAsia"/>
                <w:highlight w:val="none"/>
              </w:rPr>
              <w:t>投标供应商提出疑问截止时间</w:t>
            </w:r>
          </w:p>
        </w:tc>
        <w:tc>
          <w:tcPr>
            <w:tcW w:w="6931" w:type="dxa"/>
            <w:vAlign w:val="center"/>
          </w:tcPr>
          <w:p>
            <w:pPr>
              <w:tabs>
                <w:tab w:val="clear" w:pos="426"/>
              </w:tabs>
              <w:adjustRightInd/>
              <w:snapToGrid/>
              <w:spacing w:line="320" w:lineRule="exact"/>
              <w:rPr>
                <w:highlight w:val="none"/>
              </w:rPr>
            </w:pPr>
            <w:r>
              <w:rPr>
                <w:rFonts w:hint="eastAsia"/>
                <w:highlight w:val="none"/>
              </w:rPr>
              <w:t>在获取采购文件或者采购文件公告期限届满之日起</w:t>
            </w:r>
            <w:r>
              <w:rPr>
                <w:highlight w:val="none"/>
              </w:rPr>
              <w:t>7</w:t>
            </w:r>
            <w:r>
              <w:rPr>
                <w:rFonts w:hint="eastAsia"/>
                <w:highlight w:val="none"/>
              </w:rPr>
              <w:t>个工作日内对采购文件提出质疑。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4</w:t>
            </w:r>
          </w:p>
        </w:tc>
        <w:tc>
          <w:tcPr>
            <w:tcW w:w="1889" w:type="dxa"/>
            <w:vAlign w:val="center"/>
          </w:tcPr>
          <w:p>
            <w:pPr>
              <w:tabs>
                <w:tab w:val="clear" w:pos="426"/>
              </w:tabs>
              <w:adjustRightInd/>
              <w:snapToGrid/>
              <w:spacing w:line="320" w:lineRule="exact"/>
              <w:rPr>
                <w:highlight w:val="none"/>
              </w:rPr>
            </w:pPr>
            <w:r>
              <w:rPr>
                <w:rFonts w:hint="eastAsia"/>
                <w:highlight w:val="none"/>
              </w:rPr>
              <w:t>澄清或修补、答疑的期限</w:t>
            </w:r>
          </w:p>
        </w:tc>
        <w:tc>
          <w:tcPr>
            <w:tcW w:w="6931" w:type="dxa"/>
            <w:vAlign w:val="center"/>
          </w:tcPr>
          <w:p>
            <w:pPr>
              <w:tabs>
                <w:tab w:val="clear" w:pos="426"/>
              </w:tabs>
              <w:adjustRightInd/>
              <w:snapToGrid/>
              <w:spacing w:line="320" w:lineRule="exact"/>
              <w:rPr>
                <w:highlight w:val="none"/>
              </w:rPr>
            </w:pPr>
            <w:r>
              <w:rPr>
                <w:rFonts w:hint="eastAsia"/>
                <w:highlight w:val="none"/>
              </w:rPr>
              <w:t>截标之日（当日不计）</w:t>
            </w:r>
            <w:r>
              <w:rPr>
                <w:highlight w:val="none"/>
              </w:rPr>
              <w:t>15</w:t>
            </w:r>
            <w:r>
              <w:rPr>
                <w:rFonts w:hint="eastAsia"/>
                <w:highlight w:val="none"/>
              </w:rPr>
              <w:t>日前</w:t>
            </w:r>
            <w:r>
              <w:rPr>
                <w:highlight w:val="none"/>
                <w:u w:val="single"/>
              </w:rPr>
              <w:t>17</w:t>
            </w:r>
            <w:r>
              <w:rPr>
                <w:rFonts w:hint="eastAsia"/>
                <w:highlight w:val="none"/>
                <w:u w:val="single"/>
              </w:rPr>
              <w:t>：</w:t>
            </w:r>
            <w:r>
              <w:rPr>
                <w:highlight w:val="none"/>
                <w:u w:val="single"/>
              </w:rPr>
              <w:t>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5</w:t>
            </w:r>
          </w:p>
        </w:tc>
        <w:tc>
          <w:tcPr>
            <w:tcW w:w="1889" w:type="dxa"/>
            <w:vAlign w:val="center"/>
          </w:tcPr>
          <w:p>
            <w:pPr>
              <w:tabs>
                <w:tab w:val="clear" w:pos="426"/>
              </w:tabs>
              <w:adjustRightInd/>
              <w:snapToGrid/>
              <w:spacing w:line="320" w:lineRule="exact"/>
              <w:rPr>
                <w:highlight w:val="none"/>
              </w:rPr>
            </w:pPr>
            <w:r>
              <w:rPr>
                <w:rFonts w:hint="eastAsia"/>
                <w:highlight w:val="none"/>
              </w:rPr>
              <w:t>招标代理服务费</w:t>
            </w:r>
          </w:p>
        </w:tc>
        <w:tc>
          <w:tcPr>
            <w:tcW w:w="6931" w:type="dxa"/>
            <w:vAlign w:val="center"/>
          </w:tcPr>
          <w:p>
            <w:pPr>
              <w:tabs>
                <w:tab w:val="clear" w:pos="426"/>
              </w:tabs>
              <w:adjustRightInd/>
              <w:snapToGrid/>
              <w:spacing w:line="320" w:lineRule="exact"/>
              <w:rPr>
                <w:highlight w:val="none"/>
              </w:rPr>
            </w:pPr>
            <w:r>
              <w:rPr>
                <w:rFonts w:hint="eastAsia"/>
                <w:highlight w:val="none"/>
              </w:rPr>
              <w:t>采购代理机构以预算金额为计算基数，依据采购人与代理机构约定的招标代理服务费收费办法，按差额定率累进法计算，下浮20%后向中标供应商收取。低于人民币</w:t>
            </w:r>
            <w:r>
              <w:rPr>
                <w:highlight w:val="none"/>
              </w:rPr>
              <w:t>5000</w:t>
            </w:r>
            <w:r>
              <w:rPr>
                <w:rFonts w:hint="eastAsia"/>
                <w:highlight w:val="none"/>
              </w:rPr>
              <w:t>元的，按最低人民币</w:t>
            </w:r>
            <w:r>
              <w:rPr>
                <w:highlight w:val="none"/>
              </w:rPr>
              <w:t>5000</w:t>
            </w:r>
            <w:r>
              <w:rPr>
                <w:rFonts w:hint="eastAsia"/>
                <w:highlight w:val="none"/>
              </w:rPr>
              <w:t>元收费。交易服务费采用转账的方式，账户信息如下：</w:t>
            </w:r>
          </w:p>
          <w:p>
            <w:pPr>
              <w:tabs>
                <w:tab w:val="clear" w:pos="426"/>
              </w:tabs>
              <w:adjustRightInd/>
              <w:snapToGrid/>
              <w:spacing w:line="320" w:lineRule="exact"/>
              <w:rPr>
                <w:highlight w:val="none"/>
              </w:rPr>
            </w:pPr>
            <w:r>
              <w:rPr>
                <w:rFonts w:hint="eastAsia"/>
                <w:highlight w:val="none"/>
              </w:rPr>
              <w:t>户名：深圳市深水水务咨询有限公司</w:t>
            </w:r>
          </w:p>
          <w:p>
            <w:pPr>
              <w:tabs>
                <w:tab w:val="clear" w:pos="426"/>
              </w:tabs>
              <w:adjustRightInd/>
              <w:snapToGrid/>
              <w:spacing w:line="320" w:lineRule="exact"/>
              <w:rPr>
                <w:highlight w:val="none"/>
              </w:rPr>
            </w:pPr>
            <w:r>
              <w:rPr>
                <w:rFonts w:hint="eastAsia"/>
                <w:highlight w:val="none"/>
              </w:rPr>
              <w:t>账号：</w:t>
            </w:r>
            <w:r>
              <w:rPr>
                <w:highlight w:val="none"/>
              </w:rPr>
              <w:t>443899991010003343618</w:t>
            </w:r>
          </w:p>
          <w:p>
            <w:pPr>
              <w:tabs>
                <w:tab w:val="clear" w:pos="426"/>
              </w:tabs>
              <w:adjustRightInd/>
              <w:snapToGrid/>
              <w:spacing w:line="320" w:lineRule="exact"/>
              <w:rPr>
                <w:kern w:val="2"/>
                <w:highlight w:val="none"/>
              </w:rPr>
            </w:pPr>
            <w:r>
              <w:rPr>
                <w:rFonts w:hint="eastAsia"/>
                <w:highlight w:val="none"/>
              </w:rPr>
              <w:t>开户行：交通银行深圳金叶支行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6</w:t>
            </w:r>
          </w:p>
        </w:tc>
        <w:tc>
          <w:tcPr>
            <w:tcW w:w="1889" w:type="dxa"/>
            <w:vAlign w:val="center"/>
          </w:tcPr>
          <w:p>
            <w:pPr>
              <w:tabs>
                <w:tab w:val="clear" w:pos="426"/>
              </w:tabs>
              <w:adjustRightInd/>
              <w:snapToGrid/>
              <w:spacing w:line="320" w:lineRule="exact"/>
              <w:rPr>
                <w:highlight w:val="none"/>
              </w:rPr>
            </w:pPr>
            <w:r>
              <w:rPr>
                <w:rFonts w:hint="eastAsia"/>
                <w:highlight w:val="none"/>
              </w:rPr>
              <w:t>投标担保</w:t>
            </w:r>
          </w:p>
        </w:tc>
        <w:tc>
          <w:tcPr>
            <w:tcW w:w="6931" w:type="dxa"/>
            <w:vAlign w:val="center"/>
          </w:tcPr>
          <w:p>
            <w:pPr>
              <w:tabs>
                <w:tab w:val="clear" w:pos="426"/>
              </w:tabs>
              <w:adjustRightInd/>
              <w:snapToGrid/>
              <w:spacing w:line="320" w:lineRule="exact"/>
              <w:rPr>
                <w:highlight w:val="none"/>
              </w:rPr>
            </w:pPr>
            <w:r>
              <w:rPr>
                <w:rFonts w:hint="eastAsia"/>
                <w:highlight w:val="none"/>
              </w:rPr>
              <w:t xml:space="preserve">■不提交 </w:t>
            </w:r>
            <w:r>
              <w:rPr>
                <w:highlight w:val="none"/>
              </w:rPr>
              <w:t xml:space="preserve">      </w:t>
            </w:r>
            <w:r>
              <w:rPr>
                <w:rFonts w:hint="eastAsia"/>
                <w:highlight w:val="none"/>
              </w:rPr>
              <w:t>□提交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7</w:t>
            </w:r>
          </w:p>
        </w:tc>
        <w:tc>
          <w:tcPr>
            <w:tcW w:w="1889" w:type="dxa"/>
            <w:vAlign w:val="center"/>
          </w:tcPr>
          <w:p>
            <w:pPr>
              <w:tabs>
                <w:tab w:val="clear" w:pos="426"/>
              </w:tabs>
              <w:adjustRightInd/>
              <w:snapToGrid/>
              <w:spacing w:line="320" w:lineRule="exact"/>
              <w:rPr>
                <w:highlight w:val="none"/>
              </w:rPr>
            </w:pPr>
            <w:r>
              <w:rPr>
                <w:rFonts w:hint="eastAsia"/>
                <w:highlight w:val="none"/>
              </w:rPr>
              <w:t>投标有效期</w:t>
            </w:r>
          </w:p>
        </w:tc>
        <w:tc>
          <w:tcPr>
            <w:tcW w:w="6931" w:type="dxa"/>
            <w:vAlign w:val="center"/>
          </w:tcPr>
          <w:p>
            <w:pPr>
              <w:tabs>
                <w:tab w:val="clear" w:pos="426"/>
              </w:tabs>
              <w:adjustRightInd/>
              <w:snapToGrid/>
              <w:spacing w:line="320" w:lineRule="exact"/>
              <w:rPr>
                <w:highlight w:val="none"/>
              </w:rPr>
            </w:pPr>
            <w:r>
              <w:rPr>
                <w:highlight w:val="none"/>
              </w:rPr>
              <w:t>120</w:t>
            </w:r>
            <w:r>
              <w:rPr>
                <w:rFonts w:hint="eastAsia"/>
                <w:highlight w:val="none"/>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8</w:t>
            </w:r>
          </w:p>
        </w:tc>
        <w:tc>
          <w:tcPr>
            <w:tcW w:w="1889" w:type="dxa"/>
            <w:vAlign w:val="center"/>
          </w:tcPr>
          <w:p>
            <w:pPr>
              <w:tabs>
                <w:tab w:val="clear" w:pos="426"/>
              </w:tabs>
              <w:adjustRightInd/>
              <w:snapToGrid/>
              <w:spacing w:line="320" w:lineRule="exact"/>
              <w:rPr>
                <w:highlight w:val="none"/>
              </w:rPr>
            </w:pPr>
            <w:r>
              <w:rPr>
                <w:rFonts w:hint="eastAsia"/>
                <w:highlight w:val="none"/>
              </w:rPr>
              <w:t>替代方案</w:t>
            </w:r>
          </w:p>
        </w:tc>
        <w:tc>
          <w:tcPr>
            <w:tcW w:w="6931" w:type="dxa"/>
            <w:vAlign w:val="center"/>
          </w:tcPr>
          <w:p>
            <w:pPr>
              <w:tabs>
                <w:tab w:val="clear" w:pos="426"/>
              </w:tabs>
              <w:adjustRightInd/>
              <w:snapToGrid/>
              <w:spacing w:line="320" w:lineRule="exact"/>
              <w:rPr>
                <w:highlight w:val="none"/>
              </w:rPr>
            </w:pPr>
            <w:r>
              <w:rPr>
                <w:rFonts w:hint="eastAsia"/>
                <w:highlight w:val="none"/>
              </w:rPr>
              <w:t xml:space="preserve">■不允许 </w:t>
            </w:r>
            <w:r>
              <w:rPr>
                <w:highlight w:val="none"/>
              </w:rPr>
              <w:t xml:space="preserve">      </w:t>
            </w:r>
            <w:r>
              <w:rPr>
                <w:rFonts w:hint="eastAsia"/>
                <w:highlight w:val="none"/>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9</w:t>
            </w:r>
          </w:p>
        </w:tc>
        <w:tc>
          <w:tcPr>
            <w:tcW w:w="1889" w:type="dxa"/>
            <w:vAlign w:val="center"/>
          </w:tcPr>
          <w:p>
            <w:pPr>
              <w:tabs>
                <w:tab w:val="clear" w:pos="426"/>
              </w:tabs>
              <w:adjustRightInd/>
              <w:snapToGrid/>
              <w:spacing w:line="320" w:lineRule="exact"/>
              <w:rPr>
                <w:highlight w:val="none"/>
              </w:rPr>
            </w:pPr>
            <w:r>
              <w:rPr>
                <w:rFonts w:hint="eastAsia"/>
                <w:highlight w:val="none"/>
              </w:rPr>
              <w:t>评定分离</w:t>
            </w:r>
          </w:p>
        </w:tc>
        <w:tc>
          <w:tcPr>
            <w:tcW w:w="6931" w:type="dxa"/>
            <w:vAlign w:val="center"/>
          </w:tcPr>
          <w:p>
            <w:pPr>
              <w:tabs>
                <w:tab w:val="clear" w:pos="426"/>
              </w:tabs>
              <w:adjustRightInd/>
              <w:snapToGrid/>
              <w:spacing w:line="320" w:lineRule="exact"/>
              <w:rPr>
                <w:highlight w:val="none"/>
              </w:rPr>
            </w:pPr>
            <w:r>
              <w:rPr>
                <w:rFonts w:hint="eastAsia"/>
                <w:highlight w:val="none"/>
              </w:rPr>
              <w:t xml:space="preserve">□是 </w:t>
            </w:r>
            <w:r>
              <w:rPr>
                <w:highlight w:val="none"/>
              </w:rPr>
              <w:t xml:space="preserve">          </w:t>
            </w:r>
            <w:r>
              <w:rPr>
                <w:rFonts w:hint="eastAsia"/>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10</w:t>
            </w:r>
          </w:p>
        </w:tc>
        <w:tc>
          <w:tcPr>
            <w:tcW w:w="1889" w:type="dxa"/>
            <w:vAlign w:val="center"/>
          </w:tcPr>
          <w:p>
            <w:pPr>
              <w:tabs>
                <w:tab w:val="clear" w:pos="426"/>
              </w:tabs>
              <w:adjustRightInd/>
              <w:snapToGrid/>
              <w:spacing w:line="320" w:lineRule="exact"/>
              <w:rPr>
                <w:highlight w:val="none"/>
              </w:rPr>
            </w:pPr>
            <w:r>
              <w:rPr>
                <w:rFonts w:hint="eastAsia"/>
                <w:highlight w:val="none"/>
              </w:rPr>
              <w:t>评标方法</w:t>
            </w:r>
          </w:p>
        </w:tc>
        <w:tc>
          <w:tcPr>
            <w:tcW w:w="6931" w:type="dxa"/>
            <w:vAlign w:val="center"/>
          </w:tcPr>
          <w:p>
            <w:pPr>
              <w:tabs>
                <w:tab w:val="clear" w:pos="426"/>
              </w:tabs>
              <w:adjustRightInd/>
              <w:snapToGrid/>
              <w:spacing w:line="320" w:lineRule="exact"/>
              <w:rPr>
                <w:szCs w:val="21"/>
                <w:highlight w:val="none"/>
              </w:rPr>
            </w:pPr>
            <w:r>
              <w:rPr>
                <w:rFonts w:hint="eastAsia"/>
                <w:highlight w:val="none"/>
              </w:rPr>
              <w:t>■</w:t>
            </w:r>
            <w:r>
              <w:rPr>
                <w:rFonts w:hint="eastAsia"/>
                <w:szCs w:val="21"/>
                <w:highlight w:val="none"/>
              </w:rPr>
              <w:t xml:space="preserve">综合评分法 </w:t>
            </w:r>
            <w:r>
              <w:rPr>
                <w:szCs w:val="21"/>
                <w:highlight w:val="none"/>
              </w:rPr>
              <w:t xml:space="preserve">   </w:t>
            </w:r>
            <w:r>
              <w:rPr>
                <w:rFonts w:hint="eastAsia"/>
                <w:highlight w:val="none"/>
              </w:rPr>
              <w:t>□</w:t>
            </w:r>
            <w:r>
              <w:rPr>
                <w:rFonts w:hint="eastAsia"/>
                <w:szCs w:val="21"/>
                <w:highlight w:val="none"/>
              </w:rPr>
              <w:t xml:space="preserve">定性评审法 </w:t>
            </w:r>
            <w:r>
              <w:rPr>
                <w:szCs w:val="21"/>
                <w:highlight w:val="none"/>
              </w:rPr>
              <w:t xml:space="preserve">    </w:t>
            </w:r>
            <w:r>
              <w:rPr>
                <w:rFonts w:hint="eastAsia"/>
                <w:highlight w:val="none"/>
              </w:rPr>
              <w:t>□</w:t>
            </w:r>
            <w:r>
              <w:rPr>
                <w:rFonts w:hint="eastAsia"/>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11</w:t>
            </w:r>
          </w:p>
        </w:tc>
        <w:tc>
          <w:tcPr>
            <w:tcW w:w="1889" w:type="dxa"/>
            <w:vAlign w:val="center"/>
          </w:tcPr>
          <w:p>
            <w:pPr>
              <w:tabs>
                <w:tab w:val="clear" w:pos="426"/>
              </w:tabs>
              <w:adjustRightInd/>
              <w:snapToGrid/>
              <w:spacing w:line="320" w:lineRule="exact"/>
              <w:rPr>
                <w:highlight w:val="none"/>
              </w:rPr>
            </w:pPr>
            <w:r>
              <w:rPr>
                <w:rFonts w:hint="eastAsia"/>
                <w:highlight w:val="none"/>
              </w:rPr>
              <w:t>定标方法</w:t>
            </w:r>
          </w:p>
        </w:tc>
        <w:tc>
          <w:tcPr>
            <w:tcW w:w="6931" w:type="dxa"/>
            <w:vAlign w:val="center"/>
          </w:tcPr>
          <w:p>
            <w:pPr>
              <w:tabs>
                <w:tab w:val="clear" w:pos="426"/>
              </w:tabs>
              <w:adjustRightInd/>
              <w:snapToGrid/>
              <w:spacing w:line="320" w:lineRule="exact"/>
              <w:rPr>
                <w:szCs w:val="21"/>
                <w:highlight w:val="none"/>
              </w:rPr>
            </w:pPr>
            <w:r>
              <w:rPr>
                <w:rFonts w:hint="eastAsia"/>
                <w:highlight w:val="none"/>
              </w:rPr>
              <w:t>□</w:t>
            </w:r>
            <w:r>
              <w:rPr>
                <w:rFonts w:hint="eastAsia"/>
                <w:szCs w:val="21"/>
                <w:highlight w:val="none"/>
              </w:rPr>
              <w:t>自定法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12</w:t>
            </w:r>
          </w:p>
        </w:tc>
        <w:tc>
          <w:tcPr>
            <w:tcW w:w="1889" w:type="dxa"/>
            <w:vAlign w:val="center"/>
          </w:tcPr>
          <w:p>
            <w:pPr>
              <w:tabs>
                <w:tab w:val="clear" w:pos="426"/>
              </w:tabs>
              <w:adjustRightInd/>
              <w:snapToGrid/>
              <w:spacing w:line="320" w:lineRule="exact"/>
              <w:rPr>
                <w:highlight w:val="none"/>
              </w:rPr>
            </w:pPr>
            <w:r>
              <w:rPr>
                <w:rFonts w:hint="eastAsia"/>
                <w:highlight w:val="none"/>
              </w:rPr>
              <w:t>履约保证金</w:t>
            </w:r>
          </w:p>
        </w:tc>
        <w:tc>
          <w:tcPr>
            <w:tcW w:w="6931" w:type="dxa"/>
            <w:vAlign w:val="center"/>
          </w:tcPr>
          <w:p>
            <w:pPr>
              <w:tabs>
                <w:tab w:val="clear" w:pos="426"/>
              </w:tabs>
              <w:adjustRightInd/>
              <w:snapToGrid/>
              <w:spacing w:line="240" w:lineRule="auto"/>
              <w:rPr>
                <w:highlight w:val="none"/>
              </w:rPr>
            </w:pPr>
            <w:r>
              <w:rPr>
                <w:rFonts w:hint="eastAsia"/>
                <w:highlight w:val="none"/>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13</w:t>
            </w:r>
          </w:p>
        </w:tc>
        <w:tc>
          <w:tcPr>
            <w:tcW w:w="1889" w:type="dxa"/>
            <w:vAlign w:val="center"/>
          </w:tcPr>
          <w:p>
            <w:pPr>
              <w:tabs>
                <w:tab w:val="clear" w:pos="426"/>
              </w:tabs>
              <w:adjustRightInd/>
              <w:snapToGrid/>
              <w:spacing w:line="320" w:lineRule="exact"/>
              <w:rPr>
                <w:highlight w:val="none"/>
              </w:rPr>
            </w:pPr>
            <w:r>
              <w:rPr>
                <w:rFonts w:hint="eastAsia"/>
                <w:highlight w:val="none"/>
              </w:rPr>
              <w:t>投标文件份数</w:t>
            </w:r>
          </w:p>
        </w:tc>
        <w:tc>
          <w:tcPr>
            <w:tcW w:w="6931" w:type="dxa"/>
            <w:vAlign w:val="center"/>
          </w:tcPr>
          <w:p>
            <w:pPr>
              <w:tabs>
                <w:tab w:val="clear" w:pos="426"/>
              </w:tabs>
              <w:adjustRightInd/>
              <w:snapToGrid/>
              <w:spacing w:line="320" w:lineRule="exact"/>
              <w:rPr>
                <w:highlight w:val="none"/>
              </w:rPr>
            </w:pPr>
            <w:r>
              <w:rPr>
                <w:rFonts w:hint="eastAsia"/>
                <w:highlight w:val="none"/>
              </w:rPr>
              <w:t>（</w:t>
            </w:r>
            <w:r>
              <w:rPr>
                <w:highlight w:val="none"/>
              </w:rPr>
              <w:t>1</w:t>
            </w:r>
            <w:r>
              <w:rPr>
                <w:rFonts w:hint="eastAsia"/>
                <w:highlight w:val="none"/>
              </w:rPr>
              <w:t>）开标信封一份；</w:t>
            </w:r>
          </w:p>
          <w:p>
            <w:pPr>
              <w:tabs>
                <w:tab w:val="clear" w:pos="426"/>
              </w:tabs>
              <w:adjustRightInd/>
              <w:snapToGrid/>
              <w:spacing w:line="320" w:lineRule="exact"/>
              <w:rPr>
                <w:highlight w:val="none"/>
              </w:rPr>
            </w:pPr>
            <w:r>
              <w:rPr>
                <w:rFonts w:hint="eastAsia"/>
                <w:highlight w:val="none"/>
              </w:rPr>
              <w:t>（</w:t>
            </w:r>
            <w:r>
              <w:rPr>
                <w:highlight w:val="none"/>
              </w:rPr>
              <w:t>2</w:t>
            </w:r>
            <w:r>
              <w:rPr>
                <w:rFonts w:hint="eastAsia"/>
                <w:highlight w:val="none"/>
              </w:rPr>
              <w:t>）纸质投标文件</w:t>
            </w:r>
            <w:r>
              <w:rPr>
                <w:rFonts w:hint="eastAsia"/>
                <w:highlight w:val="none"/>
                <w:u w:val="single"/>
              </w:rPr>
              <w:t>一</w:t>
            </w:r>
            <w:r>
              <w:rPr>
                <w:rFonts w:hint="eastAsia"/>
                <w:highlight w:val="none"/>
              </w:rPr>
              <w:t>正本，</w:t>
            </w:r>
            <w:r>
              <w:rPr>
                <w:rFonts w:hint="eastAsia"/>
                <w:highlight w:val="none"/>
                <w:u w:val="single"/>
              </w:rPr>
              <w:t>四</w:t>
            </w:r>
            <w:r>
              <w:rPr>
                <w:highlight w:val="none"/>
                <w:u w:val="single"/>
              </w:rPr>
              <w:t>_</w:t>
            </w:r>
            <w:r>
              <w:rPr>
                <w:rFonts w:hint="eastAsia"/>
                <w:highlight w:val="none"/>
              </w:rPr>
              <w:t>副本，建议胶装，统一密封在一个外密封包里。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14</w:t>
            </w:r>
          </w:p>
        </w:tc>
        <w:tc>
          <w:tcPr>
            <w:tcW w:w="1889" w:type="dxa"/>
            <w:vAlign w:val="center"/>
          </w:tcPr>
          <w:p>
            <w:pPr>
              <w:tabs>
                <w:tab w:val="clear" w:pos="426"/>
              </w:tabs>
              <w:adjustRightInd/>
              <w:snapToGrid/>
              <w:spacing w:line="320" w:lineRule="exact"/>
              <w:rPr>
                <w:highlight w:val="none"/>
              </w:rPr>
            </w:pPr>
            <w:r>
              <w:rPr>
                <w:rFonts w:hint="eastAsia"/>
                <w:highlight w:val="none"/>
              </w:rPr>
              <w:t>投标文件电子版</w:t>
            </w:r>
          </w:p>
        </w:tc>
        <w:tc>
          <w:tcPr>
            <w:tcW w:w="6931" w:type="dxa"/>
            <w:vAlign w:val="center"/>
          </w:tcPr>
          <w:p>
            <w:pPr>
              <w:tabs>
                <w:tab w:val="clear" w:pos="426"/>
              </w:tabs>
              <w:adjustRightInd/>
              <w:snapToGrid/>
              <w:spacing w:line="320" w:lineRule="exact"/>
              <w:rPr>
                <w:highlight w:val="none"/>
              </w:rPr>
            </w:pPr>
            <w:r>
              <w:rPr>
                <w:rFonts w:hint="eastAsia"/>
                <w:highlight w:val="none"/>
              </w:rPr>
              <w:t>U盘一个（</w:t>
            </w:r>
            <w:r>
              <w:rPr>
                <w:highlight w:val="none"/>
              </w:rPr>
              <w:t>WORD</w:t>
            </w:r>
            <w:r>
              <w:rPr>
                <w:rFonts w:hint="eastAsia"/>
                <w:highlight w:val="none"/>
              </w:rPr>
              <w:t>及投标文件正本盖章后的彩色扫描件，</w:t>
            </w:r>
            <w:r>
              <w:rPr>
                <w:highlight w:val="none"/>
              </w:rPr>
              <w:t>PDF</w:t>
            </w:r>
            <w:r>
              <w:rPr>
                <w:rFonts w:hint="eastAsia"/>
                <w:highlight w:val="none"/>
              </w:rPr>
              <w:t>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highlight w:val="none"/>
              </w:rPr>
              <w:t>15</w:t>
            </w:r>
          </w:p>
        </w:tc>
        <w:tc>
          <w:tcPr>
            <w:tcW w:w="1889" w:type="dxa"/>
            <w:vAlign w:val="center"/>
          </w:tcPr>
          <w:p>
            <w:pPr>
              <w:tabs>
                <w:tab w:val="clear" w:pos="426"/>
              </w:tabs>
              <w:adjustRightInd/>
              <w:snapToGrid/>
              <w:spacing w:line="320" w:lineRule="exact"/>
              <w:rPr>
                <w:highlight w:val="none"/>
              </w:rPr>
            </w:pPr>
            <w:r>
              <w:rPr>
                <w:rFonts w:hint="eastAsia"/>
                <w:highlight w:val="none"/>
              </w:rPr>
              <w:t>财政预算金额</w:t>
            </w:r>
          </w:p>
        </w:tc>
        <w:tc>
          <w:tcPr>
            <w:tcW w:w="6931" w:type="dxa"/>
            <w:vAlign w:val="center"/>
          </w:tcPr>
          <w:p>
            <w:pPr>
              <w:tabs>
                <w:tab w:val="clear" w:pos="426"/>
              </w:tabs>
              <w:adjustRightInd/>
              <w:snapToGrid/>
              <w:spacing w:line="240" w:lineRule="auto"/>
              <w:rPr>
                <w:highlight w:val="none"/>
              </w:rPr>
            </w:pPr>
            <w:r>
              <w:rPr>
                <w:rFonts w:hint="eastAsia"/>
                <w:highlight w:val="none"/>
              </w:rPr>
              <w:t>¥</w:t>
            </w:r>
            <w:r>
              <w:rPr>
                <w:rFonts w:hint="eastAsia"/>
                <w:szCs w:val="21"/>
                <w:highlight w:val="none"/>
              </w:rPr>
              <w:t>5881240.00  （人民币伍佰捌拾捌万壹仟贰佰肆拾元整）。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320" w:lineRule="exact"/>
              <w:jc w:val="center"/>
              <w:rPr>
                <w:highlight w:val="none"/>
              </w:rPr>
            </w:pPr>
            <w:r>
              <w:rPr>
                <w:rFonts w:hint="eastAsia"/>
                <w:highlight w:val="none"/>
              </w:rPr>
              <w:t>1</w:t>
            </w:r>
            <w:r>
              <w:rPr>
                <w:highlight w:val="none"/>
              </w:rPr>
              <w:t>6</w:t>
            </w:r>
          </w:p>
        </w:tc>
        <w:tc>
          <w:tcPr>
            <w:tcW w:w="1889" w:type="dxa"/>
            <w:vAlign w:val="center"/>
          </w:tcPr>
          <w:p>
            <w:pPr>
              <w:tabs>
                <w:tab w:val="clear" w:pos="426"/>
              </w:tabs>
              <w:adjustRightInd/>
              <w:snapToGrid/>
              <w:spacing w:line="320" w:lineRule="exact"/>
              <w:rPr>
                <w:highlight w:val="none"/>
              </w:rPr>
            </w:pPr>
            <w:r>
              <w:rPr>
                <w:rFonts w:hint="eastAsia"/>
                <w:highlight w:val="none"/>
              </w:rPr>
              <w:t>财政预算限额</w:t>
            </w:r>
          </w:p>
        </w:tc>
        <w:tc>
          <w:tcPr>
            <w:tcW w:w="6931" w:type="dxa"/>
            <w:vAlign w:val="center"/>
          </w:tcPr>
          <w:p>
            <w:pPr>
              <w:tabs>
                <w:tab w:val="clear" w:pos="426"/>
              </w:tabs>
              <w:adjustRightInd/>
              <w:snapToGrid/>
              <w:spacing w:line="240" w:lineRule="auto"/>
              <w:rPr>
                <w:highlight w:val="none"/>
              </w:rPr>
            </w:pPr>
            <w:r>
              <w:rPr>
                <w:rFonts w:hint="eastAsia"/>
                <w:highlight w:val="none"/>
              </w:rPr>
              <w:t>¥</w:t>
            </w:r>
            <w:r>
              <w:rPr>
                <w:rFonts w:hint="eastAsia"/>
                <w:szCs w:val="21"/>
                <w:highlight w:val="none"/>
              </w:rPr>
              <w:t>5881240.00  （人民币伍佰捌拾捌万壹仟贰佰肆拾元整）；不符合报价要求的投标文件将做无效处理</w:t>
            </w:r>
            <w:r>
              <w:rPr>
                <w:rFonts w:hint="eastAsia"/>
                <w:highlight w:val="none"/>
              </w:rPr>
              <w:t>。</w:t>
            </w:r>
          </w:p>
        </w:tc>
      </w:tr>
    </w:tbl>
    <w:p>
      <w:pPr>
        <w:pStyle w:val="62"/>
        <w:tabs>
          <w:tab w:val="left" w:pos="3445"/>
          <w:tab w:val="clear" w:pos="426"/>
        </w:tabs>
        <w:rPr>
          <w:highlight w:val="none"/>
        </w:rPr>
      </w:pPr>
      <w:r>
        <w:rPr>
          <w:highlight w:val="none"/>
        </w:rPr>
        <w:br w:type="page"/>
      </w:r>
      <w:bookmarkStart w:id="70" w:name="_Toc152759229"/>
      <w:bookmarkStart w:id="71" w:name="_Toc398220525"/>
      <w:bookmarkStart w:id="72" w:name="_Toc432592816"/>
      <w:r>
        <w:rPr>
          <w:rFonts w:hint="eastAsia"/>
          <w:highlight w:val="none"/>
        </w:rPr>
        <w:t>第三章项目需求</w:t>
      </w:r>
      <w:bookmarkEnd w:id="70"/>
    </w:p>
    <w:p>
      <w:pPr>
        <w:pStyle w:val="3"/>
        <w:numPr>
          <w:ilvl w:val="0"/>
          <w:numId w:val="0"/>
        </w:numPr>
        <w:rPr>
          <w:sz w:val="24"/>
          <w:highlight w:val="none"/>
        </w:rPr>
      </w:pPr>
      <w:bookmarkStart w:id="73" w:name="_Toc145666462"/>
      <w:bookmarkStart w:id="74" w:name="_Toc152759230"/>
      <w:bookmarkStart w:id="75" w:name="_Toc120892142"/>
      <w:r>
        <w:rPr>
          <w:rFonts w:hint="eastAsia"/>
          <w:sz w:val="24"/>
          <w:highlight w:val="none"/>
        </w:rPr>
        <w:t>一、服务清单</w:t>
      </w:r>
      <w:bookmarkEnd w:id="73"/>
      <w:bookmarkEnd w:id="74"/>
      <w:bookmarkEnd w:id="75"/>
      <w:bookmarkStart w:id="76" w:name="_Toc152759231"/>
      <w:bookmarkStart w:id="77" w:name="_Toc120892143"/>
      <w:bookmarkStart w:id="78" w:name="_Toc145666463"/>
      <w:bookmarkStart w:id="79" w:name="_Toc528170797"/>
      <w:bookmarkStart w:id="80" w:name="_Toc518464359"/>
      <w:bookmarkStart w:id="81" w:name="_Toc528675169"/>
    </w:p>
    <w:tbl>
      <w:tblPr>
        <w:tblStyle w:val="85"/>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237"/>
        <w:gridCol w:w="863"/>
        <w:gridCol w:w="695"/>
        <w:gridCol w:w="882"/>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序号</w:t>
            </w:r>
          </w:p>
        </w:tc>
        <w:tc>
          <w:tcPr>
            <w:tcW w:w="17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服务名称</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数量</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单位</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备注</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财政预算金额</w:t>
            </w:r>
          </w:p>
          <w:p>
            <w:pPr>
              <w:widowControl w:val="0"/>
              <w:shd w:val="clear" w:color="auto" w:fill="auto"/>
              <w:wordWrap w:val="0"/>
              <w:spacing w:line="240" w:lineRule="auto"/>
              <w:jc w:val="center"/>
              <w:rPr>
                <w:rFonts w:ascii="Times New Roman" w:cs="Times New Roman"/>
                <w:b/>
                <w:bCs/>
                <w:szCs w:val="21"/>
                <w:highlight w:val="none"/>
              </w:rPr>
            </w:pPr>
            <w:r>
              <w:rPr>
                <w:rFonts w:hint="eastAsia" w:ascii="Times New Roman" w:cs="Times New Roman"/>
                <w:b/>
                <w:bCs/>
                <w:szCs w:val="21"/>
                <w:highlight w:val="none"/>
              </w:rPr>
              <w:t>（支付上限金额）</w:t>
            </w:r>
          </w:p>
          <w:p>
            <w:pPr>
              <w:widowControl w:val="0"/>
              <w:shd w:val="clear" w:color="auto" w:fill="auto"/>
              <w:wordWrap w:val="0"/>
              <w:spacing w:line="240" w:lineRule="auto"/>
              <w:jc w:val="center"/>
              <w:rPr>
                <w:rFonts w:ascii="Times New Roman" w:cs="Times New Roman"/>
                <w:b/>
                <w:bCs/>
                <w:szCs w:val="21"/>
                <w:highlight w:val="none"/>
              </w:rPr>
            </w:pPr>
            <w:r>
              <w:rPr>
                <w:rFonts w:ascii="Times New Roman" w:cs="Times New Roman"/>
                <w:b/>
                <w:bCs/>
                <w:szCs w:val="21"/>
                <w:highlight w:val="none"/>
              </w:rPr>
              <w:t>(</w:t>
            </w:r>
            <w:r>
              <w:rPr>
                <w:rFonts w:hint="eastAsia" w:ascii="Times New Roman" w:cs="Times New Roman"/>
                <w:b/>
                <w:bCs/>
                <w:szCs w:val="21"/>
                <w:highlight w:val="none"/>
              </w:rPr>
              <w:t>元</w:t>
            </w:r>
            <w:r>
              <w:rPr>
                <w:rFonts w:ascii="Times New Roman"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47"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Times New Roman" w:cs="Times New Roman"/>
                <w:bCs/>
                <w:szCs w:val="21"/>
                <w:highlight w:val="none"/>
              </w:rPr>
            </w:pPr>
            <w:r>
              <w:rPr>
                <w:rFonts w:ascii="Times New Roman" w:cs="Times New Roman"/>
                <w:bCs/>
                <w:szCs w:val="21"/>
                <w:highlight w:val="none"/>
              </w:rPr>
              <w:t>1</w:t>
            </w:r>
          </w:p>
        </w:tc>
        <w:tc>
          <w:tcPr>
            <w:tcW w:w="171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Times New Roman" w:cs="Times New Roman"/>
                <w:bCs/>
                <w:szCs w:val="21"/>
                <w:highlight w:val="none"/>
              </w:rPr>
            </w:pPr>
            <w:r>
              <w:rPr>
                <w:rFonts w:hint="eastAsia" w:ascii="Times New Roman" w:cs="Times New Roman"/>
                <w:bCs/>
                <w:szCs w:val="21"/>
                <w:highlight w:val="none"/>
              </w:rPr>
              <w:t>广东省深圳市消防救援支队2024年度机关食堂配送服务采购项目</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jc w:val="center"/>
              <w:rPr>
                <w:rFonts w:ascii="Times New Roman" w:cs="Times New Roman"/>
                <w:bCs/>
                <w:szCs w:val="21"/>
                <w:highlight w:val="none"/>
              </w:rPr>
            </w:pPr>
            <w:r>
              <w:rPr>
                <w:rFonts w:ascii="Times New Roman" w:cs="Times New Roman"/>
                <w:bCs/>
                <w:szCs w:val="21"/>
                <w:highlight w:val="none"/>
              </w:rPr>
              <w:t>1</w:t>
            </w:r>
          </w:p>
        </w:tc>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jc w:val="center"/>
              <w:rPr>
                <w:rFonts w:ascii="Times New Roman" w:cs="Times New Roman"/>
                <w:bCs/>
                <w:szCs w:val="21"/>
                <w:highlight w:val="none"/>
              </w:rPr>
            </w:pPr>
            <w:r>
              <w:rPr>
                <w:rFonts w:hint="eastAsia" w:ascii="Times New Roman" w:cs="Times New Roman"/>
                <w:bCs/>
                <w:szCs w:val="21"/>
                <w:highlight w:val="none"/>
              </w:rPr>
              <w:t>项</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jc w:val="center"/>
              <w:rPr>
                <w:rFonts w:ascii="Times New Roman" w:cs="Times New Roman"/>
                <w:bCs/>
                <w:szCs w:val="21"/>
                <w:highlight w:val="none"/>
              </w:rPr>
            </w:pPr>
            <w:r>
              <w:rPr>
                <w:rFonts w:hint="eastAsia" w:ascii="Times New Roman" w:cs="Times New Roman"/>
                <w:bCs/>
                <w:szCs w:val="21"/>
                <w:highlight w:val="none"/>
              </w:rPr>
              <w:t>无</w:t>
            </w:r>
          </w:p>
        </w:tc>
        <w:tc>
          <w:tcPr>
            <w:tcW w:w="1655" w:type="pct"/>
            <w:tcBorders>
              <w:top w:val="single" w:color="auto" w:sz="4" w:space="0"/>
              <w:left w:val="single" w:color="auto" w:sz="4" w:space="0"/>
              <w:bottom w:val="single" w:color="auto" w:sz="4" w:space="0"/>
              <w:right w:val="single" w:color="auto" w:sz="4" w:space="0"/>
            </w:tcBorders>
            <w:vAlign w:val="center"/>
          </w:tcPr>
          <w:p>
            <w:pPr>
              <w:widowControl w:val="0"/>
              <w:shd w:val="clear" w:color="auto" w:fill="auto"/>
              <w:wordWrap w:val="0"/>
              <w:spacing w:line="240" w:lineRule="auto"/>
              <w:jc w:val="center"/>
              <w:rPr>
                <w:rFonts w:ascii="Times New Roman" w:cs="Times New Roman"/>
                <w:szCs w:val="21"/>
                <w:highlight w:val="none"/>
              </w:rPr>
            </w:pPr>
            <w:r>
              <w:rPr>
                <w:rFonts w:ascii="Times New Roman" w:cs="Times New Roman"/>
                <w:szCs w:val="21"/>
                <w:highlight w:val="none"/>
              </w:rPr>
              <w:t>5881240.00</w:t>
            </w:r>
          </w:p>
        </w:tc>
      </w:tr>
      <w:bookmarkEnd w:id="76"/>
    </w:tbl>
    <w:p>
      <w:pPr>
        <w:pStyle w:val="3"/>
        <w:numPr>
          <w:ilvl w:val="0"/>
          <w:numId w:val="0"/>
        </w:numPr>
        <w:rPr>
          <w:sz w:val="24"/>
          <w:highlight w:val="none"/>
        </w:rPr>
      </w:pPr>
      <w:bookmarkStart w:id="82" w:name="_Toc152759232"/>
      <w:r>
        <w:rPr>
          <w:rFonts w:hint="eastAsia"/>
          <w:sz w:val="24"/>
          <w:highlight w:val="none"/>
        </w:rPr>
        <w:t>二、实质性响应条款</w:t>
      </w:r>
      <w:bookmarkEnd w:id="77"/>
      <w:bookmarkEnd w:id="78"/>
      <w:bookmarkEnd w:id="82"/>
    </w:p>
    <w:bookmarkEnd w:id="79"/>
    <w:bookmarkEnd w:id="80"/>
    <w:bookmarkEnd w:id="81"/>
    <w:tbl>
      <w:tblPr>
        <w:tblStyle w:val="8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highlight w:val="none"/>
              </w:rPr>
            </w:pPr>
            <w:bookmarkStart w:id="83" w:name="_Toc530152519"/>
            <w:r>
              <w:rPr>
                <w:rFonts w:hint="eastAsia" w:cs="Times New Roman"/>
                <w:szCs w:val="21"/>
                <w:highlight w:val="none"/>
              </w:rPr>
              <w:t>序号</w:t>
            </w:r>
          </w:p>
        </w:tc>
        <w:tc>
          <w:tcPr>
            <w:tcW w:w="2410" w:type="dxa"/>
            <w:vAlign w:val="center"/>
          </w:tcPr>
          <w:p>
            <w:pPr>
              <w:widowControl w:val="0"/>
              <w:shd w:val="clear" w:color="auto" w:fill="auto"/>
              <w:tabs>
                <w:tab w:val="clear" w:pos="426"/>
              </w:tabs>
              <w:spacing w:line="240" w:lineRule="auto"/>
              <w:jc w:val="center"/>
              <w:rPr>
                <w:rFonts w:cs="Times New Roman"/>
                <w:szCs w:val="21"/>
                <w:highlight w:val="none"/>
              </w:rPr>
            </w:pPr>
            <w:r>
              <w:rPr>
                <w:rFonts w:hint="eastAsia" w:cs="Times New Roman"/>
                <w:szCs w:val="21"/>
                <w:highlight w:val="none"/>
              </w:rPr>
              <w:t>目录</w:t>
            </w:r>
          </w:p>
        </w:tc>
        <w:tc>
          <w:tcPr>
            <w:tcW w:w="6343" w:type="dxa"/>
            <w:vAlign w:val="center"/>
          </w:tcPr>
          <w:p>
            <w:pPr>
              <w:widowControl w:val="0"/>
              <w:spacing w:line="240" w:lineRule="auto"/>
              <w:jc w:val="center"/>
              <w:rPr>
                <w:rFonts w:cs="Times New Roman"/>
                <w:szCs w:val="21"/>
                <w:highlight w:val="none"/>
              </w:rPr>
            </w:pPr>
            <w:r>
              <w:rPr>
                <w:rFonts w:hint="eastAsia" w:cs="Times New Roman"/>
                <w:szCs w:val="21"/>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highlight w:val="none"/>
              </w:rPr>
            </w:pPr>
            <w:r>
              <w:rPr>
                <w:rFonts w:cs="Times New Roman"/>
                <w:szCs w:val="21"/>
                <w:highlight w:val="none"/>
              </w:rPr>
              <w:t>1</w:t>
            </w:r>
          </w:p>
        </w:tc>
        <w:tc>
          <w:tcPr>
            <w:tcW w:w="2410" w:type="dxa"/>
            <w:vAlign w:val="center"/>
          </w:tcPr>
          <w:p>
            <w:pPr>
              <w:widowControl w:val="0"/>
              <w:shd w:val="clear" w:color="auto" w:fill="auto"/>
              <w:tabs>
                <w:tab w:val="clear" w:pos="426"/>
              </w:tabs>
              <w:spacing w:line="240" w:lineRule="auto"/>
              <w:jc w:val="left"/>
              <w:rPr>
                <w:rFonts w:ascii="Times New Roman" w:cs="Times New Roman"/>
                <w:szCs w:val="21"/>
                <w:highlight w:val="none"/>
              </w:rPr>
            </w:pPr>
            <w:r>
              <w:rPr>
                <w:rFonts w:hint="eastAsia"/>
                <w:szCs w:val="21"/>
                <w:highlight w:val="none"/>
              </w:rPr>
              <w:t>资格、符合性评审条款</w:t>
            </w:r>
          </w:p>
        </w:tc>
        <w:tc>
          <w:tcPr>
            <w:tcW w:w="6343" w:type="dxa"/>
            <w:vAlign w:val="center"/>
          </w:tcPr>
          <w:p>
            <w:pPr>
              <w:widowControl w:val="0"/>
              <w:shd w:val="clear" w:color="auto" w:fill="auto"/>
              <w:tabs>
                <w:tab w:val="clear" w:pos="426"/>
              </w:tabs>
              <w:spacing w:line="240" w:lineRule="auto"/>
              <w:ind w:firstLine="420" w:firstLineChars="200"/>
              <w:jc w:val="left"/>
              <w:rPr>
                <w:rFonts w:ascii="Times New Roman" w:cs="Times New Roman"/>
                <w:szCs w:val="21"/>
                <w:highlight w:val="none"/>
              </w:rPr>
            </w:pPr>
            <w:r>
              <w:rPr>
                <w:rFonts w:hint="eastAsia"/>
                <w:szCs w:val="21"/>
                <w:highlight w:val="none"/>
              </w:rPr>
              <w:t>凡出现《资格性审查表》及《符合性审查表》中情形之一的，将导致投标无效。以评审现场结论为准。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highlight w:val="none"/>
              </w:rPr>
            </w:pPr>
            <w:r>
              <w:rPr>
                <w:rFonts w:cs="Times New Roman"/>
                <w:szCs w:val="21"/>
                <w:highlight w:val="none"/>
              </w:rPr>
              <w:t>2</w:t>
            </w:r>
          </w:p>
        </w:tc>
        <w:tc>
          <w:tcPr>
            <w:tcW w:w="2410" w:type="dxa"/>
            <w:vAlign w:val="center"/>
          </w:tcPr>
          <w:p>
            <w:pPr>
              <w:widowControl w:val="0"/>
              <w:shd w:val="clear" w:color="auto" w:fill="auto"/>
              <w:tabs>
                <w:tab w:val="clear" w:pos="426"/>
              </w:tabs>
              <w:spacing w:line="240" w:lineRule="auto"/>
              <w:jc w:val="left"/>
              <w:rPr>
                <w:rFonts w:ascii="Times New Roman" w:cs="Times New Roman"/>
                <w:szCs w:val="21"/>
                <w:highlight w:val="none"/>
              </w:rPr>
            </w:pPr>
            <w:r>
              <w:rPr>
                <w:rFonts w:hint="eastAsia"/>
                <w:szCs w:val="21"/>
                <w:highlight w:val="none"/>
              </w:rPr>
              <w:t>服务期</w:t>
            </w:r>
          </w:p>
        </w:tc>
        <w:tc>
          <w:tcPr>
            <w:tcW w:w="6343" w:type="dxa"/>
            <w:vAlign w:val="center"/>
          </w:tcPr>
          <w:p>
            <w:pPr>
              <w:widowControl w:val="0"/>
              <w:shd w:val="clear" w:color="auto" w:fill="auto"/>
              <w:tabs>
                <w:tab w:val="clear" w:pos="426"/>
              </w:tabs>
              <w:spacing w:line="240" w:lineRule="auto"/>
              <w:ind w:firstLine="420" w:firstLineChars="200"/>
              <w:jc w:val="left"/>
              <w:rPr>
                <w:szCs w:val="21"/>
                <w:highlight w:val="none"/>
              </w:rPr>
            </w:pPr>
            <w:r>
              <w:rPr>
                <w:rFonts w:hint="eastAsia"/>
                <w:szCs w:val="21"/>
                <w:highlight w:val="none"/>
              </w:rPr>
              <w:t>1）本项目服务期限为合同签订生效后一年。</w:t>
            </w:r>
          </w:p>
          <w:p>
            <w:pPr>
              <w:widowControl w:val="0"/>
              <w:shd w:val="clear" w:color="auto" w:fill="auto"/>
              <w:tabs>
                <w:tab w:val="clear" w:pos="426"/>
              </w:tabs>
              <w:spacing w:line="240" w:lineRule="auto"/>
              <w:ind w:firstLine="420" w:firstLineChars="200"/>
              <w:jc w:val="left"/>
              <w:rPr>
                <w:szCs w:val="21"/>
                <w:highlight w:val="none"/>
              </w:rPr>
            </w:pPr>
            <w:r>
              <w:rPr>
                <w:rFonts w:hint="eastAsia"/>
                <w:szCs w:val="21"/>
                <w:highlight w:val="none"/>
              </w:rPr>
              <w:t>2）该项目中标供应商在合同期满后，应无条件配合采购人，做好服务项目的无缝交接。所有交接手续（含人员培训交接、证件变更手续等）均应在合同期满之日起 10 个工作日内全部办理完毕。</w:t>
            </w:r>
          </w:p>
          <w:p>
            <w:pPr>
              <w:widowControl w:val="0"/>
              <w:shd w:val="clear" w:color="auto" w:fill="auto"/>
              <w:tabs>
                <w:tab w:val="clear" w:pos="426"/>
              </w:tabs>
              <w:spacing w:line="240" w:lineRule="auto"/>
              <w:ind w:firstLine="420" w:firstLineChars="200"/>
              <w:jc w:val="left"/>
              <w:rPr>
                <w:szCs w:val="21"/>
                <w:highlight w:val="none"/>
              </w:rPr>
            </w:pPr>
            <w:r>
              <w:rPr>
                <w:rFonts w:hint="eastAsia"/>
                <w:szCs w:val="21"/>
                <w:highlight w:val="none"/>
              </w:rPr>
              <w:t>3）试供期：本项目要求30天的试供期，自合同签订之日起计算，主要考察中标人的货物质量、服务、信誉等方面、试供期满且经采购方综合考察认为合格的，合同继续执行:若试供期间采购方认为中标方的服务、货物质量等不符合要求，采购方可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highlight w:val="none"/>
              </w:rPr>
            </w:pPr>
            <w:r>
              <w:rPr>
                <w:rFonts w:hint="eastAsia" w:cs="Times New Roman"/>
                <w:szCs w:val="21"/>
                <w:highlight w:val="none"/>
              </w:rPr>
              <w:t>3</w:t>
            </w:r>
          </w:p>
        </w:tc>
        <w:tc>
          <w:tcPr>
            <w:tcW w:w="2410" w:type="dxa"/>
            <w:vAlign w:val="center"/>
          </w:tcPr>
          <w:p>
            <w:pPr>
              <w:widowControl w:val="0"/>
              <w:shd w:val="clear" w:color="auto" w:fill="auto"/>
              <w:tabs>
                <w:tab w:val="clear" w:pos="426"/>
              </w:tabs>
              <w:spacing w:line="240" w:lineRule="auto"/>
              <w:jc w:val="left"/>
              <w:rPr>
                <w:szCs w:val="21"/>
                <w:highlight w:val="none"/>
              </w:rPr>
            </w:pPr>
            <w:r>
              <w:rPr>
                <w:rFonts w:hint="eastAsia"/>
                <w:szCs w:val="21"/>
                <w:highlight w:val="none"/>
              </w:rPr>
              <w:t>监督管理办法</w:t>
            </w:r>
          </w:p>
        </w:tc>
        <w:tc>
          <w:tcPr>
            <w:tcW w:w="6343" w:type="dxa"/>
            <w:vAlign w:val="center"/>
          </w:tcPr>
          <w:p>
            <w:pPr>
              <w:widowControl w:val="0"/>
              <w:shd w:val="clear" w:color="auto" w:fill="auto"/>
              <w:tabs>
                <w:tab w:val="clear" w:pos="426"/>
              </w:tabs>
              <w:spacing w:line="240" w:lineRule="auto"/>
              <w:ind w:firstLine="420" w:firstLineChars="200"/>
              <w:jc w:val="left"/>
              <w:rPr>
                <w:szCs w:val="21"/>
                <w:highlight w:val="none"/>
              </w:rPr>
            </w:pPr>
            <w:r>
              <w:rPr>
                <w:rFonts w:hint="eastAsia"/>
                <w:szCs w:val="21"/>
                <w:highlight w:val="none"/>
              </w:rPr>
              <w:t>违背《服务承诺函》承诺事项的。（★本项目需提供《服务承诺函》，格式见附件《服务承诺函》，不提供或未按格式提供作投标无效处理。）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widowControl w:val="0"/>
              <w:shd w:val="clear" w:color="auto" w:fill="auto"/>
              <w:tabs>
                <w:tab w:val="clear" w:pos="426"/>
              </w:tabs>
              <w:spacing w:line="240" w:lineRule="auto"/>
              <w:jc w:val="center"/>
              <w:rPr>
                <w:rFonts w:cs="Times New Roman"/>
                <w:szCs w:val="21"/>
                <w:highlight w:val="none"/>
              </w:rPr>
            </w:pPr>
            <w:r>
              <w:rPr>
                <w:rFonts w:hint="eastAsia" w:cs="Times New Roman"/>
                <w:szCs w:val="21"/>
                <w:highlight w:val="none"/>
              </w:rPr>
              <w:t>4</w:t>
            </w:r>
          </w:p>
        </w:tc>
        <w:tc>
          <w:tcPr>
            <w:tcW w:w="2410" w:type="dxa"/>
            <w:vAlign w:val="center"/>
          </w:tcPr>
          <w:p>
            <w:pPr>
              <w:widowControl w:val="0"/>
              <w:shd w:val="clear" w:color="auto" w:fill="auto"/>
              <w:tabs>
                <w:tab w:val="clear" w:pos="426"/>
              </w:tabs>
              <w:spacing w:line="240" w:lineRule="auto"/>
              <w:jc w:val="left"/>
              <w:rPr>
                <w:szCs w:val="21"/>
                <w:highlight w:val="none"/>
              </w:rPr>
            </w:pPr>
            <w:r>
              <w:rPr>
                <w:rFonts w:hint="eastAsia"/>
                <w:szCs w:val="21"/>
                <w:highlight w:val="none"/>
              </w:rPr>
              <w:t>报价说明</w:t>
            </w:r>
          </w:p>
        </w:tc>
        <w:tc>
          <w:tcPr>
            <w:tcW w:w="6343" w:type="dxa"/>
            <w:vAlign w:val="center"/>
          </w:tcPr>
          <w:p>
            <w:pPr>
              <w:widowControl w:val="0"/>
              <w:shd w:val="clear" w:color="auto" w:fill="auto"/>
              <w:tabs>
                <w:tab w:val="clear" w:pos="426"/>
              </w:tabs>
              <w:spacing w:line="240" w:lineRule="auto"/>
              <w:ind w:firstLine="420" w:firstLineChars="200"/>
              <w:jc w:val="left"/>
              <w:rPr>
                <w:szCs w:val="21"/>
                <w:highlight w:val="none"/>
              </w:rPr>
            </w:pPr>
            <w:r>
              <w:rPr>
                <w:rFonts w:hint="eastAsia"/>
                <w:szCs w:val="21"/>
                <w:highlight w:val="none"/>
              </w:rPr>
              <w:t>本项目采用报折扣率的方式报价，投标人须按招标定额/最高限价（￥:1.00元）下浮一定比率后填报折扣率（如：投标人拟按基准价下浮5%，则投标人在填报开标一览表时，投标报价须填报：0.95元。）。</w:t>
            </w:r>
          </w:p>
        </w:tc>
      </w:tr>
    </w:tbl>
    <w:p>
      <w:pPr>
        <w:rPr>
          <w:b/>
          <w:highlight w:val="none"/>
        </w:rPr>
      </w:pPr>
      <w:r>
        <w:rPr>
          <w:rFonts w:hint="eastAsia"/>
          <w:b/>
          <w:highlight w:val="none"/>
        </w:rPr>
        <w:t>备注：</w:t>
      </w:r>
    </w:p>
    <w:p>
      <w:pPr>
        <w:ind w:firstLine="422" w:firstLineChars="200"/>
        <w:rPr>
          <w:b/>
          <w:highlight w:val="none"/>
        </w:rPr>
      </w:pPr>
      <w:r>
        <w:rPr>
          <w:b/>
          <w:highlight w:val="none"/>
        </w:rPr>
        <w:t>1.</w:t>
      </w:r>
      <w:r>
        <w:rPr>
          <w:rFonts w:hint="eastAsia"/>
          <w:b/>
          <w:highlight w:val="none"/>
        </w:rPr>
        <w:t>上表所列内容为不可负偏离条款，如投标供应商该部分内容出现负偏离或未对该部分内容进行响应，将按照符合性检查表作无效标处理。</w:t>
      </w:r>
    </w:p>
    <w:p>
      <w:pPr>
        <w:pStyle w:val="3"/>
        <w:numPr>
          <w:ilvl w:val="0"/>
          <w:numId w:val="0"/>
        </w:numPr>
        <w:rPr>
          <w:sz w:val="24"/>
          <w:highlight w:val="none"/>
        </w:rPr>
      </w:pPr>
      <w:r>
        <w:rPr>
          <w:rFonts w:hint="eastAsia"/>
          <w:sz w:val="24"/>
          <w:highlight w:val="none"/>
        </w:rPr>
        <w:t>三、项目概况</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为更好的保障深圳市消防救援支队（下称“支队”）机关干部文员日常饮食安全和管理，拟采购配送公司为支队配送食堂原材料。食堂就餐人员共计329人，配送内容包括粮谷（米、面）、蔬菜、水果、禽畜生肉、禽蛋、冻品、水产品、副食品、干货、杂货、调料等食堂原材料。</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2.项目产生1家中标供应商，当中标供应商造成安全（监管和食品卫生）事故或经履约考评或月度考核(考核内容详见《月度考核评价表》)等因素，将被取消配送资格。</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3.配送服务区域划分范围：深圳市消防救援支队，下属的战勤保障处、修理所。</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4.深圳市消防救援支队约264人，地点：福田区红荔路2009号深圳市消防救援支队。</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5.战勤保障处约40人，地点：深圳市龙华区民治街道民丰路与龙华大道交汇处消防培训基地。</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6.修理所约25人，地点：深圳市罗湖区莲塘鹏兴路5号。</w:t>
      </w:r>
    </w:p>
    <w:p>
      <w:pPr>
        <w:pStyle w:val="3"/>
        <w:numPr>
          <w:ilvl w:val="0"/>
          <w:numId w:val="0"/>
        </w:numPr>
        <w:rPr>
          <w:sz w:val="24"/>
          <w:highlight w:val="none"/>
        </w:rPr>
      </w:pPr>
      <w:bookmarkStart w:id="84" w:name="_Toc120892144"/>
      <w:bookmarkStart w:id="85" w:name="_Toc152759233"/>
      <w:bookmarkStart w:id="86" w:name="_Toc145666464"/>
      <w:r>
        <w:rPr>
          <w:rFonts w:hint="eastAsia"/>
          <w:sz w:val="24"/>
          <w:highlight w:val="none"/>
        </w:rPr>
        <w:t>四、技术</w:t>
      </w:r>
      <w:bookmarkEnd w:id="84"/>
      <w:r>
        <w:rPr>
          <w:rFonts w:hint="eastAsia"/>
          <w:sz w:val="24"/>
          <w:highlight w:val="none"/>
        </w:rPr>
        <w:t>需求</w:t>
      </w:r>
      <w:bookmarkEnd w:id="85"/>
      <w:bookmarkEnd w:id="86"/>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1.</w:t>
      </w:r>
      <w:r>
        <w:rPr>
          <w:rFonts w:hint="eastAsia" w:hAnsi="宋体" w:cs="Times New Roman"/>
          <w:b/>
          <w:bCs/>
          <w:kern w:val="2"/>
          <w:szCs w:val="21"/>
          <w:highlight w:val="none"/>
        </w:rPr>
        <w:t>服务要求</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（1）配送时间要求：原则上配送单位需在每天六点前将采购单位所需产品送到指定地点，如因采购方有特殊原因，需早于或晚于该时间送货的，配送单位应当根据采购人的要求的时间配送。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（2）配送货物要求：如中标人未按照约定时间配送，延迟超过三十分钟以上的，一次提出口头警告并要求供应商做出书面保证，二次扣当天货款 10%，延迟配送达到三次的，采购人可解除供货合同，并扣除当月货款的10%，采购单位决定是否由排名第二的中标候选人替补。如配送的货物不符合要求，采购方有权拒收，要求中标人立即更换配送不合格货物，并扣除当日应给付货款的30%，中标方应当无理由调换不合格的货物，再次发生此类情况，采购方方有权直接解除合同，不予支付当日配送的食品价款，且中标人需承担向采购人支付本项目中标金额的20%的违约金的违约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（3）临时加货处理：对于采购人临时有客餐任务或临时增加员工用餐时，中标人需在接到采购人口头或书面通知 1小时内将货物送到采购人的指定地点，派专人负责跟踪服务，保证用餐正常。</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（4）货源要求：中标人应随时按采购人要求提供各类货物清晰准确的原产地以及检测报告。</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5）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（6）中标人应成立食堂配送项目专项服务小组，负责相关工作及提供各种服务，专项服务小组全体人员应当办理健康证，且在服务期限内应持续有效。</w:t>
      </w:r>
      <w:bookmarkStart w:id="87" w:name="_Toc51077009"/>
      <w:bookmarkEnd w:id="87"/>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2.</w:t>
      </w:r>
      <w:r>
        <w:rPr>
          <w:rFonts w:hint="eastAsia" w:hAnsi="宋体" w:cs="Times New Roman"/>
          <w:b/>
          <w:bCs/>
          <w:kern w:val="2"/>
          <w:szCs w:val="21"/>
          <w:highlight w:val="none"/>
        </w:rPr>
        <w:t>产品质量要求</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粮谷：须当年出产，正规厂家出品,提供符合国家级质量认证和商标及地址、电话、在保质期内。</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鱼类：淡水鱼验收前必须是活的，海鱼必须是冰鲜新鲜、无味、肉感好。如海鲜类要求送货是活的必须要配有充气装备及海鲜车配送服务。</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禽类：禽类来源于大型家禽供应场，并提供当天当批禽类《出县境动物检疫合格证明》，必须是送货前 12 小时内屠宰好的新鲜禽类。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蛋类：蛋类由正规大型厂家出品，新鲜无污染。并提供贴有卫生许可验证和商标及地址、电话、在保质期内的产品。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河粉、豆制品类：来源于正规食品公司出品的货物。</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副食品、干货、杂货、调料类：由正规厂家生产，杜绝假冒伪劣商品，所提供的必须是正规厂家生产的名牌信得过产品。并提供贴有卫生许可验收和商标及地址、电话、保质期内食用产品。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油类：来源于正规油脂公司。并提供贴有卫生许可验证和商标及地址、电话、保质期内食用产品。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蔬菜瓜果类：来自大型“无公害”蔬菜基地，保持良好的色泽和新鲜度，经过初步整理，除去泥、沙、黄叶、烂叶及老叶后的合格率为 85%及以上，所提供的蔬菜保证是送货前 12 小时内收成的，并提供农药残留检测报告书（无公害农产品质量监督检验站提供的检验报告及每天供货公司提供的《无公害叶菜类检测记录表》原始单或复印件。</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鲜肉（猪肉、牛肉）：保证来源于正规肉联厂供的鲜肉，保证送货前 12 小时内的新鲜肉， 并提供当天的《肉类屠宰出厂单》和《动物产品检验合格证明》及公司肉品提供《无公害肉类监测记录表》原始单据或复印件。</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每年提供所有副食、调料原地生产厂家的《统一社会信用代码证》、《食品卫生许可证》、《全国工业产品生产许可证》及产品《检验报告》复印件加盖公章。</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采购人可以不定期对中标供应商的配送场所、种植养殖基地等进行检查。</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a.对于不符合有关质量要求的各类品种应当退货或换货。</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b.中标供应商须确保食品品种和数量的准确性，不得缺斤少两、弄虚作假，采购人将严格按照订单验收。</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3.</w:t>
      </w:r>
      <w:r>
        <w:rPr>
          <w:rFonts w:hint="eastAsia" w:hAnsi="宋体" w:cs="Times New Roman"/>
          <w:b/>
          <w:bCs/>
          <w:kern w:val="2"/>
          <w:szCs w:val="21"/>
          <w:highlight w:val="none"/>
        </w:rPr>
        <w:t>人员要求</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岗位</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（1）项目负责人1人</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具有食品药品监督管理部门或市场监督管理部门颁发的高级食品安全管理员证书并在服务期限内持有有效期内健康证；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证明文件：</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须提供相关资质技能证书，同时提供距投标截止日近3个月在职证明（社保）材料证明，必须持有合格《健康证》。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（2）食品安全配送员4人</w:t>
      </w:r>
    </w:p>
    <w:p>
      <w:pPr>
        <w:widowControl w:val="0"/>
        <w:shd w:val="clear" w:color="auto" w:fill="auto"/>
        <w:tabs>
          <w:tab w:val="clear" w:pos="426"/>
        </w:tabs>
        <w:adjustRightInd/>
        <w:snapToGrid/>
        <w:spacing w:line="240" w:lineRule="auto"/>
        <w:ind w:firstLine="420" w:firstLineChars="200"/>
        <w:rPr>
          <w:rFonts w:hint="eastAsia" w:hAnsi="宋体" w:cs="Times New Roman"/>
          <w:kern w:val="2"/>
          <w:szCs w:val="21"/>
          <w:highlight w:val="none"/>
        </w:rPr>
      </w:pPr>
      <w:r>
        <w:rPr>
          <w:rFonts w:hint="eastAsia" w:hAnsi="宋体" w:cs="Times New Roman"/>
          <w:kern w:val="2"/>
          <w:szCs w:val="21"/>
          <w:highlight w:val="none"/>
        </w:rPr>
        <w:t>须提供人员证书和距投标截止日期近3个月在职证明材料，必须持有合格《健康证》。</w:t>
      </w:r>
    </w:p>
    <w:p>
      <w:pPr>
        <w:widowControl w:val="0"/>
        <w:shd w:val="clear" w:color="auto" w:fill="auto"/>
        <w:tabs>
          <w:tab w:val="clear" w:pos="426"/>
        </w:tabs>
        <w:adjustRightInd/>
        <w:snapToGrid/>
        <w:spacing w:line="240" w:lineRule="auto"/>
        <w:ind w:firstLine="422" w:firstLineChars="200"/>
        <w:rPr>
          <w:rFonts w:hint="default" w:hAnsi="宋体" w:eastAsia="宋体" w:cs="Times New Roman"/>
          <w:b/>
          <w:bCs/>
          <w:kern w:val="2"/>
          <w:szCs w:val="21"/>
          <w:highlight w:val="none"/>
          <w:lang w:val="en-US" w:eastAsia="zh-CN"/>
        </w:rPr>
      </w:pPr>
      <w:r>
        <w:rPr>
          <w:rFonts w:hint="eastAsia" w:hAnsi="宋体" w:cs="Times New Roman"/>
          <w:b/>
          <w:bCs/>
          <w:kern w:val="2"/>
          <w:szCs w:val="21"/>
          <w:highlight w:val="none"/>
        </w:rPr>
        <w:t>以上人员要求，由供应商在投标文件</w:t>
      </w:r>
      <w:r>
        <w:rPr>
          <w:rFonts w:hint="eastAsia" w:hAnsi="宋体" w:cs="Times New Roman"/>
          <w:b/>
          <w:bCs/>
          <w:kern w:val="2"/>
          <w:szCs w:val="21"/>
          <w:highlight w:val="none"/>
          <w:lang w:eastAsia="zh-CN"/>
        </w:rPr>
        <w:t>“</w:t>
      </w:r>
      <w:r>
        <w:rPr>
          <w:rFonts w:hint="eastAsia" w:hAnsi="宋体" w:cs="Times New Roman"/>
          <w:b/>
          <w:bCs/>
          <w:kern w:val="2"/>
          <w:szCs w:val="21"/>
          <w:highlight w:val="none"/>
        </w:rPr>
        <w:t>项目需求响应表（实质性条款除外）</w:t>
      </w:r>
      <w:r>
        <w:rPr>
          <w:rFonts w:hint="eastAsia" w:hAnsi="宋体" w:cs="Times New Roman"/>
          <w:b/>
          <w:bCs/>
          <w:kern w:val="2"/>
          <w:szCs w:val="21"/>
          <w:highlight w:val="none"/>
          <w:lang w:eastAsia="zh-CN"/>
        </w:rPr>
        <w:t>”</w:t>
      </w:r>
      <w:r>
        <w:rPr>
          <w:rFonts w:hint="eastAsia" w:hAnsi="宋体" w:cs="Times New Roman"/>
          <w:b/>
          <w:bCs/>
          <w:kern w:val="2"/>
          <w:szCs w:val="21"/>
          <w:highlight w:val="none"/>
          <w:lang w:val="en-US" w:eastAsia="zh-CN"/>
        </w:rPr>
        <w:t>处</w:t>
      </w:r>
      <w:r>
        <w:rPr>
          <w:rFonts w:hint="eastAsia" w:hAnsi="宋体" w:cs="Times New Roman"/>
          <w:b/>
          <w:bCs/>
          <w:kern w:val="2"/>
          <w:szCs w:val="21"/>
          <w:highlight w:val="none"/>
        </w:rPr>
        <w:t>提供相应证明资料复印件并加盖投标人公章，原件备查。</w:t>
      </w:r>
      <w:r>
        <w:rPr>
          <w:rFonts w:hint="eastAsia" w:hAnsi="宋体" w:cs="Times New Roman"/>
          <w:b/>
          <w:bCs/>
          <w:kern w:val="2"/>
          <w:szCs w:val="21"/>
          <w:highlight w:val="none"/>
          <w:lang w:val="en-US" w:eastAsia="zh-CN"/>
        </w:rPr>
        <w:t>并承诺在本项目服务期限内，项目负责人及所有食品安全配送员都持有合格《健康证》（提供承诺函，格式自拟，加盖投标人公章）。</w:t>
      </w:r>
    </w:p>
    <w:p>
      <w:pPr>
        <w:pStyle w:val="3"/>
        <w:numPr>
          <w:ilvl w:val="0"/>
          <w:numId w:val="0"/>
        </w:numPr>
        <w:rPr>
          <w:sz w:val="24"/>
          <w:highlight w:val="none"/>
        </w:rPr>
      </w:pPr>
      <w:bookmarkStart w:id="88" w:name="_Toc152759234"/>
      <w:bookmarkStart w:id="89" w:name="_Toc120892145"/>
      <w:bookmarkStart w:id="90" w:name="_Toc145666465"/>
      <w:r>
        <w:rPr>
          <w:rFonts w:hint="eastAsia"/>
          <w:sz w:val="24"/>
          <w:highlight w:val="none"/>
        </w:rPr>
        <w:t>五、商务需求</w:t>
      </w:r>
      <w:bookmarkEnd w:id="88"/>
      <w:bookmarkEnd w:id="89"/>
      <w:bookmarkEnd w:id="90"/>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w:t>
      </w:r>
      <w:r>
        <w:rPr>
          <w:rFonts w:hAnsi="宋体" w:cs="Times New Roman"/>
          <w:b/>
          <w:bCs/>
          <w:kern w:val="2"/>
          <w:szCs w:val="21"/>
          <w:highlight w:val="none"/>
        </w:rPr>
        <w:t>1.项目服务期限</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1）本项目服务期限为合同签订生效后一年。</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2）该项目中标供应商在合同期满后，应无条件配合采购人，做好服务项目的无缝交接。所有交接手续（含人员培训交接、证件变更手续等）均应在合同期满之日起 10 个工作日内全部办理完毕。</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3）试供期：本项目要求30天的试供期，自合同签订之日起计算，主要考察中标人的货物质量、服务、信誉等方面、试供期满且经采购方综合考察认为合格的，合同继续执行:若试供期间采购方认为中标方的服务、货物质量等不符合要求，采购方可终止合同。</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2.配送地点</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深圳市消防救援支队机关（深圳市福田区红荔路2009号）</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战勤保障处（深圳市龙华区民治街道民丰路与龙华大道交汇处消防培训基地）</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修理所（深圳市罗湖区莲塘鹏兴路5号）</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3.付款方式</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本项目约定的配送费用每月结算一次，中标供应商提供经双方签字的上月送货清单，送货清单应当一式两份，配送当天由采购方接收人签字，双方应当在次月10号前完成上月货款的结算，结算完成后双方签订结算单，中标人根据结算单确定的金额提供合法等额有效发票,采购人收到发票后在次月30日前完成货款的支付。</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4.报价方式及说明</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本项目支付上限为5881240元，投标报价必须是完成该项目的一切费用总和，报价包括供应货物和货物运输到采购单位的服务费、运费、包装费、装卸费、检测费、人工费、管理费、保险、税金、售后咨询服务等一切将可能发生的费用。以人民币为报价和结算单位，并开具国家正规发票。</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2）报价说明：本项目采用报折扣率的方式报价，投标人须按招标定额/最高限价（￥:1.00元）下浮一定比率后填报折扣率（如：投标人拟按基准价下浮5%，则投标人在填报开标一览表时，投标报价须填报：0.95元。）。</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投标人采用市场价，即供、需双方在上一个月5、15、25号（遇法定节假日顺延）分别调查深圳海吉星国际农产品物流园、福田农产品批发市场和中农网（http://stcp.chinaap.com/）等公布的价格，取三天的平均值（平均值精确到分，即小数点后两位），确定该项物资的基准价。投标人结合企业自己的实力报出折扣率。</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结算方式:（1）供需双方组成价格调查小组，到深圳海吉星国际农产品物流园、福田农产品批发市场和中农网（http://stcp.chinaap.com/）等调研，确定各项物资的市场价，结算时价格=市场价*折扣率。（2）如遇台风、暴雨等不可遇见的原因造成的个别品种及价格需临时做调整的，供应商应事先通知采购人，在采购人确认后方可调整。</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5）报价包括供应货物和货物运输到采购单位的服务费、运费、装卸费、检测费、人工费、管理费、保险、税金等一切将可能发生的费用。以人民币为报价和结算单位，并开具国家正规发票。</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5.责任承担</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中标人的食品必须符合国家有关部门规定的食品安全标准，如果因中标人所供货的食品造成采购单位就餐人员食物中毒的，经卫生防疫部门鉴定，属中标人责任，须承担全部法律责任并作出全部的经济赔偿，采购人可解除其供货合同，并有权要求中标人赔偿采购人解除合同的损失相当于本项目预算总金额的20%违约金。</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中标人在卫生局监督部门必须无食品卫生事故记录，一经查实，取消中标资格。如履约过程中标人出现食品卫生事故记录，无论事故是否涉及采购人，采购人均可单方面解除其供货合同，且不承担任何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（3）如中标供应商因自身问题无法继续履约或在招投标活动中违规被政府相关部门处罚的， 采购人可以无条件取消供应商中标资格，采购人有权从综合评分排序在后的供应商中递补入围名单，以确保可选的服务供应商数量。</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（4）中标供应商在履行合同期间，若因自身问题无法继续履约或在招投标活动中违规被政府相关部门处罚的，采购人可以无条件中止合同，并视自身所受不良影响情况向中标供应商索赔。</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（5）项目服务期内如发现</w:t>
      </w:r>
      <w:r>
        <w:rPr>
          <w:rFonts w:hint="eastAsia" w:hAnsi="宋体" w:cs="Times New Roman"/>
          <w:kern w:val="2"/>
          <w:szCs w:val="21"/>
          <w:highlight w:val="none"/>
          <w:lang w:val="en-US" w:eastAsia="zh-CN"/>
        </w:rPr>
        <w:t>中标</w:t>
      </w:r>
      <w:r>
        <w:rPr>
          <w:rFonts w:hint="eastAsia" w:hAnsi="宋体" w:cs="Times New Roman"/>
          <w:kern w:val="2"/>
          <w:szCs w:val="21"/>
          <w:highlight w:val="none"/>
        </w:rPr>
        <w:t>供应商转包或</w:t>
      </w:r>
      <w:r>
        <w:rPr>
          <w:rFonts w:hint="eastAsia" w:hAnsi="宋体" w:cs="Times New Roman"/>
          <w:kern w:val="2"/>
          <w:szCs w:val="21"/>
          <w:highlight w:val="none"/>
          <w:lang w:val="en-US" w:eastAsia="zh-CN"/>
        </w:rPr>
        <w:t>再次</w:t>
      </w:r>
      <w:r>
        <w:rPr>
          <w:rFonts w:hint="eastAsia" w:hAnsi="宋体" w:cs="Times New Roman"/>
          <w:kern w:val="2"/>
          <w:szCs w:val="21"/>
          <w:highlight w:val="none"/>
        </w:rPr>
        <w:t>分包情况，采购人均可单方面解除其供货合同，且不承担任何责任。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（6）采购人因机构改革等因素导致工作场所、人员变动时，中标供应商应当根据采购人要求变更配送地点。</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（7）因疫情防疫工作要求，中标供应商所有配送商品和配送人员均需按照最高防疫工作要求配送。</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6.监督管理办法</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（1）为加强中标供应商的管理，提高中标供应商质量，鼓励优秀供应商，淘汰不良供应商，对中标供应商的价格水平、服务质量和履约情况进行管理。</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1）中标供应商有下列行为之一的，经查实，依法取消其中标供应商资格，给采购人造成损失的，应当赔偿采购热损失；涉及其他法律责任的，采购人有权依法移送有权部分处理：</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①弄虚作假、隐瞒真实情况骗取中标供应商资格的；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②因行贿、受贿、串通投标、转包、挂靠受到有关政府部门处罚的；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③恶意质疑投诉的；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④造成严重后果或恶劣影响的行为；</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⑤有商业贿赂行为的；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⑥其他违反法律、法规和协议规定的行为。</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（2）中标供应商在合同执行期间有下列行为之一的，采购单位有权依法解除供货服务合同：</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1）选定后无正当理由不与采购单位签订合同的；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2）擅自变更或者中止采购服务合同的；</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3）经采购单位各服务食堂每月对《服务供应商月度考核评价表》进行打分，连续三个月平均得分低于80分的；</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★4）违背《服务承诺函》承诺事项的。（★本项目需提供《服务承诺函》，格式见附件《服务承诺函》，不提供或未按格式提供作投标无效处理。）</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（3）采购单位将每月根据中标供应商的服务情况进行综合考核，主要考察中标供应商的货物质量、价格、服务、信誉等方面。由所服务食堂单位填写《服务供应商月度考核评价表》，报采购单位主管部门。</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（4）当中标供应商月度考核连续3个月不合格（平均得分低于80分）时，由采购单位决定是否由排名第二的中标候选人替补。</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bookmarkStart w:id="91" w:name="_Toc44663283"/>
      <w:bookmarkEnd w:id="91"/>
      <w:bookmarkStart w:id="92" w:name="_Toc51077013"/>
      <w:bookmarkEnd w:id="92"/>
      <w:r>
        <w:rPr>
          <w:rFonts w:hint="eastAsia" w:hAnsi="宋体" w:cs="Times New Roman"/>
          <w:kern w:val="2"/>
          <w:szCs w:val="21"/>
          <w:highlight w:val="none"/>
        </w:rPr>
        <w:t>月度考核评价表（100分）</w:t>
      </w:r>
    </w:p>
    <w:tbl>
      <w:tblPr>
        <w:tblStyle w:val="85"/>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206"/>
        <w:gridCol w:w="5578"/>
        <w:gridCol w:w="554"/>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序号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类别</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内容</w:t>
            </w:r>
          </w:p>
        </w:tc>
        <w:tc>
          <w:tcPr>
            <w:tcW w:w="557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评分细则</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分值</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企业管理</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管理规范</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具有完整详细的阶段性具体服务实施计划及应急预案，明确人员的分配、工作职责安排及管理制度，服务资料档案保存完整、建立供应台账，货源、采购渠道、供货保障、品质监控、日常管理组织、物流配送等符合本项目的整体需求，材料不齐全的每处扣1分，累计每月最高扣5分</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价格</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价格执行情况</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根据采购单位的要求定期报价、建立完善的报价机制，价格合理、且符合采购单位实际需求。是否准时每半月一次报价（每月1日前/15日前），建立完善的报价机制；是否存在临时补货物品价格虚高的情况；是否存在对账单价格乱报、错报等的情况；是否存在月度结算对账不及时情况。每发现1次，扣2分，累计最高扣分5分。</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质量</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物品质量</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配送物品是否存在霉烂、变质、过期、破损等不符质量要求的情况；是否存在以次充好达不到采购单位要求的情况。每发现1次扣5分，累计每月最高扣分10分。</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25</w:t>
            </w:r>
          </w:p>
        </w:tc>
        <w:tc>
          <w:tcPr>
            <w:tcW w:w="427"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食品检测</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所供物资食品均符合《国家食品卫生标准》、《食品卫生法》和《动物检疫法》等相关规定，卫生安全，无毒、无害，配送车辆及人员的卫生、健康条件符合国家规定，未出现任何食品安全问题，采购单位对配送物品进行食品安全检测，每发现1项不合格的，直接扣10分。</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427" w:type="dxa"/>
            <w:vMerge w:val="continue"/>
            <w:tcBorders>
              <w:left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索证制度</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是否建立相应的追踪深渊体系，专门台账档案；是否有清晰的货物来源或产地；是否及时提供相关的票、据、证等材料。每发现1次扣5分，累计每月最高扣分5分。</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427" w:type="dxa"/>
            <w:vMerge w:val="continue"/>
            <w:tcBorders>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数量方面</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物品数量</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所供货物品种和数量、重量准确，符合采购单位要求，有建立供应台账，有专人（不少于两人）负责送货及查收，并附清单。与订单数量相差10%，扣2分；相差20%，扣5分；相差30%，扣10分；与订单品种每相差1个，扣1分；累计每月最高扣分10分。</w:t>
            </w: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10</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4</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时间方面</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配送及时</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按配送时间准时准点到达，有专人负责配送，并按要求及程序装卸物资，迟于每天指定配送时间的，每迟到10分钟扣2分，累计每月最高扣分10分。</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20</w:t>
            </w:r>
          </w:p>
        </w:tc>
        <w:tc>
          <w:tcPr>
            <w:tcW w:w="427"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应急响应</w:t>
            </w:r>
          </w:p>
        </w:tc>
        <w:tc>
          <w:tcPr>
            <w:tcW w:w="5578"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是否按照采购单位的要求，按照招标时的承诺进行应急配送处理。未达标1次扣5分，累计每月最高扣分10分。</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427"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5</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卫生方面</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配送人员</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配送人员是否按要求数量配备在岗，每缺岗1人扣3分；是否有健康证，是否统一穿工服，是否存在盗取货物等情况，不达标1次扣2分，累计每月最高扣分9分。</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15</w:t>
            </w:r>
          </w:p>
        </w:tc>
        <w:tc>
          <w:tcPr>
            <w:tcW w:w="427"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初加工</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是否按要求派驻配送员进行洗切配工作，工作是否保质保量完成。是否严格按照《国家食品卫生标准》、《食品卫生法》等相关规定，对食品进行卫生安全初加工；是否初加工完成后将加工场所垃圾清理干净。不达标1次扣2分，累计每月最高扣分6分。</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427"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6</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态度方面</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服务态度</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供应商服务态度是否良好；采购单位不定期向食堂、用餐等相关人员进行随机调查，每接到1次有效投诉扣5分，累计每月最高扣分10分。</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20</w:t>
            </w:r>
          </w:p>
        </w:tc>
        <w:tc>
          <w:tcPr>
            <w:tcW w:w="427"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反馈整改情况</w:t>
            </w:r>
          </w:p>
        </w:tc>
        <w:tc>
          <w:tcPr>
            <w:tcW w:w="557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是否对采购单位的反馈意见进行认真及时的整改，不达标1次扣5分，累计每月最高扣分10分。</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szCs w:val="21"/>
                <w:highlight w:val="none"/>
                <w:lang w:val="zh-CN"/>
              </w:rPr>
            </w:pPr>
          </w:p>
        </w:tc>
        <w:tc>
          <w:tcPr>
            <w:tcW w:w="427"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总分</w:t>
            </w:r>
          </w:p>
        </w:tc>
        <w:tc>
          <w:tcPr>
            <w:tcW w:w="557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c>
          <w:tcPr>
            <w:tcW w:w="55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100</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highlight w:val="none"/>
                <w:lang w:val="zh-CN"/>
              </w:rPr>
            </w:pPr>
          </w:p>
        </w:tc>
      </w:tr>
    </w:tbl>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b/>
          <w:bCs/>
          <w:szCs w:val="21"/>
          <w:highlight w:val="none"/>
        </w:rPr>
        <w:t>7.</w:t>
      </w:r>
      <w:r>
        <w:rPr>
          <w:rFonts w:hint="eastAsia" w:hAnsi="宋体" w:cs="Times New Roman"/>
          <w:b/>
          <w:bCs/>
          <w:kern w:val="2"/>
          <w:szCs w:val="21"/>
          <w:highlight w:val="none"/>
        </w:rPr>
        <w:t>质量考核验收标准及违约金</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（1）质量考核验收标准：货品验收合格</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（2）违约金：</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①服务期限内，因中标人原因导致合同解除的，采购人有权追究中标人支付相当于合同预算总金额</w:t>
      </w:r>
      <w:r>
        <w:rPr>
          <w:rFonts w:hAnsi="宋体" w:cs="Times New Roman"/>
          <w:kern w:val="2"/>
          <w:szCs w:val="21"/>
          <w:highlight w:val="none"/>
        </w:rPr>
        <w:t>20%违约金的违约责任。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②如中标人未按照约定时间配送，延迟超过三十分钟以上的，一次提出口头警告并要求供应商做出书面保证，二次扣当天货款</w:t>
      </w:r>
      <w:r>
        <w:rPr>
          <w:rFonts w:hAnsi="宋体" w:cs="Times New Roman"/>
          <w:kern w:val="2"/>
          <w:szCs w:val="21"/>
          <w:highlight w:val="none"/>
        </w:rPr>
        <w:t xml:space="preserve"> 10%</w:t>
      </w:r>
      <w:r>
        <w:rPr>
          <w:rFonts w:hint="eastAsia" w:hAnsi="宋体" w:cs="Times New Roman"/>
          <w:kern w:val="2"/>
          <w:szCs w:val="21"/>
          <w:highlight w:val="none"/>
        </w:rPr>
        <w:t>，延迟配送达到三次的，采购人可解除供货合同，并扣除当月货款的</w:t>
      </w:r>
      <w:r>
        <w:rPr>
          <w:rFonts w:hAnsi="宋体" w:cs="Times New Roman"/>
          <w:kern w:val="2"/>
          <w:szCs w:val="21"/>
          <w:highlight w:val="none"/>
        </w:rPr>
        <w:t>10%。</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③如配送的货物不符合要求，采购方有权拒收，要求中标人立即更换配送不合格货物，并扣除当日应给付货款的</w:t>
      </w:r>
      <w:r>
        <w:rPr>
          <w:rFonts w:hAnsi="宋体" w:cs="Times New Roman"/>
          <w:kern w:val="2"/>
          <w:szCs w:val="21"/>
          <w:highlight w:val="none"/>
        </w:rPr>
        <w:t>30%，</w:t>
      </w:r>
      <w:r>
        <w:rPr>
          <w:rFonts w:hint="eastAsia" w:hAnsi="宋体" w:cs="Times New Roman"/>
          <w:kern w:val="2"/>
          <w:szCs w:val="21"/>
          <w:highlight w:val="none"/>
        </w:rPr>
        <w:t>中标方应当无理由调换不合格的货物，再次发生此类情况，采购方方有权直接解除合同，不予支付当日配送的食品价款，且中标人需承担向采购人支付本项目中标金额的</w:t>
      </w:r>
      <w:r>
        <w:rPr>
          <w:rFonts w:hAnsi="宋体" w:cs="Times New Roman"/>
          <w:kern w:val="2"/>
          <w:szCs w:val="21"/>
          <w:highlight w:val="none"/>
        </w:rPr>
        <w:t>20%的违约金的违约责任</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8.</w:t>
      </w:r>
      <w:r>
        <w:rPr>
          <w:rFonts w:hint="eastAsia" w:hAnsi="宋体" w:cs="Times New Roman"/>
          <w:b/>
          <w:bCs/>
          <w:kern w:val="2"/>
          <w:szCs w:val="21"/>
          <w:highlight w:val="none"/>
        </w:rPr>
        <w:t>付款方式</w:t>
      </w:r>
    </w:p>
    <w:p>
      <w:pPr>
        <w:widowControl w:val="0"/>
        <w:shd w:val="clear" w:color="auto" w:fill="auto"/>
        <w:tabs>
          <w:tab w:val="clear" w:pos="426"/>
        </w:tabs>
        <w:adjustRightInd/>
        <w:snapToGrid/>
        <w:spacing w:line="240" w:lineRule="auto"/>
        <w:ind w:firstLine="420" w:firstLineChars="200"/>
        <w:rPr>
          <w:rFonts w:hAnsi="宋体" w:cs="Times New Roman"/>
          <w:szCs w:val="21"/>
          <w:highlight w:val="none"/>
        </w:rPr>
      </w:pPr>
      <w:r>
        <w:rPr>
          <w:rFonts w:hint="eastAsia" w:hAnsi="宋体" w:cs="Times New Roman"/>
          <w:kern w:val="2"/>
          <w:szCs w:val="21"/>
          <w:highlight w:val="none"/>
        </w:rPr>
        <w:t>（1）供需双方组成价格调查小组，到深圳海吉星国际农产品物流园、福田农产品批发市场和中农网（</w:t>
      </w:r>
      <w:r>
        <w:rPr>
          <w:rFonts w:hAnsi="宋体" w:cs="Times New Roman"/>
          <w:kern w:val="2"/>
          <w:szCs w:val="21"/>
          <w:highlight w:val="none"/>
        </w:rPr>
        <w:t>http://stcp.chinaap.com/）</w:t>
      </w:r>
      <w:r>
        <w:rPr>
          <w:rFonts w:hint="eastAsia" w:hAnsi="宋体" w:cs="Times New Roman"/>
          <w:kern w:val="2"/>
          <w:szCs w:val="21"/>
          <w:highlight w:val="none"/>
        </w:rPr>
        <w:t>等调研，确定各项物资的市场价，结算时价格</w:t>
      </w:r>
      <w:r>
        <w:rPr>
          <w:rFonts w:hAnsi="宋体" w:cs="Times New Roman"/>
          <w:kern w:val="2"/>
          <w:szCs w:val="21"/>
          <w:highlight w:val="none"/>
        </w:rPr>
        <w:t>=市场价*折扣率。如遇台风、暴雨等不可遇见的原因造成的个别品种及价格需临时做调整的，供应商应事先通知采购人，在采购人确认后方可调整。</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（2）所有物资的报价包括供应产品和产品运输到消防救援支队的服务费、检测费、包装费、运输费、人工费、管理费、税金等一切将可发生的费用。以人民币为报价结算单位，供应商须开具国家正规发票。</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（3）本项目约定的配送费用每月结算一次，中标供应商提供经双方签字的上月送货清单送货清单应当一式两份，配送当天由采购方接收人签字，双方应当在次月</w:t>
      </w:r>
      <w:r>
        <w:rPr>
          <w:rFonts w:hAnsi="宋体" w:cs="Times New Roman"/>
          <w:kern w:val="2"/>
          <w:szCs w:val="21"/>
          <w:highlight w:val="none"/>
        </w:rPr>
        <w:t>10号前完成上月货款的结算，结算完成后双方签订结算单，中标人根据结算单确定的金额提供合法等额有效发票,采购人收到发票后在次月30日前完成货款的支付。</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Ansi="宋体" w:cs="Times New Roman"/>
          <w:b/>
          <w:bCs/>
          <w:kern w:val="2"/>
          <w:szCs w:val="21"/>
          <w:highlight w:val="none"/>
        </w:rPr>
        <w:t>9.</w:t>
      </w:r>
      <w:r>
        <w:rPr>
          <w:rFonts w:hint="eastAsia" w:hAnsi="宋体" w:cs="Times New Roman"/>
          <w:b/>
          <w:bCs/>
          <w:kern w:val="2"/>
          <w:szCs w:val="21"/>
          <w:highlight w:val="none"/>
        </w:rPr>
        <w:t>售后服务要求</w:t>
      </w:r>
    </w:p>
    <w:p>
      <w:pPr>
        <w:widowControl w:val="0"/>
        <w:shd w:val="clear" w:color="auto" w:fill="auto"/>
        <w:tabs>
          <w:tab w:val="clear" w:pos="426"/>
        </w:tabs>
        <w:adjustRightInd/>
        <w:snapToGrid/>
        <w:spacing w:line="240" w:lineRule="auto"/>
        <w:ind w:firstLine="420" w:firstLineChars="200"/>
        <w:rPr>
          <w:rFonts w:hAnsi="宋体"/>
          <w:szCs w:val="21"/>
          <w:highlight w:val="none"/>
        </w:rPr>
      </w:pPr>
      <w:r>
        <w:rPr>
          <w:rFonts w:hint="eastAsia" w:hAnsi="宋体" w:cs="Times New Roman"/>
          <w:kern w:val="2"/>
          <w:szCs w:val="21"/>
          <w:highlight w:val="none"/>
        </w:rPr>
        <w:t>项目完成后，中标单位提供</w:t>
      </w:r>
      <w:r>
        <w:rPr>
          <w:rFonts w:hAnsi="宋体" w:cs="Times New Roman"/>
          <w:kern w:val="2"/>
          <w:szCs w:val="21"/>
          <w:highlight w:val="none"/>
        </w:rPr>
        <w:t>6个月的售后咨询服务。</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10.合同类型：</w:t>
      </w:r>
      <w:r>
        <w:rPr>
          <w:rFonts w:hint="eastAsia" w:hAnsi="宋体" w:cs="Times New Roman"/>
          <w:kern w:val="2"/>
          <w:szCs w:val="21"/>
          <w:highlight w:val="none"/>
        </w:rPr>
        <w:t>委托合同。</w:t>
      </w:r>
    </w:p>
    <w:p>
      <w:pPr>
        <w:widowControl w:val="0"/>
        <w:shd w:val="clear" w:color="auto" w:fill="auto"/>
        <w:tabs>
          <w:tab w:val="clear" w:pos="426"/>
        </w:tabs>
        <w:adjustRightInd/>
        <w:snapToGrid/>
        <w:spacing w:line="240" w:lineRule="auto"/>
        <w:ind w:firstLine="422" w:firstLineChars="200"/>
        <w:rPr>
          <w:rFonts w:hAnsi="宋体" w:cs="Times New Roman"/>
          <w:kern w:val="2"/>
          <w:szCs w:val="21"/>
          <w:highlight w:val="none"/>
        </w:rPr>
      </w:pPr>
      <w:r>
        <w:rPr>
          <w:rFonts w:hint="eastAsia" w:hAnsi="宋体" w:cs="Times New Roman"/>
          <w:b/>
          <w:bCs/>
          <w:kern w:val="2"/>
          <w:szCs w:val="21"/>
          <w:highlight w:val="none"/>
        </w:rPr>
        <w:t>11.定价方式：</w:t>
      </w:r>
      <w:r>
        <w:rPr>
          <w:rFonts w:hint="eastAsia" w:hAnsi="宋体" w:cs="Times New Roman"/>
          <w:kern w:val="2"/>
          <w:szCs w:val="21"/>
          <w:highlight w:val="none"/>
        </w:rPr>
        <w:t>固定单价，要求： 以每月双方确定实际菜价为准结算。</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12.交付验收方案</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（1）中标人应按照本合同约定的时间和方式向采购人交付货物，交货地点由采购人指定。因交货产生的费用由中标人自行承担。</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bookmarkStart w:id="93" w:name="baidusnap0"/>
      <w:bookmarkEnd w:id="93"/>
      <w:r>
        <w:rPr>
          <w:rFonts w:hint="eastAsia" w:hAnsi="宋体" w:cs="Times New Roman"/>
          <w:kern w:val="2"/>
          <w:szCs w:val="21"/>
          <w:highlight w:val="none"/>
        </w:rPr>
        <w:t>（2）包装必须与运输方式相适应，包装方式的确定及包装费用均由中标人负责；由于不恰当的包装而造成货物在运输过程中有任何损坏、丢失由中标人负责。包装应足以承受整个过程中的运输、转运、装卸、存储等，充分考虑到运输途中的各种情况(如暴露于恶劣气候等)，以及露天、潮湿等恶劣环境存放的需要。备品备件应分别包装，并在包装箱外加以注明其用处。包装费、运费已包含在合同价内。</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中标人交付的货物应当完全符合采购方订单要求的品名、数量及招投标文件所规定的货物、数量、质量和规格要求。中标人提供的货物不符合招投标文件和合同规定的，采购人有权拒收货物，由此引起的包括但不限于货物毁损、丢失及产生一切费用的风险，由中标人承担。</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中标人在运输、安装等过程中应对自身的安全生产负责，若在运输、安装等过程中发生的任何事故（包括但不限于中标方人员人身损害、财产损失等），采购人不承担任何责任；因中标人或其人员原因给第三人造成人身、财产损失或者中标方与其人员发生劳动、劳务、侵权等纠纷的，均与采购人无关，由中标人自行解决并承担全部法律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5</w:t>
      </w:r>
      <w:r>
        <w:rPr>
          <w:rFonts w:hint="eastAsia" w:hAnsi="宋体" w:cs="Times New Roman"/>
          <w:kern w:val="2"/>
          <w:szCs w:val="21"/>
          <w:highlight w:val="none"/>
        </w:rPr>
        <w:t>）交付验收主体：</w:t>
      </w:r>
      <w:r>
        <w:rPr>
          <w:rFonts w:hAnsi="宋体" w:cs="Times New Roman"/>
          <w:kern w:val="2"/>
          <w:szCs w:val="21"/>
          <w:highlight w:val="none"/>
        </w:rPr>
        <w:t xml:space="preserve"> </w:t>
      </w:r>
      <w:r>
        <w:rPr>
          <w:rFonts w:hint="eastAsia" w:hAnsi="宋体" w:cs="Times New Roman"/>
          <w:kern w:val="2"/>
          <w:szCs w:val="21"/>
          <w:highlight w:val="none"/>
        </w:rPr>
        <w:t>深圳市消防救援支队。</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6</w:t>
      </w:r>
      <w:r>
        <w:rPr>
          <w:rFonts w:hint="eastAsia" w:hAnsi="宋体" w:cs="Times New Roman"/>
          <w:kern w:val="2"/>
          <w:szCs w:val="21"/>
          <w:highlight w:val="none"/>
        </w:rPr>
        <w:t>）交付验收时间：</w:t>
      </w:r>
      <w:r>
        <w:rPr>
          <w:rFonts w:hAnsi="宋体" w:cs="Times New Roman"/>
          <w:kern w:val="2"/>
          <w:szCs w:val="21"/>
          <w:highlight w:val="none"/>
        </w:rPr>
        <w:t xml:space="preserve"> </w:t>
      </w:r>
      <w:r>
        <w:rPr>
          <w:rFonts w:hint="eastAsia" w:hAnsi="宋体" w:cs="Times New Roman"/>
          <w:kern w:val="2"/>
          <w:szCs w:val="21"/>
          <w:highlight w:val="none"/>
        </w:rPr>
        <w:t>货物配送完后当天，中标人向采购人提交验收申请。</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7</w:t>
      </w:r>
      <w:r>
        <w:rPr>
          <w:rFonts w:hint="eastAsia" w:hAnsi="宋体" w:cs="Times New Roman"/>
          <w:kern w:val="2"/>
          <w:szCs w:val="21"/>
          <w:highlight w:val="none"/>
        </w:rPr>
        <w:t>）交付验收方式： 当场验货，双方验收。</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8</w:t>
      </w:r>
      <w:r>
        <w:rPr>
          <w:rFonts w:hint="eastAsia" w:hAnsi="宋体" w:cs="Times New Roman"/>
          <w:kern w:val="2"/>
          <w:szCs w:val="21"/>
          <w:highlight w:val="none"/>
        </w:rPr>
        <w:t>）交付验收程序： 采购人通知中标人提交完善的验收资料（纸质、电子文件），验收小组前往验收地点进行验收，中标人出具验收文件和报告，双方在验收报告上签名确认。</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9</w:t>
      </w:r>
      <w:r>
        <w:rPr>
          <w:rFonts w:hint="eastAsia" w:hAnsi="宋体" w:cs="Times New Roman"/>
          <w:kern w:val="2"/>
          <w:szCs w:val="21"/>
          <w:highlight w:val="none"/>
        </w:rPr>
        <w:t>）交付验收内容：</w:t>
      </w:r>
      <w:r>
        <w:rPr>
          <w:rFonts w:hAnsi="宋体" w:cs="Times New Roman"/>
          <w:kern w:val="2"/>
          <w:szCs w:val="21"/>
          <w:highlight w:val="none"/>
        </w:rPr>
        <w:t xml:space="preserve"> </w:t>
      </w:r>
      <w:r>
        <w:rPr>
          <w:rFonts w:hint="eastAsia" w:hAnsi="宋体" w:cs="Times New Roman"/>
          <w:kern w:val="2"/>
          <w:szCs w:val="21"/>
          <w:highlight w:val="none"/>
        </w:rPr>
        <w:t>主副食品供应货物、肉类（含生鲜、冻品、鱼类等）、蔬菜类（含水果）、干货类、调料类、食用油类、豆制品类、大米。</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10</w:t>
      </w:r>
      <w:r>
        <w:rPr>
          <w:rFonts w:hint="eastAsia" w:hAnsi="宋体" w:cs="Times New Roman"/>
          <w:kern w:val="2"/>
          <w:szCs w:val="21"/>
          <w:highlight w:val="none"/>
        </w:rPr>
        <w:t xml:space="preserve">）交付验收标准： </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1）食堂主副食品供应货物验收标准</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①供应商应严格执行《中华人民共和国食品安全法》、《中华人民共和国食品安全法实施条例》等法律法规的规定，并全面履行本合同以及招投标文件所约定的义务。</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②供应商必须遵守国家和地方有关环境和卫生的标准，严禁供应腐烂变质的食品，保持货品的新鲜。供应商应随时按招标人要求提供各类货物检测报告。</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③供应商必须无条件退换采购人认为不合要求的物品，并及时加以更正，确保能正常就餐。</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④供应商承诺管理好供应商的员工，并自行负责送货人员的一切法律责任。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⑤所供食品的质量要求：所供食品均符合《中华人民共和国食品安全法》、《中华人民共和国农产品质量安全法》及《中华人民共和国动物防疫法》等国家标准。</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⑥配送货物品种：蔬菜类、鲜肉类、水产类、水果、粮油品、副食品、干货类及调配料等主副食品以及洗涤等配套用品。</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⑦中标人若违反相关规定，发生重大安全事故的，采购人有权单方终止合同。</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⑧验收时中标人必须派代表参加，验收完毕由采购人代表和中标人代表在验收报告上签名确认。</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2）肉类要求（含生鲜、冻品、鱼类等）</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①所供货物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②所有货物规格符合深圳市消防救援支队提交的日采购计划中明确的具体需求。</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③冷冻禽类食品解冻后净重量不少于90％，冷冻肉类食品解冻后净重量不少于92%，冷冻水产类食品解冻后净重量不少于82%，解冻时间为4小时以内（室温 20℃）。所有冷冻食品要求清晰列出产品品牌、规格、类型、包装方式、包装净重、含冰量等相关参数。</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④各供应商提供猪、牛肉类、家禽类及肉制品应有《卫生检疫报告》、《产品合格证》资质证明。</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3）蔬菜类要求（含水果）</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中标人每天的供应按深圳市消防救援支队提出的品种要求和计划数量进行供应。属季节问题，若出现品种不能满足采购人需求的情况，可与采购人协商调换相应类别的品种（按叶菜、瓜菜等进行分类）。</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w:t>
      </w:r>
      <w:r>
        <w:rPr>
          <w:rFonts w:hAnsi="宋体" w:cs="Times New Roman"/>
          <w:kern w:val="2"/>
          <w:szCs w:val="21"/>
          <w:highlight w:val="none"/>
        </w:rPr>
        <w:t>11</w:t>
      </w:r>
      <w:r>
        <w:rPr>
          <w:rFonts w:hint="eastAsia" w:hAnsi="宋体" w:cs="Times New Roman"/>
          <w:kern w:val="2"/>
          <w:szCs w:val="21"/>
          <w:highlight w:val="none"/>
        </w:rPr>
        <w:t>）交付验收其他事项</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1）所有验收文件、验收报告、资料要提交给采购人以作留档备案；</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2）中标人负责整理并提交完善的验收文档（纸质、电子文件）；</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 xml:space="preserve">3）验收过程所发生的一切费用由中标人承担。     </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 xml:space="preserve">                                           </w:t>
      </w:r>
    </w:p>
    <w:p>
      <w:pPr>
        <w:widowControl w:val="0"/>
        <w:shd w:val="clear" w:color="auto" w:fill="auto"/>
        <w:tabs>
          <w:tab w:val="clear" w:pos="426"/>
        </w:tabs>
        <w:adjustRightInd/>
        <w:snapToGrid/>
        <w:spacing w:line="240" w:lineRule="auto"/>
        <w:ind w:firstLine="422" w:firstLineChars="200"/>
        <w:rPr>
          <w:rFonts w:hAnsi="宋体" w:cs="Times New Roman"/>
          <w:b/>
          <w:bCs/>
          <w:kern w:val="2"/>
          <w:szCs w:val="21"/>
          <w:highlight w:val="none"/>
        </w:rPr>
      </w:pPr>
      <w:r>
        <w:rPr>
          <w:rFonts w:hint="eastAsia" w:hAnsi="宋体" w:cs="Times New Roman"/>
          <w:b/>
          <w:bCs/>
          <w:kern w:val="2"/>
          <w:szCs w:val="21"/>
          <w:highlight w:val="none"/>
        </w:rPr>
        <w:t>13.风险管控措施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（1）国家政策变化应对措施：/。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（2）实施环境变化应对措施：/。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（3）重大技术变化应对措施：/。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（4）预算项目调整应对措施：/。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（5）因质疑投诉影响采购进度应对措施：/。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（6）采购失败应对措施：重新招标。</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（7）不按规定签订或者履行合同应对措施：/。</w:t>
      </w:r>
    </w:p>
    <w:p>
      <w:pPr>
        <w:widowControl w:val="0"/>
        <w:shd w:val="clear" w:color="auto" w:fill="auto"/>
        <w:tabs>
          <w:tab w:val="clear" w:pos="426"/>
        </w:tabs>
        <w:adjustRightInd/>
        <w:snapToGrid/>
        <w:spacing w:line="240" w:lineRule="auto"/>
        <w:ind w:firstLine="420" w:firstLineChars="200"/>
        <w:rPr>
          <w:rFonts w:hAnsi="宋体" w:cs="Times New Roman"/>
          <w:kern w:val="2"/>
          <w:szCs w:val="21"/>
          <w:highlight w:val="none"/>
        </w:rPr>
      </w:pPr>
      <w:r>
        <w:rPr>
          <w:rFonts w:hint="eastAsia" w:hAnsi="宋体" w:cs="Times New Roman"/>
          <w:kern w:val="2"/>
          <w:szCs w:val="21"/>
          <w:highlight w:val="none"/>
        </w:rPr>
        <w:t>（8）出现损害国家利益和社会公共利益情形应对措施：/。</w:t>
      </w:r>
    </w:p>
    <w:p>
      <w:pPr>
        <w:pStyle w:val="3"/>
        <w:numPr>
          <w:ilvl w:val="0"/>
          <w:numId w:val="0"/>
        </w:numPr>
        <w:rPr>
          <w:sz w:val="24"/>
          <w:highlight w:val="none"/>
        </w:rPr>
      </w:pPr>
      <w:r>
        <w:rPr>
          <w:rFonts w:hint="eastAsia"/>
          <w:sz w:val="24"/>
          <w:highlight w:val="none"/>
        </w:rPr>
        <w:t>附件：服务承诺函</w:t>
      </w:r>
    </w:p>
    <w:p>
      <w:pPr>
        <w:widowControl w:val="0"/>
        <w:shd w:val="clear" w:color="auto" w:fill="auto"/>
        <w:tabs>
          <w:tab w:val="clear" w:pos="426"/>
        </w:tabs>
        <w:adjustRightInd/>
        <w:snapToGrid/>
        <w:spacing w:line="240" w:lineRule="auto"/>
        <w:jc w:val="center"/>
        <w:rPr>
          <w:rFonts w:hAnsi="宋体" w:cs="Times New Roman"/>
          <w:b/>
          <w:bCs/>
          <w:kern w:val="2"/>
          <w:sz w:val="32"/>
          <w:szCs w:val="32"/>
          <w:highlight w:val="none"/>
        </w:rPr>
      </w:pPr>
      <w:r>
        <w:rPr>
          <w:rFonts w:hint="eastAsia" w:hAnsi="宋体" w:cs="Times New Roman"/>
          <w:b/>
          <w:bCs/>
          <w:kern w:val="2"/>
          <w:sz w:val="32"/>
          <w:szCs w:val="32"/>
          <w:highlight w:val="none"/>
        </w:rPr>
        <w:t>服务承诺函</w:t>
      </w:r>
    </w:p>
    <w:p>
      <w:pPr>
        <w:widowControl w:val="0"/>
        <w:shd w:val="clear" w:color="auto" w:fill="auto"/>
        <w:tabs>
          <w:tab w:val="clear" w:pos="426"/>
        </w:tabs>
        <w:adjustRightInd/>
        <w:snapToGrid/>
        <w:spacing w:line="240" w:lineRule="auto"/>
        <w:jc w:val="center"/>
        <w:rPr>
          <w:rFonts w:hAnsi="宋体" w:cs="Times New Roman"/>
          <w:b/>
          <w:bCs/>
          <w:kern w:val="2"/>
          <w:sz w:val="32"/>
          <w:szCs w:val="32"/>
          <w:highlight w:val="none"/>
        </w:rPr>
      </w:pPr>
    </w:p>
    <w:p>
      <w:pPr>
        <w:spacing w:line="276" w:lineRule="auto"/>
        <w:ind w:firstLine="420" w:firstLineChars="200"/>
        <w:rPr>
          <w:rFonts w:hAnsi="宋体" w:cstheme="majorEastAsia"/>
          <w:szCs w:val="21"/>
          <w:highlight w:val="none"/>
        </w:rPr>
      </w:pPr>
      <w:r>
        <w:rPr>
          <w:rFonts w:hint="eastAsia" w:hAnsi="宋体" w:cstheme="majorEastAsia"/>
          <w:szCs w:val="21"/>
          <w:highlight w:val="none"/>
        </w:rPr>
        <w:t>我单位自愿</w:t>
      </w:r>
      <w:r>
        <w:rPr>
          <w:rFonts w:hint="eastAsia" w:hAnsi="宋体" w:cstheme="majorEastAsia"/>
          <w:b/>
          <w:szCs w:val="21"/>
          <w:highlight w:val="none"/>
          <w:u w:val="single"/>
        </w:rPr>
        <w:t>参加</w:t>
      </w:r>
      <w:r>
        <w:rPr>
          <w:rFonts w:hint="eastAsia" w:hAnsi="宋体" w:cstheme="majorEastAsia"/>
          <w:b/>
          <w:szCs w:val="21"/>
          <w:highlight w:val="none"/>
          <w:u w:val="single"/>
          <w:lang w:val="zh-CN"/>
        </w:rPr>
        <w:t>深圳市消防救援</w:t>
      </w:r>
      <w:r>
        <w:rPr>
          <w:rFonts w:hint="eastAsia" w:hAnsi="宋体" w:cstheme="majorEastAsia"/>
          <w:b/>
          <w:szCs w:val="21"/>
          <w:highlight w:val="none"/>
          <w:u w:val="single"/>
        </w:rPr>
        <w:t>支队</w:t>
      </w:r>
      <w:r>
        <w:rPr>
          <w:rFonts w:hint="eastAsia" w:hAnsi="宋体" w:cstheme="majorEastAsia"/>
          <w:szCs w:val="21"/>
          <w:highlight w:val="none"/>
        </w:rPr>
        <w:t>的投标活动，郑重承诺本次招投标活动中申报的所有资料都是真实、准确完整的，如发现虚假资料或与事实不符，我方愿付一切法律和经济责任。如我单位中标并与采购单位签订合同，在合同服务期限内承诺如下：</w:t>
      </w:r>
    </w:p>
    <w:p>
      <w:pPr>
        <w:spacing w:line="276" w:lineRule="auto"/>
        <w:ind w:firstLine="420" w:firstLineChars="200"/>
        <w:rPr>
          <w:rFonts w:hAnsi="宋体" w:cstheme="majorEastAsia"/>
          <w:szCs w:val="21"/>
          <w:highlight w:val="none"/>
        </w:rPr>
      </w:pPr>
      <w:r>
        <w:rPr>
          <w:rFonts w:hint="eastAsia" w:hAnsi="宋体" w:cstheme="majorEastAsia"/>
          <w:szCs w:val="21"/>
          <w:highlight w:val="none"/>
        </w:rPr>
        <w:t>一、所供食品均符合《中华人民共和国食品安全法》、《中华人民共和国农产品质量安全法》及《中华人民共和国动物防疫法》等国家标准，保证卫生安全，无毒无害。配送食材质量要求：1、蔬菜类：保持较好的色泽和新鲜度，达到精品菜要求，蔬菜新鲜嫩绿、无黄叶老叶和菜虫，必须通过农药残留成分测试，蔬菜不带根，不带泥。2、肉类：确保是有动物检疫及正规肉联厂屠宰证明的放心肉，肉质新鲜，不打水，无病毒。3、鱼类、海鲜及河鲜类：生猛鲜活，鱼麟刮除，去除内脏、鱼鳃，去除腹内黑膜，肉质新鲜，无病毒，不含有害物质。4、家禽类：有动物检疫证明，表皮光滑，新鲜肥美，不打水。5、蛋类：新鲜，无变质，无臭蛋。5、冻品类：有出厂日期，距保质期半年以上，品质优良、包装完好、无异味、无病毒。7、调味品及粮油类：正规厂家或其代理商，有商标牌号，注明生产日期、产地、保质期、包装规格、有QS标志。8、豆制品类：正规食品厂生产，注明生产日期、产地、保质期。9、卤货类：菜篮子三鸟食品加工厂、色香味美，无异味、腹肉干水、全面烧熟、无病毒、符合卫生要求。10、水果类：个头均匀，无斑点，无破损，果实成熟，味道纯正。</w:t>
      </w:r>
    </w:p>
    <w:p>
      <w:pPr>
        <w:spacing w:line="276" w:lineRule="auto"/>
        <w:ind w:firstLine="420" w:firstLineChars="200"/>
        <w:rPr>
          <w:rFonts w:hAnsi="宋体" w:cstheme="majorEastAsia"/>
          <w:szCs w:val="21"/>
          <w:highlight w:val="none"/>
        </w:rPr>
      </w:pPr>
      <w:r>
        <w:rPr>
          <w:rFonts w:hint="eastAsia" w:hAnsi="宋体" w:cstheme="majorEastAsia"/>
          <w:szCs w:val="21"/>
          <w:highlight w:val="none"/>
        </w:rPr>
        <w:t>二、配送的蔬菜肉类需具有追踪溯源体系，并可追踪溯源。不配送假冒、变质、过期的产品，不得弄虚作假或以次充好，对于不符合质量的品种采购单位有权要求退货或换货。因供应的货物质量达不到国家有关食品安全标准而造成食物中毒或其它后果，经公安机关或卫生防疫部门鉴定属于中标供应商责任的，其产生的一切法律和经济责任全部由我方承担。</w:t>
      </w:r>
    </w:p>
    <w:p>
      <w:pPr>
        <w:spacing w:line="276" w:lineRule="auto"/>
        <w:ind w:firstLine="420" w:firstLineChars="200"/>
        <w:rPr>
          <w:rFonts w:hAnsi="宋体" w:cstheme="majorEastAsia"/>
          <w:szCs w:val="21"/>
          <w:highlight w:val="none"/>
        </w:rPr>
      </w:pPr>
      <w:r>
        <w:rPr>
          <w:rFonts w:hint="eastAsia" w:hAnsi="宋体" w:cstheme="majorEastAsia"/>
          <w:szCs w:val="21"/>
          <w:highlight w:val="none"/>
        </w:rPr>
        <w:t>三、合同服务期限内，我方应根据采购单位需要安排指定数量的专职配送员驻点采购单位指定的食堂，按照目前各食堂的用餐人数和每日订菜数量预估，各点需安排的专职配送员数量如下： 专职配送员应于每日食材送达后，完成当日配送食材的清洗、加工、切配等工作，完成当日工作任务后即可离岗。配送员均为我方正式在职员工，持有健康证，服从采购单位的食堂管理和工作调配。如食堂用餐人数和每日订菜数量发生变化，采购单位有权对配送员人数提出增减需求，中标供应商应对专职配送员安排人数进行增减调配，确保完成每日食材洗切配工作。采购单位可提供初加工操作场地，但我方应服从采购单位的管理，严格遵守国家的有关法律法规。若有违反，首次发现采购单位将予以书面警告；书面警告后再出现同类情况，采购单位有权扣除供货商方当天货款的10％；屡禁不止、情节严重的，采购单位可依法解除服务合同。</w:t>
      </w:r>
    </w:p>
    <w:p>
      <w:pPr>
        <w:spacing w:line="276" w:lineRule="auto"/>
        <w:ind w:firstLine="420" w:firstLineChars="200"/>
        <w:rPr>
          <w:rFonts w:hAnsi="宋体" w:cstheme="majorEastAsia"/>
          <w:szCs w:val="21"/>
          <w:highlight w:val="none"/>
        </w:rPr>
      </w:pPr>
      <w:r>
        <w:rPr>
          <w:rFonts w:hint="eastAsia" w:hAnsi="宋体" w:cstheme="majorEastAsia"/>
          <w:szCs w:val="21"/>
          <w:highlight w:val="none"/>
        </w:rPr>
        <w:t>四、因配送运输中出现人身安全事故，我方独立承担一切刑事、民事责任，与采购单位无关。</w:t>
      </w:r>
    </w:p>
    <w:p>
      <w:pPr>
        <w:spacing w:line="276" w:lineRule="auto"/>
        <w:ind w:firstLine="420" w:firstLineChars="200"/>
        <w:rPr>
          <w:rFonts w:hAnsi="宋体" w:cstheme="majorEastAsia"/>
          <w:szCs w:val="21"/>
          <w:highlight w:val="none"/>
        </w:rPr>
      </w:pPr>
      <w:r>
        <w:rPr>
          <w:rFonts w:hint="eastAsia" w:hAnsi="宋体" w:cstheme="majorEastAsia"/>
          <w:szCs w:val="21"/>
          <w:highlight w:val="none"/>
        </w:rPr>
        <w:t>在合同期限内，如我方无法达到上述承诺事项，采购单位有权追求我方法律责任，有权依法解除供货服务合同。</w:t>
      </w:r>
    </w:p>
    <w:p>
      <w:pPr>
        <w:spacing w:line="276" w:lineRule="auto"/>
        <w:jc w:val="center"/>
        <w:rPr>
          <w:rFonts w:hAnsi="宋体" w:cstheme="majorEastAsia"/>
          <w:szCs w:val="21"/>
          <w:highlight w:val="none"/>
        </w:rPr>
      </w:pPr>
      <w:r>
        <w:rPr>
          <w:rFonts w:hint="eastAsia" w:hAnsi="宋体" w:cstheme="majorEastAsia"/>
          <w:szCs w:val="21"/>
          <w:highlight w:val="none"/>
        </w:rPr>
        <w:t xml:space="preserve">                                                                  </w:t>
      </w:r>
    </w:p>
    <w:p>
      <w:pPr>
        <w:spacing w:line="276" w:lineRule="auto"/>
        <w:jc w:val="center"/>
        <w:rPr>
          <w:rFonts w:hAnsi="宋体" w:cstheme="majorEastAsia"/>
          <w:szCs w:val="21"/>
          <w:highlight w:val="none"/>
        </w:rPr>
      </w:pPr>
    </w:p>
    <w:p>
      <w:pPr>
        <w:spacing w:line="276" w:lineRule="auto"/>
        <w:rPr>
          <w:rFonts w:hAnsi="宋体" w:cstheme="majorEastAsia"/>
          <w:szCs w:val="21"/>
          <w:highlight w:val="none"/>
        </w:rPr>
      </w:pPr>
      <w:r>
        <w:rPr>
          <w:rFonts w:hint="eastAsia" w:hAnsi="宋体" w:cstheme="majorEastAsia"/>
          <w:szCs w:val="21"/>
          <w:highlight w:val="none"/>
        </w:rPr>
        <w:t xml:space="preserve">                               法定代表人或其授权委托人（签名）：</w:t>
      </w:r>
    </w:p>
    <w:p>
      <w:pPr>
        <w:spacing w:line="276" w:lineRule="auto"/>
        <w:ind w:firstLine="3255" w:firstLineChars="1550"/>
        <w:rPr>
          <w:rFonts w:hAnsi="宋体" w:cstheme="majorEastAsia"/>
          <w:szCs w:val="21"/>
          <w:highlight w:val="none"/>
        </w:rPr>
      </w:pPr>
      <w:r>
        <w:rPr>
          <w:rFonts w:hint="eastAsia" w:hAnsi="宋体" w:cstheme="majorEastAsia"/>
          <w:szCs w:val="21"/>
          <w:highlight w:val="none"/>
        </w:rPr>
        <w:t>投标单位（盖公章）：</w:t>
      </w:r>
    </w:p>
    <w:p>
      <w:pPr>
        <w:spacing w:line="276" w:lineRule="auto"/>
        <w:ind w:firstLine="3255" w:firstLineChars="1550"/>
        <w:rPr>
          <w:rFonts w:hAnsi="宋体" w:cstheme="majorEastAsia"/>
          <w:szCs w:val="21"/>
          <w:highlight w:val="none"/>
        </w:rPr>
      </w:pPr>
      <w:r>
        <w:rPr>
          <w:rFonts w:hint="eastAsia" w:hAnsi="宋体" w:cstheme="majorEastAsia"/>
          <w:szCs w:val="21"/>
          <w:highlight w:val="none"/>
        </w:rPr>
        <w:t xml:space="preserve">配送负责人（联系电话）：                                                 </w:t>
      </w:r>
    </w:p>
    <w:p>
      <w:pPr>
        <w:pStyle w:val="585"/>
        <w:spacing w:line="276" w:lineRule="auto"/>
        <w:ind w:left="420" w:hanging="420"/>
        <w:rPr>
          <w:rFonts w:ascii="宋体" w:hAnsi="宋体" w:eastAsia="宋体" w:cstheme="majorEastAsia"/>
          <w:b w:val="0"/>
          <w:bCs/>
          <w:sz w:val="21"/>
          <w:szCs w:val="21"/>
          <w:highlight w:val="none"/>
        </w:rPr>
      </w:pPr>
      <w:r>
        <w:rPr>
          <w:rFonts w:hint="eastAsia" w:ascii="宋体" w:hAnsi="宋体" w:eastAsia="宋体" w:cstheme="majorEastAsia"/>
          <w:sz w:val="21"/>
          <w:szCs w:val="21"/>
          <w:highlight w:val="none"/>
        </w:rPr>
        <w:t xml:space="preserve">                               </w:t>
      </w:r>
      <w:r>
        <w:rPr>
          <w:rFonts w:hint="eastAsia" w:ascii="宋体" w:hAnsi="宋体" w:eastAsia="宋体" w:cstheme="majorEastAsia"/>
          <w:b w:val="0"/>
          <w:bCs/>
          <w:sz w:val="21"/>
          <w:szCs w:val="21"/>
          <w:highlight w:val="none"/>
        </w:rPr>
        <w:t>日期：   年    月</w:t>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bookmarkStart w:id="94" w:name="_Toc152759235"/>
      <w:r>
        <w:rPr>
          <w:highlight w:val="none"/>
        </w:rPr>
        <w:br w:type="page"/>
      </w:r>
    </w:p>
    <w:p>
      <w:pPr>
        <w:pStyle w:val="62"/>
        <w:tabs>
          <w:tab w:val="clear" w:pos="426"/>
        </w:tabs>
        <w:rPr>
          <w:highlight w:val="none"/>
        </w:rPr>
      </w:pPr>
      <w:r>
        <w:rPr>
          <w:rFonts w:hint="eastAsia"/>
          <w:highlight w:val="none"/>
        </w:rPr>
        <w:t>第四章采购合同的签订、履约及验收</w:t>
      </w:r>
      <w:bookmarkEnd w:id="83"/>
      <w:bookmarkEnd w:id="94"/>
    </w:p>
    <w:p>
      <w:pPr>
        <w:tabs>
          <w:tab w:val="clear" w:pos="426"/>
        </w:tabs>
        <w:jc w:val="center"/>
        <w:rPr>
          <w:b/>
          <w:sz w:val="24"/>
          <w:highlight w:val="none"/>
        </w:rPr>
      </w:pPr>
      <w:r>
        <w:rPr>
          <w:rFonts w:hint="eastAsia"/>
          <w:b/>
          <w:sz w:val="24"/>
          <w:highlight w:val="none"/>
        </w:rPr>
        <w:t>一、重要提示</w:t>
      </w:r>
    </w:p>
    <w:p>
      <w:pPr>
        <w:widowControl w:val="0"/>
        <w:shd w:val="clear" w:color="auto" w:fill="auto"/>
        <w:tabs>
          <w:tab w:val="clear" w:pos="426"/>
        </w:tabs>
        <w:adjustRightInd/>
        <w:snapToGrid/>
        <w:ind w:firstLine="420" w:firstLineChars="200"/>
        <w:rPr>
          <w:rFonts w:cs="Times New Roman"/>
          <w:kern w:val="2"/>
          <w:szCs w:val="21"/>
          <w:highlight w:val="none"/>
        </w:rPr>
      </w:pPr>
      <w:bookmarkStart w:id="95" w:name="_Hlk2096823"/>
      <w:r>
        <w:rPr>
          <w:rFonts w:hint="eastAsia" w:cs="Times New Roman"/>
          <w:kern w:val="2"/>
          <w:szCs w:val="21"/>
          <w:highlight w:val="none"/>
        </w:rPr>
        <w:t>（一）</w:t>
      </w:r>
      <w:r>
        <w:rPr>
          <w:rFonts w:hint="eastAsia"/>
          <w:szCs w:val="21"/>
          <w:highlight w:val="none"/>
        </w:rPr>
        <w:t>中标供应商应在中标通知书发出后立即与采购人取得联系。</w:t>
      </w:r>
      <w:r>
        <w:rPr>
          <w:rFonts w:hint="eastAsia" w:cs="Times New Roman"/>
          <w:kern w:val="2"/>
          <w:szCs w:val="21"/>
          <w:highlight w:val="none"/>
        </w:rPr>
        <w:t>中标供应商将于中标通知书发出之日起三十日内，按照招标文件和投标文件内容与采购人签订书面合同，合同书应采用本招标文件规定的合同样本；</w:t>
      </w:r>
    </w:p>
    <w:p>
      <w:pPr>
        <w:widowControl w:val="0"/>
        <w:shd w:val="clear" w:color="auto" w:fill="auto"/>
        <w:tabs>
          <w:tab w:val="clear" w:pos="426"/>
        </w:tabs>
        <w:adjustRightInd/>
        <w:snapToGrid/>
        <w:ind w:firstLine="420" w:firstLineChars="200"/>
        <w:rPr>
          <w:rFonts w:cs="Times New Roman"/>
          <w:kern w:val="2"/>
          <w:szCs w:val="21"/>
          <w:highlight w:val="none"/>
        </w:rPr>
      </w:pPr>
      <w:r>
        <w:rPr>
          <w:rFonts w:hint="eastAsia" w:cs="Times New Roman"/>
          <w:kern w:val="2"/>
          <w:szCs w:val="21"/>
          <w:highlight w:val="none"/>
        </w:rPr>
        <w:t>（二）中标供应商应当按照合同约定履行义务，完成中标项目，不得将中标项目转让（转包）给他人；</w:t>
      </w:r>
    </w:p>
    <w:p>
      <w:pPr>
        <w:widowControl w:val="0"/>
        <w:shd w:val="clear" w:color="auto" w:fill="auto"/>
        <w:tabs>
          <w:tab w:val="clear" w:pos="426"/>
        </w:tabs>
        <w:adjustRightInd/>
        <w:snapToGrid/>
        <w:ind w:firstLine="420" w:firstLineChars="200"/>
        <w:rPr>
          <w:rFonts w:cs="Times New Roman"/>
          <w:kern w:val="2"/>
          <w:szCs w:val="21"/>
          <w:highlight w:val="none"/>
        </w:rPr>
      </w:pPr>
      <w:r>
        <w:rPr>
          <w:rFonts w:hint="eastAsia" w:cs="Times New Roman"/>
          <w:kern w:val="2"/>
          <w:szCs w:val="21"/>
          <w:highlight w:val="none"/>
        </w:rPr>
        <w:t>（三）采购人与中标供应商签订的合同必须遵守本招标文件的合同条件，并且不得更改合同条件。</w:t>
      </w:r>
    </w:p>
    <w:p>
      <w:pPr>
        <w:widowControl w:val="0"/>
        <w:shd w:val="clear" w:color="auto" w:fill="auto"/>
        <w:tabs>
          <w:tab w:val="clear" w:pos="426"/>
        </w:tabs>
        <w:adjustRightInd/>
        <w:snapToGrid/>
        <w:ind w:firstLine="420" w:firstLineChars="200"/>
        <w:rPr>
          <w:rFonts w:cs="Times New Roman"/>
          <w:kern w:val="2"/>
          <w:szCs w:val="21"/>
          <w:highlight w:val="none"/>
        </w:rPr>
      </w:pPr>
      <w:r>
        <w:rPr>
          <w:rFonts w:hint="eastAsia" w:cs="Times New Roman"/>
          <w:kern w:val="2"/>
          <w:szCs w:val="21"/>
          <w:highlight w:val="none"/>
        </w:rPr>
        <w:t>（四）供应商必须诚信投标，对项目需求进行实质性响应。</w:t>
      </w:r>
      <w:bookmarkEnd w:id="95"/>
    </w:p>
    <w:p>
      <w:pPr>
        <w:shd w:val="clear" w:color="auto" w:fill="auto"/>
        <w:tabs>
          <w:tab w:val="clear" w:pos="426"/>
        </w:tabs>
        <w:adjustRightInd/>
        <w:snapToGrid/>
        <w:spacing w:line="240" w:lineRule="auto"/>
        <w:jc w:val="left"/>
        <w:rPr>
          <w:rFonts w:ascii="Times New Roman" w:cs="Times New Roman"/>
          <w:b/>
          <w:kern w:val="2"/>
          <w:sz w:val="24"/>
          <w:highlight w:val="none"/>
        </w:rPr>
      </w:pPr>
    </w:p>
    <w:p>
      <w:pPr>
        <w:shd w:val="clear" w:color="auto" w:fill="auto"/>
        <w:tabs>
          <w:tab w:val="clear" w:pos="426"/>
        </w:tabs>
        <w:adjustRightInd/>
        <w:snapToGrid/>
        <w:spacing w:line="240" w:lineRule="auto"/>
        <w:jc w:val="left"/>
        <w:rPr>
          <w:rFonts w:ascii="Times New Roman" w:cs="Times New Roman"/>
          <w:b/>
          <w:kern w:val="2"/>
          <w:sz w:val="24"/>
          <w:highlight w:val="none"/>
        </w:rPr>
      </w:pPr>
      <w:r>
        <w:rPr>
          <w:rFonts w:ascii="Times New Roman" w:cs="Times New Roman"/>
          <w:b/>
          <w:kern w:val="2"/>
          <w:sz w:val="24"/>
          <w:highlight w:val="none"/>
        </w:rPr>
        <w:br w:type="page"/>
      </w:r>
    </w:p>
    <w:p>
      <w:pPr>
        <w:tabs>
          <w:tab w:val="clear" w:pos="426"/>
        </w:tabs>
        <w:ind w:firstLine="482" w:firstLineChars="200"/>
        <w:jc w:val="center"/>
        <w:rPr>
          <w:b/>
          <w:sz w:val="24"/>
          <w:highlight w:val="none"/>
        </w:rPr>
      </w:pPr>
      <w:r>
        <w:rPr>
          <w:rFonts w:hint="eastAsia"/>
          <w:b/>
          <w:sz w:val="24"/>
          <w:highlight w:val="none"/>
        </w:rPr>
        <w:t>二、合同主要条款及格式</w:t>
      </w:r>
    </w:p>
    <w:bookmarkEnd w:id="71"/>
    <w:bookmarkEnd w:id="72"/>
    <w:p>
      <w:pPr>
        <w:jc w:val="center"/>
        <w:rPr>
          <w:rFonts w:hAnsi="宋体"/>
          <w:b/>
          <w:sz w:val="22"/>
          <w:szCs w:val="21"/>
          <w:highlight w:val="none"/>
        </w:rPr>
      </w:pPr>
      <w:bookmarkStart w:id="96" w:name="_Toc432592818"/>
      <w:bookmarkStart w:id="97" w:name="_Toc398220526"/>
      <w:r>
        <w:rPr>
          <w:rFonts w:hint="eastAsia" w:hAnsi="宋体"/>
          <w:b/>
          <w:sz w:val="22"/>
          <w:szCs w:val="21"/>
          <w:highlight w:val="none"/>
        </w:rPr>
        <w:t>注：仅供参考，具体条款内容由采购单位和中标单位协商确定。</w:t>
      </w:r>
    </w:p>
    <w:p>
      <w:pPr>
        <w:pStyle w:val="43"/>
        <w:rPr>
          <w:highlight w:val="none"/>
        </w:rPr>
      </w:pPr>
    </w:p>
    <w:p>
      <w:pPr>
        <w:pStyle w:val="43"/>
        <w:jc w:val="center"/>
        <w:rPr>
          <w:b/>
          <w:sz w:val="32"/>
          <w:szCs w:val="32"/>
          <w:highlight w:val="none"/>
        </w:rPr>
      </w:pPr>
      <w:r>
        <w:rPr>
          <w:rFonts w:hint="eastAsia"/>
          <w:b/>
          <w:sz w:val="32"/>
          <w:szCs w:val="32"/>
          <w:highlight w:val="none"/>
        </w:rPr>
        <w:t>深圳市消防救援支队机关食堂配送服务合同</w:t>
      </w:r>
    </w:p>
    <w:p>
      <w:pPr>
        <w:pStyle w:val="43"/>
        <w:shd w:val="clear" w:color="auto" w:fill="FFFFFF"/>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采购方：深圳市消防救援支队</w:t>
      </w:r>
    </w:p>
    <w:p>
      <w:pPr>
        <w:pStyle w:val="43"/>
        <w:shd w:val="clear" w:color="auto" w:fill="FFFFFF"/>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地址：深圳市福田区华强北街道红荔路2009号</w:t>
      </w:r>
    </w:p>
    <w:p>
      <w:pPr>
        <w:pStyle w:val="43"/>
        <w:shd w:val="clear" w:color="auto" w:fill="FFFFFF"/>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联系人：                                </w:t>
      </w:r>
    </w:p>
    <w:p>
      <w:pPr>
        <w:pStyle w:val="43"/>
        <w:shd w:val="clear" w:color="auto" w:fill="FFFFFF"/>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联系电话：                             </w:t>
      </w:r>
    </w:p>
    <w:p>
      <w:pPr>
        <w:rPr>
          <w:rFonts w:asciiTheme="majorEastAsia" w:hAnsiTheme="majorEastAsia" w:eastAsiaTheme="majorEastAsia" w:cstheme="majorEastAsia"/>
          <w:szCs w:val="21"/>
          <w:highlight w:val="none"/>
        </w:rPr>
      </w:pPr>
    </w:p>
    <w:p>
      <w:pPr>
        <w:pStyle w:val="32"/>
        <w:rPr>
          <w:rFonts w:asciiTheme="majorEastAsia" w:hAnsiTheme="majorEastAsia" w:eastAsiaTheme="majorEastAsia" w:cstheme="majorEastAsia"/>
          <w:sz w:val="21"/>
          <w:szCs w:val="21"/>
          <w:highlight w:val="none"/>
        </w:rPr>
      </w:pP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中标方：</w:t>
      </w:r>
    </w:p>
    <w:p>
      <w:pPr>
        <w:pStyle w:val="43"/>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法定代表人：                                 </w:t>
      </w:r>
    </w:p>
    <w:p>
      <w:pPr>
        <w:pStyle w:val="43"/>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统一社会信用代码：                       </w:t>
      </w:r>
    </w:p>
    <w:p>
      <w:pPr>
        <w:pStyle w:val="43"/>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地址：                                </w:t>
      </w:r>
    </w:p>
    <w:p>
      <w:pPr>
        <w:pStyle w:val="43"/>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联系人：                                     </w:t>
      </w:r>
    </w:p>
    <w:p>
      <w:pPr>
        <w:pStyle w:val="43"/>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xml:space="preserve">联系电话：                                   </w:t>
      </w:r>
    </w:p>
    <w:p>
      <w:pPr>
        <w:pStyle w:val="43"/>
        <w:rPr>
          <w:rFonts w:asciiTheme="majorEastAsia" w:hAnsiTheme="majorEastAsia" w:eastAsiaTheme="majorEastAsia" w:cstheme="majorEastAsia"/>
          <w:szCs w:val="21"/>
          <w:highlight w:val="none"/>
        </w:rPr>
      </w:pPr>
    </w:p>
    <w:p>
      <w:pPr>
        <w:jc w:val="left"/>
        <w:rPr>
          <w:rFonts w:asciiTheme="majorEastAsia" w:hAnsiTheme="majorEastAsia" w:eastAsiaTheme="majorEastAsia" w:cstheme="majorEastAsia"/>
          <w:szCs w:val="21"/>
          <w:highlight w:val="none"/>
        </w:rPr>
      </w:pP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方委托XXXX公司对“深圳市消防救援支队食堂机关配送服务项目”进行招标采购（招标编号：XXXX）的招标结果。现按照招标文件、投标文件，以及《中华人民共和国民法典》、《中华人民共和国招标投标法》、《中华人民共和国政府采购法》、《中华人民共和国食品安全法》等相关法律、法规的规定，经双方协商一致自愿达成如下协议：</w:t>
      </w:r>
    </w:p>
    <w:p>
      <w:pPr>
        <w:ind w:firstLine="420" w:firstLineChars="200"/>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一、合同金额</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本合同支付上限总金额为</w:t>
      </w:r>
      <w:r>
        <w:rPr>
          <w:rFonts w:hint="eastAsia" w:asciiTheme="majorEastAsia" w:hAnsiTheme="majorEastAsia" w:eastAsiaTheme="majorEastAsia" w:cstheme="majorEastAsia"/>
          <w:szCs w:val="21"/>
          <w:highlight w:val="none"/>
          <w:u w:val="single"/>
        </w:rPr>
        <w:t xml:space="preserve">       元，</w:t>
      </w:r>
      <w:r>
        <w:rPr>
          <w:rFonts w:hint="eastAsia" w:asciiTheme="majorEastAsia" w:hAnsiTheme="majorEastAsia" w:eastAsiaTheme="majorEastAsia" w:cstheme="majorEastAsia"/>
          <w:szCs w:val="21"/>
          <w:highlight w:val="none"/>
        </w:rPr>
        <w:t>本合同项下中标折扣率为</w:t>
      </w:r>
      <w:r>
        <w:rPr>
          <w:rFonts w:hint="eastAsia" w:asciiTheme="majorEastAsia" w:hAnsiTheme="majorEastAsia" w:eastAsiaTheme="majorEastAsia" w:cstheme="majorEastAsia"/>
          <w:szCs w:val="21"/>
          <w:highlight w:val="none"/>
          <w:u w:val="single"/>
        </w:rPr>
        <w:t xml:space="preserve">     </w:t>
      </w:r>
      <w:r>
        <w:rPr>
          <w:rFonts w:hint="eastAsia" w:asciiTheme="majorEastAsia" w:hAnsiTheme="majorEastAsia" w:eastAsiaTheme="majorEastAsia" w:cstheme="majorEastAsia"/>
          <w:szCs w:val="21"/>
          <w:highlight w:val="none"/>
        </w:rPr>
        <w:t>。采购方方在本合同期限内实际向中标方支付的金额按照实际配送金额及相应的折扣率后的结算金额为准，在合同期限内采购方实际向中标方支付的金额最高限度不超过总价款。</w:t>
      </w:r>
    </w:p>
    <w:p>
      <w:pPr>
        <w:ind w:firstLine="420" w:firstLineChars="200"/>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二、签署合同</w:t>
      </w:r>
    </w:p>
    <w:p>
      <w:pPr>
        <w:ind w:firstLine="408"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pacing w:val="-3"/>
          <w:szCs w:val="21"/>
          <w:highlight w:val="none"/>
        </w:rPr>
        <w:t>本项目服务期限为合同签订生效后一年。</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三、履约评价及配送</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（一）履约评价</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中标方保证，在交货前，已对产品质量、规格、性能和数量/重量进行精确和全面的检测，并出具证明产品有相符的证明书和质量检验证书。中标方保证交货时一并提供货物的质量合格凭证等文件。中标方必须接受采购方的考核评价，采购方根据考核结果及相应的法律规定，决定是否延长合同期限。</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（二）配送地点及订单方式</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配送单位由采购方指定(不得超越深圳市行政区范围)，采购方需在送货前一天的下午 6:00之前，以书面(含传真、电邮)或电话方式，向中标方下订单，订单内容应包括但不限于品名、规格、数量、配送的时间和其他特殊要求等。中标方必须在每天六点前将采购方订购的货物送到采购方指定地点，如采购方对配货时间有特殊要求的，中标方必须按采购方要求准时将货送到指定地点。</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配送地点:深圳市消防救援支队，下属的战勤保障处、修理所；</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1.深圳市消防救援支队机关，地点：福田区红荔路2009号；</w:t>
      </w:r>
    </w:p>
    <w:p>
      <w:pPr>
        <w:ind w:firstLine="465"/>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2.战勤保障处，地点：龙华新区梅龙大道与民康路交汇处战勤保障处；</w:t>
      </w:r>
    </w:p>
    <w:p>
      <w:pPr>
        <w:pStyle w:val="43"/>
        <w:tabs>
          <w:tab w:val="left" w:pos="851"/>
        </w:tabs>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3.修理所，地点：深圳市罗湖区莲塘鹏兴路5号。</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四、结算方式</w:t>
      </w:r>
    </w:p>
    <w:p>
      <w:pPr>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供需双方组成价格调查小组，到深圳海吉星国际农产品物流园、福田农产品批发市场和中农网（http://stcp.chinaap.com/）等调研，确定各项物资的市场价，结算时价格=市场价*折扣率。如遇台风、暴雨等不可遇见的原因造成的个别品种及价格需临时做调整的，供应商应事先通知采购人，在采购人确认后方可调整。</w:t>
      </w:r>
    </w:p>
    <w:p>
      <w:pPr>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2.所有物资的报价包括供应产品和产品运输到消防救援支队的服务费、检测费、人工费、管理费、税金等一切将可发生的费用。以人民币为报价结算单位，供应商须开具国家正规发票。</w:t>
      </w:r>
    </w:p>
    <w:p>
      <w:pPr>
        <w:pStyle w:val="32"/>
        <w:tabs>
          <w:tab w:val="left" w:pos="562"/>
          <w:tab w:val="left" w:pos="3372"/>
          <w:tab w:val="left" w:pos="3653"/>
        </w:tabs>
        <w:ind w:firstLine="422" w:firstLineChars="20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本项目约定的配送费用每月结算一次，中标供应商提供经双方签字的上月送货清单送货清单应当一式两份，配送当天由采购方接收人签字，双方应当在次月10号前完成上月货款的结算，结算完成后双方签订结算单，中标人根据结算单确定的金额提供合法等额有效发票,采购人收到发票后在次月30日前完成货款的支付。</w:t>
      </w:r>
    </w:p>
    <w:p>
      <w:pPr>
        <w:pStyle w:val="32"/>
        <w:ind w:firstLine="420" w:firstLineChars="20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val="0"/>
          <w:bCs w:val="0"/>
          <w:sz w:val="21"/>
          <w:szCs w:val="21"/>
          <w:highlight w:val="none"/>
        </w:rPr>
        <w:t>4.中标方(签章)：</w:t>
      </w:r>
    </w:p>
    <w:p>
      <w:pPr>
        <w:pStyle w:val="32"/>
        <w:ind w:firstLine="420" w:firstLineChars="20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val="0"/>
          <w:bCs w:val="0"/>
          <w:sz w:val="21"/>
          <w:szCs w:val="21"/>
          <w:highlight w:val="none"/>
        </w:rPr>
        <w:t>开户银行:</w:t>
      </w:r>
    </w:p>
    <w:p>
      <w:pPr>
        <w:pStyle w:val="32"/>
        <w:ind w:firstLine="420" w:firstLineChars="20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val="0"/>
          <w:bCs w:val="0"/>
          <w:sz w:val="21"/>
          <w:szCs w:val="21"/>
          <w:highlight w:val="none"/>
        </w:rPr>
        <w:t>账号：</w:t>
      </w:r>
    </w:p>
    <w:p>
      <w:pPr>
        <w:pStyle w:val="32"/>
        <w:ind w:firstLine="420" w:firstLineChars="20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val="0"/>
          <w:bCs w:val="0"/>
          <w:sz w:val="21"/>
          <w:szCs w:val="21"/>
          <w:highlight w:val="none"/>
        </w:rPr>
        <w:t>中标方应对其在本合同签署处向采购方提供的银行账户信息的真实性、合法性、有效性、准确性、完整性负责。中标方需变更其银行账户的，应当提前5日以书面方式通知采购方。如因中标方开具发票迟延，或者中标方提供的银行账户信息不准确或中标方不适当、不及时通知采购方，导致费用的支付发生任何不利后果的，由中标方承担全部责任。</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五、质量要求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（一）食堂主副食品供应货物验收标准</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为保证吃得安全，吃得放心，对厨房所采购的一切主副食品，制定以下验收标准：</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1．供应商应严格执行《中华人民共和国食品安全法》、《中华人民共和国食品安全法实施条例》等法律法规的规定，并全面履行本合同以及招投标文件所约定的义务。</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2．供应商必须遵守国家和地方有关环境和卫生的标准，严禁供应腐烂变质的食品，保持货品的新鲜。供应商应随时按招标人要求提供各类货物检测报告。</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3．供应商必须无条件退换采购人认为不合要求的物品，并及时加以更正，确保能正常就餐。</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4．供应商承诺管理好供应商的员工，并自行负责送货人员的一切法律责任。</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5．所供食品的质量要求：所供食品均符合《中华人民共和国食品安全法》、《中华人民共和国农产品质量安全法》及《中华人民共和国动物防疫法》等国家标准。</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6．配送货物品种：蔬菜类、鲜肉类、水产类、水果、粮油品、副食品、干货类及调配料等主副食品以及洗涤等配套用品。</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（1）肉类要求（含生鲜、冻品、鱼类等）</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a、所供货物应保持较好的外观和质量等级，符合国家食品部门的有关标准，保证无异味、无霉烂变质，肉类保证来源于正规肉屠宰场，供货时须提交屠宰场的验收单及当批次有效的动物检疫合格证复印件（原件备查），新鲜肉确保每日新鲜，为当天深圳市正规屠宰场宰杀的新鲜肉；冷冻肉要求肉体冻实而坚硬，无化冻现象，肉质紧密而有弹性，色泽均匀，不粘手，交货时干净、新鲜、无异味；冷冻鱼类要求鱼眼睛清亮，角膜透明，鳞片上覆有冻结的透明黏液层，皮肤天然色泽明显。</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b、所有货物规格符合深圳市消防救援支队提交的日采购计划中明确的具体需求。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c、冷冻禽类食品解冻后净重量不少于90％，冷冻肉类食品解冻后净重量不少于92%，冷冻水产类食品解冻后净重量不少于82%，解冻时间为4小时以内（室温 20℃）。所有冷冻食品要求清晰列出产品品牌、规格、类型、包装方式、包装净重、含冰量等相关参数。</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d、各供应商提供猪、牛肉类、家禽类及肉制品应有《卫生检疫报告》、《产品合格证》资质证明。</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（2）蔬菜类要求（含水果）</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中标人每天的供应按深圳市消防救援支队提出的品种要求和计划数量进行供应。属季节问题，若出现品种不能满足采购人需求的情况，可与采购人协商调换相应类别的品种（按叶菜、瓜菜等进行分类）。</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货物质量要求：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从蔬菜色泽看，各种蔬菜都应具有本品种固有的颜色，大多数有发亮的光泽，以此显示蔬菜的成熟度及鲜嫩程度。</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从蔬菜气味看，多数蔬菜具有清馨、甘辛香、甜酸香等气味，可凭嗅觉识别不同品种的质量，不允许有腐烂变质的亚硝酸盐味和其他异常气味。</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从蔬菜滋味看，因品种不同而各异，多数蔬菜滋味甘淡、甜酸、清爽鲜美，少数具有辛酸、苦涩等特殊风味以刺激食欲，如失去本品种原有的滋味即为异常。</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从蔬菜形态看，应尽量避免由于客观因素而造成的各种非正常、不新鲜的蔬菜，例如萎蔫、枯塌、损伤、病变、虫害侵蚀等引起的形态异常等。</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（3）干货类要求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a、供应产品质量要求：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供应方所提供产品质量必须要符合行业标准要求，不得有掺假、变质、变味、过期等现象出现，严禁伪劣、假冒、无证不合格物品进入仓库。</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b、干货类质量要求：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（4）调料类要求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定型包装、质保期内、有SC或QS标志。</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（5）食用油类要求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来源于正规油脂公司。并提供贴有卫生许可验证和商标及地址、电话、保质期内食用产品。</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（6）豆制品类要求</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来源于正规食品公司，保质期内。</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8、大米须当年出产，正规厂家出品,提供符合国家级质量认证和商标及地址、电话、在保质期内。</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供货商应严格按照合同规定标准运送食物，如送的货物不符合要求，采购方有权拒收，并扣除当日应给付货款的30%，中标方应当无理由调换不合格的货物，再次发生此类情况，采购方有权直接解除合同，不予支付当日配送的食品价款，且中标方需承担向采购方支付本项目中标金额的20%的违约金的违约责任。</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10、中标方指派的负责本项目服务工作的人员必须保证持有符合条件的健康证，且所有人员均符合招标文件所要求的标准。</w:t>
      </w:r>
    </w:p>
    <w:p>
      <w:pPr>
        <w:shd w:val="clear" w:color="auto" w:fill="FFFFFF"/>
        <w:ind w:firstLine="420" w:firstLineChars="200"/>
        <w:jc w:val="left"/>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11、中标方配送的食品必须完全符合食品安全相关法律规定的安全和质量标准及招标文件中要求的保质期内及其他质量要求和标准。</w:t>
      </w:r>
    </w:p>
    <w:p>
      <w:pPr>
        <w:shd w:val="clear" w:color="auto" w:fill="FFFFFF"/>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食堂主副食品供应货物验收考核表</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深圳市消防救援支队食堂主副食品供应货物验收考核表</w:t>
      </w:r>
    </w:p>
    <w:p>
      <w:pPr>
        <w:spacing w:line="560" w:lineRule="exact"/>
        <w:ind w:firstLine="630" w:firstLineChars="300"/>
        <w:jc w:val="left"/>
        <w:rPr>
          <w:highlight w:val="none"/>
        </w:rPr>
      </w:pPr>
      <w:r>
        <w:rPr>
          <w:rFonts w:hint="eastAsia" w:asciiTheme="majorEastAsia" w:hAnsiTheme="majorEastAsia" w:eastAsiaTheme="majorEastAsia" w:cstheme="majorEastAsia"/>
          <w:szCs w:val="21"/>
          <w:highlight w:val="none"/>
        </w:rPr>
        <w:t>供货（签字）：        收货（签字）：                      年  月  日</w:t>
      </w:r>
    </w:p>
    <w:tbl>
      <w:tblPr>
        <w:tblStyle w:val="8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24"/>
        <w:gridCol w:w="765"/>
        <w:gridCol w:w="638"/>
        <w:gridCol w:w="1082"/>
        <w:gridCol w:w="2265"/>
        <w:gridCol w:w="128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食品</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种类</w:t>
            </w:r>
          </w:p>
        </w:tc>
        <w:tc>
          <w:tcPr>
            <w:tcW w:w="824"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订货</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时间</w:t>
            </w:r>
          </w:p>
        </w:tc>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供货</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时间</w:t>
            </w:r>
          </w:p>
        </w:tc>
        <w:tc>
          <w:tcPr>
            <w:tcW w:w="638"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订货</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数量</w:t>
            </w:r>
          </w:p>
        </w:tc>
        <w:tc>
          <w:tcPr>
            <w:tcW w:w="1082"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供货</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数量</w:t>
            </w:r>
          </w:p>
        </w:tc>
        <w:tc>
          <w:tcPr>
            <w:tcW w:w="22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订货质量标准</w:t>
            </w:r>
          </w:p>
        </w:tc>
        <w:tc>
          <w:tcPr>
            <w:tcW w:w="1288"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供货等级</w:t>
            </w:r>
          </w:p>
        </w:tc>
        <w:tc>
          <w:tcPr>
            <w:tcW w:w="89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处理</w:t>
            </w:r>
          </w:p>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大米</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88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当年出产，正规厂家出品，提供符合国家级质量认证和商标及地址、电话、在保质期内。</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蔬菜</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88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来自大型“无公害”蔬菜基地，送货前12小时收成，提供当天检测检验报告书及《无公害叶菜类检测记录表》，保持较好色泽及新鲜度，经初步整理，除去泥、沙、黄叶、烂叶及老叶后合格率为85%。</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冷冻类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88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正规厂家生产，保持较好外观，无味、肉质好，达到相应等级，须在保质期内。</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鱼类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88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淡水鱼验收前必须是活的，海鱼必须是冰鲜新鲜的。无味、肉感好，如要求送活海鲜类货品，必须要配有充气装备及海鲜配送车服务。</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肉类</w:t>
            </w:r>
          </w:p>
        </w:tc>
        <w:tc>
          <w:tcPr>
            <w:tcW w:w="824"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w:t>
            </w: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按时（）超时（）</w:t>
            </w:r>
          </w:p>
        </w:tc>
        <w:tc>
          <w:tcPr>
            <w:tcW w:w="63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w:t>
            </w: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不足（）</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超量（）</w:t>
            </w:r>
          </w:p>
        </w:tc>
        <w:tc>
          <w:tcPr>
            <w:tcW w:w="22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来源于深圳市正规肉屠宰场，供货时须提交屠宰场的验收单及当批次有效的动物检疫合格证复印件（原件备查）</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合格（）</w:t>
            </w:r>
            <w:r>
              <w:rPr>
                <w:rFonts w:hint="eastAsia" w:asciiTheme="majorEastAsia" w:hAnsiTheme="majorEastAsia" w:eastAsiaTheme="majorEastAsia" w:cstheme="majorEastAsia"/>
                <w:szCs w:val="21"/>
                <w:highlight w:val="none"/>
              </w:rPr>
              <w:br w:type="textWrapping"/>
            </w:r>
            <w:r>
              <w:rPr>
                <w:rFonts w:hint="eastAsia" w:asciiTheme="majorEastAsia" w:hAnsiTheme="majorEastAsia" w:eastAsiaTheme="majorEastAsia" w:cstheme="majorEastAsia"/>
                <w:szCs w:val="21"/>
                <w:highlight w:val="none"/>
              </w:rPr>
              <w:t>不合格（）</w:t>
            </w:r>
          </w:p>
        </w:tc>
        <w:tc>
          <w:tcPr>
            <w:tcW w:w="89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禽类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88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来源于大型家禽供应场，并提供当天当批禽类《出县境动物检疫合格证明》。必须是送货前12小时内屠宰好的新鲜鸡、鸭。</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蛋类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56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正规的大型厂家出品，新鲜无污染。并提供贴有卫生许可验证和商标及地址、电话、保质期内的产品。</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河粉及豆制品类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56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由深圳市正规食品公司出品的货物，保持较好外观，达到相应等级，在保质期内。</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调料及干货类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56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正规厂家生产，保持较好外观，达到相应等级，并提供贴有卫生许可验收和商标及地址、电话、在保质期内食用产品。</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油类</w:t>
            </w:r>
          </w:p>
        </w:tc>
        <w:tc>
          <w:tcPr>
            <w:tcW w:w="824" w:type="dxa"/>
            <w:vAlign w:val="center"/>
          </w:tcPr>
          <w:p>
            <w:pPr>
              <w:ind w:firstLine="560"/>
              <w:jc w:val="center"/>
              <w:rPr>
                <w:rFonts w:asciiTheme="majorEastAsia" w:hAnsiTheme="majorEastAsia" w:eastAsiaTheme="majorEastAsia" w:cstheme="majorEastAsia"/>
                <w:szCs w:val="21"/>
                <w:highlight w:val="none"/>
              </w:rPr>
            </w:pPr>
          </w:p>
        </w:tc>
        <w:tc>
          <w:tcPr>
            <w:tcW w:w="765"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按时（）</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超时（）</w:t>
            </w:r>
          </w:p>
        </w:tc>
        <w:tc>
          <w:tcPr>
            <w:tcW w:w="638" w:type="dxa"/>
            <w:vAlign w:val="center"/>
          </w:tcPr>
          <w:p>
            <w:pPr>
              <w:ind w:firstLine="560"/>
              <w:jc w:val="center"/>
              <w:rPr>
                <w:rFonts w:asciiTheme="majorEastAsia" w:hAnsiTheme="majorEastAsia" w:eastAsiaTheme="majorEastAsia" w:cstheme="majorEastAsia"/>
                <w:szCs w:val="21"/>
                <w:highlight w:val="none"/>
              </w:rPr>
            </w:pPr>
          </w:p>
        </w:tc>
        <w:tc>
          <w:tcPr>
            <w:tcW w:w="1082"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按量（）</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不足（）</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超量（）</w:t>
            </w:r>
          </w:p>
        </w:tc>
        <w:tc>
          <w:tcPr>
            <w:tcW w:w="2265" w:type="dxa"/>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由深圳市正规油脂公司出品，保持较好外观，达到相应等级，并提供贴有卫生许可验收和商标及地址、电话、在保质期内。</w:t>
            </w:r>
          </w:p>
        </w:tc>
        <w:tc>
          <w:tcPr>
            <w:tcW w:w="1288" w:type="dxa"/>
            <w:vAlign w:val="center"/>
          </w:tcPr>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优良（）</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合格（）</w:t>
            </w:r>
          </w:p>
          <w:p>
            <w:pP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不合格（）</w:t>
            </w:r>
          </w:p>
        </w:tc>
        <w:tc>
          <w:tcPr>
            <w:tcW w:w="895" w:type="dxa"/>
            <w:vAlign w:val="center"/>
          </w:tcPr>
          <w:p>
            <w:pPr>
              <w:ind w:firstLine="560"/>
              <w:jc w:val="center"/>
              <w:rPr>
                <w:rFonts w:asciiTheme="majorEastAsia" w:hAnsiTheme="majorEastAsia" w:eastAsiaTheme="majorEastAsia" w:cs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备注</w:t>
            </w:r>
          </w:p>
        </w:tc>
        <w:tc>
          <w:tcPr>
            <w:tcW w:w="7757" w:type="dxa"/>
            <w:gridSpan w:val="7"/>
            <w:vAlign w:val="center"/>
          </w:tcPr>
          <w:p>
            <w:pPr>
              <w:ind w:firstLine="56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所有供应食物单位必须营业执照、卫生许可证、产品检验报告三证齐全。此清单一式两份，签字确认，作为供货和收货凭证。</w:t>
            </w:r>
          </w:p>
        </w:tc>
      </w:tr>
    </w:tbl>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六、送货时间及验收</w:t>
      </w:r>
    </w:p>
    <w:p>
      <w:pPr>
        <w:pStyle w:val="299"/>
        <w:numPr>
          <w:ilvl w:val="0"/>
          <w:numId w:val="36"/>
        </w:numPr>
        <w:ind w:firstLineChars="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送货时间</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上午6:00前，将采购方所订的货物送至消防救援支队食堂、支队战勤保障处和修理所，如验收不合格，中标方必须无条件更换，并将符合要求的食品于一个小时内重新送货上门，若送货迟到一小时以上，视为造成严重后果，采购方将提出一次书面警告，并要求中标方作出书面承诺，并作出整改，再次发生此类情况，甲采购方将直接与中标方解除供货合同，并要求中标方承担违约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（二）交货和验收</w:t>
      </w:r>
    </w:p>
    <w:p>
      <w:pPr>
        <w:pStyle w:val="43"/>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1.中标方应按照本合同约定的时间和方式向采购方交付货物，交货地点由采购方指定。因交货产生的费用由中标方自行承担。</w:t>
      </w:r>
    </w:p>
    <w:p>
      <w:pPr>
        <w:pStyle w:val="43"/>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2.包装必须与运输方式相适应，包装方式的确定及包装费用均由中标方负责；由于不恰当的包装而造成货物在运输过程中有任何损坏、丢失由中标方负责。包装应足以承受整个过程中的运输、转运、装卸、存储等，充分考虑到运输途中的各种情况(如暴露于恶劣气候等)，以及露天、潮湿等恶劣环境存放的需要。备品备件应分别包装，并在包装箱外加以注明其用处。包装费、运费已包含在合同价内。</w:t>
      </w:r>
    </w:p>
    <w:p>
      <w:pPr>
        <w:pStyle w:val="43"/>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3.中标方交付的货物应当完全符合甲采购方订单要求的品名、数量及招投标文件所规定的货物、数量、质量和规格要求。中标方提供的货物不符合招投标文件和合同规定的，采购方有权拒收货物，由此引起的包括但不限于货物毁损、丢失及产生一切费用的风险，由中标方承担。</w:t>
      </w:r>
    </w:p>
    <w:p>
      <w:pPr>
        <w:pStyle w:val="43"/>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4.中标方在运输、安装等过程中应对自身的安全生产负责，若在运输、安装等过程中发生的任何事故（包括但不限于中标方人员人身损害、财产损失等），采购方不承担任何责任；因中标方或其人员原因给第三人造成人身、财产损失或者中标方与其人员发生劳动、劳务、侵权等纠纷的，均与采购方无关，由中标方自行解决并承担全部法律责任。</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七、权利义务条款</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（一）采购方权利与义务</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1.采购方有权要求中标方按照合同约定按时按量提供符合安全卫生标准的配送货品。</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2.付款时采购方有权要求中标方提供正规税务发票，中标方以各种理由不提供发票的，采购方可延时或拒绝付款。</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3.采购方应按合同约定结算费用并付款。</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4.采购方有权不定期对中标方的配送场所、种植养殖基地等进行检查。</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（二）中标方权利义务</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1.中标方应严格执行《中华人民共和国食品安全法》、《中华人民共和国食品安全法实施条例》等法律法规的规定，并全面履行本合同所约定的义务;</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2.中标方必须遵守国家和地方有关环境和卫生的标准，严禁供应腐烂变质的食品，保持货品的新鲜。</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3.中标方应随时按甲采购方要求提供各类货物检测报告。</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4.中标方必须无条件退货甲采购方认为不合要求的物品，并及时加以更换，确保甲采购方能正常就餐。</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5.中标方工作人员和配送人员应当身体健康，并具有食品卫生从业人员健康合格证明。</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6.中标方有权要求甲采购方按合同约定及时结算费用，但每次要求甲采购方结算费用前，中标方应先向甲采购方提供正规的发票。</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7.中标方承诺管理好中标方的员工，并自行负责送货人员的一切法律责任。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8.此招标项目中标后不得转包或分包，一经发现取消供应商中标资格吗，并承担因此解除合同的违约责任。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9.要求所送肉类、海鲜类必须保鲜运送。</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10.因甲采购方单位有特殊情形需要临时加餐的，中标方应按照甲采购方要求增加配送甲采购方要求的食品，中标方应当给予配合。</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11.要求送货清单每一项食材名称前面备注食材编码，送货清单食材名称需与食材编码表保持一致。</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12.采购方后期遇到的相关问题，可提出合理的建议或要求。</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八、合同终止与解除</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试供期：合同签订日为试供期起始日，试供期为30天，主要考察供货方的货物质量、服务、信誉等方面、试供期满且经甲采购方综合考察认为合格的，合同继续执行:若试供期间甲采购方认为中标方的服务、货物质量等不符合要求，采购方可终止合同。</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2.在供货过程中，中标方所供货物没有满足采购方需求时，采购方可随时提出投诉，6个月时间内采购方投诉超过3次(含3次)，采购方有权单方解除本合同。</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3.每月20日至30日为结账期，若因中标方的原因不能按时结账，采购方不承担逾期付款的违约责任，且中标方应当继续按时按量按质进行配送，或者采购方有权单方解除本合同，并报相关监管部门备案。</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4.任何一方因自身原因需终合同时，应提前一个月书面通知对方经双方协商一致后，可以终止本合同。</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九、违约责任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1.中标方如未能按时向甲=采购方配送物品，中标方应承担责任。中标方遇到不可抗力因素，经双方确认确实发生导致中标方不能按时配送物品的不可抗力的，中标方不承担责任。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中标方必须遵守食品配送行业相关法律法规，如果因中标方货物质量达不到安全标准造成采购方单位就餐人员食物中毒或其他后果，经卫生防疫部门鉴定，属中标方责任，中标方须立即派遣专人跟进，并承担全部法律责任及作出全部的经济赔偿，采购方有权终止合同，并要求中标方支付中标金额的30%的违约金，且中标方须赔偿就餐人员的损失，情节严重将依法追究中标方刑事责任。</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3、配送时，无特殊原因所有配送点中标方配送延误30分钟以上，一次口头警告，二次扣当天货款的10%，三次采购方可解除供货合同，扣除当月货款10%，采购单位决定是否由排名第二的中标候选人替补。</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中标方配送食品出现缺斤短两、弄虚作假或出现临保、假冒、变质、过期产品等不符合质量要求的情况时，中标方需对不符合质量要求的货物进行退货退款，并且在合同履行期间，此情况出现一次口头警告，二次扣当天货款的 10%，三次采购方可解除供货合同。</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5.若采购方发现送货清单、价格表与实际送达货物不相符时，采购方有权要求中标方及时更换，并扣除当天货款的 10%</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6.如遇特殊情况，中标方在没有书面通知得到采购方允许后，无故调价，发现一次采购方可解除供货合同。</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十、不可抗力</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本合同任何一方由于不可抗力事件影响而不能履行本合同时，经双方确认确实发生导致合同不能履行的不可抗力的，双方应当根据不可抗力的发生对合同履行时间的影响以及采购方需求，双方可以协商延迟合同履行期限，其延长的期限应相当于事件所影响的时间，或者采购方有权要求解除合同，双方互不追究违约责任。不可抗力事件系指双方在缔结本合同时所不能预见的，并且其发生及后果是无法避免和克服的事件，诸如严重的自然灾害和灾难（如台风、洪水、地震）、战争、罢工、叛乱、动乱等。</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因不可抗力事件受阻一方应在不可抗力事件发生后，尽快通知对方，并于事件发生后14天内将有关证明文件用特快专递或挂号信寄给对方审阅确认，邮寄地址为本合同签署处双方确认的地址。一旦不可抗力事件的影响持续60天以上，双方应通过友好协商在合理的时间内达成进一步履行合同的协议或解除合同。</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十一、争议的解决</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1.如甲中标双方在履行合同时发生纠纷，应协商解决，协商不成的双方同意在采购方所在地人民法院诉讼解决；</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2.涉及采购单位与中标方发生的经济纠纷，采购方可以协助调解。如调解无效，由中标方与采购单位按有关规定处理，采购方不承担任何责任，且不得影响采购方的正常配送需求。</w:t>
      </w:r>
    </w:p>
    <w:p>
      <w:pPr>
        <w:ind w:firstLine="465"/>
        <w:jc w:val="left"/>
        <w:outlineLvl w:val="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十二、合同变更与终止</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如果中标方未能在协议规定的限期或采购方同意延长的限期内提供部分或全部货物，采购方可向中标方人发出书面的违约通知书，提出终止部分或全部协议。采购方可在任何时候出于自身的便利向中标方发出书面通知终止部分合同，采购方在合同总价中扣除该终止部分货物的价款，并不再对中标方作出额外赔偿。如中标方的投标文件的条款与本合同主文条款冲突，以最有利于采购方的条款为准。</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其他约定事项，本合同履行期间，双方在不违背招标文件规定的前提下，经双方协商同意后，可对本合同条款进行适当修改或补充。</w:t>
      </w:r>
    </w:p>
    <w:p>
      <w:pPr>
        <w:ind w:firstLine="465"/>
        <w:jc w:val="left"/>
        <w:outlineLvl w:val="0"/>
        <w:rPr>
          <w:rFonts w:asciiTheme="majorEastAsia" w:hAnsiTheme="majorEastAsia" w:eastAsiaTheme="majorEastAsia" w:cstheme="majorEastAsia"/>
          <w:szCs w:val="21"/>
          <w:highlight w:val="none"/>
        </w:rPr>
      </w:pPr>
      <w:bookmarkStart w:id="98" w:name="_Hlk57282897"/>
      <w:bookmarkEnd w:id="98"/>
      <w:r>
        <w:rPr>
          <w:rFonts w:hint="eastAsia" w:asciiTheme="majorEastAsia" w:hAnsiTheme="majorEastAsia" w:eastAsiaTheme="majorEastAsia" w:cstheme="majorEastAsia"/>
          <w:szCs w:val="21"/>
          <w:highlight w:val="none"/>
        </w:rPr>
        <w:t>十三、合同生效及其他</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下列文件均为本合同的组成部分：</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（1）XXXX 号招标文件、答疑及补充通知；</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（2）中标方的投标文件；</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（3）中标通知书；</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（4）附件一：授权委托书；</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（5）附件二：中小企业声明函；</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（6）本合同执行双方共同签署的补充与修正文件。</w:t>
      </w:r>
    </w:p>
    <w:p>
      <w:pPr>
        <w:ind w:firstLine="420" w:firstLineChars="200"/>
        <w:jc w:val="left"/>
        <w:rPr>
          <w:rFonts w:asciiTheme="majorEastAsia" w:hAnsiTheme="majorEastAsia" w:eastAsiaTheme="majorEastAsia" w:cstheme="majorEastAsia"/>
          <w:szCs w:val="21"/>
          <w:highlight w:val="none"/>
        </w:rPr>
      </w:pPr>
      <w:bookmarkStart w:id="99" w:name="_Hlk57284327"/>
      <w:bookmarkEnd w:id="99"/>
      <w:r>
        <w:rPr>
          <w:rFonts w:hint="eastAsia" w:asciiTheme="majorEastAsia" w:hAnsiTheme="majorEastAsia" w:eastAsiaTheme="majorEastAsia" w:cstheme="majorEastAsia"/>
          <w:szCs w:val="21"/>
          <w:highlight w:val="none"/>
        </w:rPr>
        <w:t>本合同壹式肆份，采购方  叁  份，中标方  壹  份，具有同等法律效力。本合同自双方法定代表人（或授权代表）签字并加盖公章之日起生效，双方权利义务履行完毕之日起终止。</w:t>
      </w:r>
    </w:p>
    <w:p>
      <w:pPr>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本协议条款如有未尽事宜，双方可根据具体情况结合有关规定协商议定补充条款，自双方法定代表人（或授权代表）签字并加盖公章之日起生效，与本协议有同等效力。</w:t>
      </w:r>
    </w:p>
    <w:p>
      <w:pPr>
        <w:ind w:left="1050" w:hanging="1050" w:hangingChars="5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采购方（盖章）：深圳市消防救援支队   中标方（盖章）：</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法定代表人：                            法定代表人：</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委托代理人：                            委托代理人：</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联系方式：                              联系方式：</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签订日期：                              签订日期：</w:t>
      </w:r>
    </w:p>
    <w:p>
      <w:pPr>
        <w:pStyle w:val="43"/>
        <w:ind w:firstLine="420" w:firstLineChars="200"/>
        <w:rPr>
          <w:rFonts w:hAnsi="宋体" w:cs="仿宋_GB2312"/>
          <w:szCs w:val="21"/>
          <w:highlight w:val="none"/>
        </w:rPr>
      </w:pPr>
    </w:p>
    <w:p>
      <w:pPr>
        <w:pStyle w:val="62"/>
        <w:tabs>
          <w:tab w:val="clear" w:pos="426"/>
        </w:tabs>
        <w:rPr>
          <w:highlight w:val="none"/>
        </w:rPr>
      </w:pPr>
      <w:r>
        <w:rPr>
          <w:highlight w:val="none"/>
        </w:rPr>
        <w:br w:type="page"/>
      </w:r>
      <w:bookmarkStart w:id="100" w:name="_Toc152759236"/>
      <w:r>
        <w:rPr>
          <w:rFonts w:hint="eastAsia"/>
          <w:highlight w:val="none"/>
        </w:rPr>
        <w:t>第五章投标文件格式、附件</w:t>
      </w:r>
      <w:bookmarkEnd w:id="96"/>
      <w:bookmarkEnd w:id="97"/>
      <w:bookmarkEnd w:id="100"/>
    </w:p>
    <w:p>
      <w:pPr>
        <w:tabs>
          <w:tab w:val="clear" w:pos="426"/>
        </w:tabs>
        <w:spacing w:line="276" w:lineRule="auto"/>
        <w:rPr>
          <w:highlight w:val="none"/>
        </w:rPr>
      </w:pPr>
      <w:r>
        <w:rPr>
          <w:rStyle w:val="128"/>
          <w:rFonts w:hint="eastAsia" w:ascii="宋体" w:eastAsia="宋体"/>
          <w:sz w:val="24"/>
          <w:highlight w:val="none"/>
        </w:rPr>
        <w:t>特别提醒：</w:t>
      </w:r>
      <w:r>
        <w:rPr>
          <w:rFonts w:hint="eastAsia"/>
          <w:highlight w:val="none"/>
        </w:rPr>
        <w:t>投标供应商在编辑投标文件时，应严格按照招标文件提供的格式进行编写，因未按要求编写导致投标文件不予受理、无效标或废标的，一切后果由供应商自行承担。</w:t>
      </w:r>
    </w:p>
    <w:p>
      <w:pPr>
        <w:tabs>
          <w:tab w:val="clear" w:pos="426"/>
        </w:tabs>
        <w:spacing w:line="276" w:lineRule="auto"/>
        <w:rPr>
          <w:highlight w:val="none"/>
        </w:rPr>
      </w:pPr>
    </w:p>
    <w:p>
      <w:pPr>
        <w:tabs>
          <w:tab w:val="clear" w:pos="426"/>
        </w:tabs>
        <w:spacing w:line="276" w:lineRule="auto"/>
        <w:rPr>
          <w:highlight w:val="none"/>
        </w:rPr>
      </w:pPr>
    </w:p>
    <w:p>
      <w:pPr>
        <w:tabs>
          <w:tab w:val="clear" w:pos="426"/>
        </w:tabs>
        <w:spacing w:line="276" w:lineRule="auto"/>
        <w:rPr>
          <w:highlight w:val="none"/>
        </w:rPr>
      </w:pPr>
      <w:r>
        <w:rPr>
          <w:rFonts w:hint="eastAsia"/>
          <w:highlight w:val="none"/>
        </w:rPr>
        <w:t>投标文件组成：</w:t>
      </w:r>
    </w:p>
    <w:p>
      <w:pPr>
        <w:tabs>
          <w:tab w:val="clear" w:pos="426"/>
        </w:tabs>
        <w:spacing w:line="276" w:lineRule="auto"/>
        <w:rPr>
          <w:highlight w:val="none"/>
        </w:rPr>
      </w:pPr>
    </w:p>
    <w:p>
      <w:pPr>
        <w:tabs>
          <w:tab w:val="clear" w:pos="426"/>
        </w:tabs>
        <w:spacing w:line="276" w:lineRule="auto"/>
        <w:rPr>
          <w:highlight w:val="none"/>
        </w:rPr>
      </w:pPr>
      <w:r>
        <w:rPr>
          <w:rFonts w:hint="eastAsia"/>
          <w:highlight w:val="none"/>
        </w:rPr>
        <w:t>密封袋封条格式</w:t>
      </w:r>
    </w:p>
    <w:p>
      <w:pPr>
        <w:tabs>
          <w:tab w:val="clear" w:pos="426"/>
        </w:tabs>
        <w:spacing w:line="276" w:lineRule="auto"/>
        <w:rPr>
          <w:highlight w:val="none"/>
        </w:rPr>
      </w:pPr>
      <w:r>
        <w:rPr>
          <w:rFonts w:hint="eastAsia"/>
          <w:highlight w:val="none"/>
        </w:rPr>
        <w:t>投标文件封面格式</w:t>
      </w:r>
    </w:p>
    <w:p>
      <w:pPr>
        <w:tabs>
          <w:tab w:val="clear" w:pos="426"/>
        </w:tabs>
        <w:spacing w:line="276" w:lineRule="auto"/>
        <w:rPr>
          <w:highlight w:val="none"/>
        </w:rPr>
      </w:pPr>
      <w:r>
        <w:rPr>
          <w:rFonts w:hint="eastAsia"/>
          <w:highlight w:val="none"/>
        </w:rPr>
        <w:t>目录（目录格式自定）</w:t>
      </w:r>
    </w:p>
    <w:p>
      <w:pPr>
        <w:tabs>
          <w:tab w:val="clear" w:pos="426"/>
        </w:tabs>
        <w:spacing w:line="276" w:lineRule="auto"/>
        <w:rPr>
          <w:highlight w:val="none"/>
        </w:rPr>
      </w:pPr>
      <w:r>
        <w:rPr>
          <w:rFonts w:hint="eastAsia"/>
          <w:highlight w:val="none"/>
        </w:rPr>
        <w:t>评标指引表</w:t>
      </w:r>
    </w:p>
    <w:p>
      <w:pPr>
        <w:tabs>
          <w:tab w:val="clear" w:pos="426"/>
        </w:tabs>
        <w:spacing w:line="276" w:lineRule="auto"/>
        <w:rPr>
          <w:highlight w:val="none"/>
        </w:rPr>
      </w:pPr>
    </w:p>
    <w:p>
      <w:pPr>
        <w:numPr>
          <w:ilvl w:val="1"/>
          <w:numId w:val="37"/>
        </w:numPr>
        <w:tabs>
          <w:tab w:val="clear" w:pos="426"/>
        </w:tabs>
        <w:spacing w:line="276" w:lineRule="auto"/>
        <w:rPr>
          <w:highlight w:val="none"/>
        </w:rPr>
      </w:pPr>
      <w:r>
        <w:rPr>
          <w:rFonts w:hint="eastAsia"/>
          <w:highlight w:val="none"/>
        </w:rPr>
        <w:t>投标函</w:t>
      </w:r>
    </w:p>
    <w:p>
      <w:pPr>
        <w:numPr>
          <w:ilvl w:val="1"/>
          <w:numId w:val="37"/>
        </w:numPr>
        <w:tabs>
          <w:tab w:val="clear" w:pos="426"/>
        </w:tabs>
        <w:spacing w:line="276" w:lineRule="auto"/>
        <w:rPr>
          <w:highlight w:val="none"/>
        </w:rPr>
      </w:pPr>
      <w:r>
        <w:rPr>
          <w:rFonts w:hint="eastAsia"/>
          <w:highlight w:val="none"/>
        </w:rPr>
        <w:t>政府采购投标及履约承诺函</w:t>
      </w:r>
    </w:p>
    <w:p>
      <w:pPr>
        <w:numPr>
          <w:ilvl w:val="1"/>
          <w:numId w:val="37"/>
        </w:numPr>
        <w:tabs>
          <w:tab w:val="clear" w:pos="426"/>
        </w:tabs>
        <w:spacing w:line="276" w:lineRule="auto"/>
        <w:rPr>
          <w:highlight w:val="none"/>
        </w:rPr>
      </w:pPr>
      <w:r>
        <w:rPr>
          <w:rFonts w:hint="eastAsia"/>
          <w:highlight w:val="none"/>
        </w:rPr>
        <w:t>法定代表人授权委托书、法定代表人证明书</w:t>
      </w:r>
    </w:p>
    <w:p>
      <w:pPr>
        <w:numPr>
          <w:ilvl w:val="1"/>
          <w:numId w:val="37"/>
        </w:numPr>
        <w:tabs>
          <w:tab w:val="clear" w:pos="426"/>
        </w:tabs>
        <w:spacing w:line="276" w:lineRule="auto"/>
        <w:rPr>
          <w:highlight w:val="none"/>
        </w:rPr>
      </w:pPr>
      <w:r>
        <w:rPr>
          <w:rFonts w:hint="eastAsia"/>
          <w:highlight w:val="none"/>
        </w:rPr>
        <w:t>投标供应商基本情况表</w:t>
      </w:r>
    </w:p>
    <w:p>
      <w:pPr>
        <w:numPr>
          <w:ilvl w:val="1"/>
          <w:numId w:val="37"/>
        </w:numPr>
        <w:tabs>
          <w:tab w:val="clear" w:pos="426"/>
        </w:tabs>
        <w:spacing w:line="276" w:lineRule="auto"/>
        <w:rPr>
          <w:highlight w:val="none"/>
        </w:rPr>
      </w:pPr>
      <w:r>
        <w:rPr>
          <w:rFonts w:hint="eastAsia"/>
          <w:highlight w:val="none"/>
        </w:rPr>
        <w:t>开标一览表（报价表）</w:t>
      </w:r>
    </w:p>
    <w:p>
      <w:pPr>
        <w:numPr>
          <w:ilvl w:val="1"/>
          <w:numId w:val="37"/>
        </w:numPr>
        <w:tabs>
          <w:tab w:val="clear" w:pos="426"/>
        </w:tabs>
        <w:spacing w:line="276" w:lineRule="auto"/>
        <w:rPr>
          <w:highlight w:val="none"/>
        </w:rPr>
      </w:pPr>
      <w:r>
        <w:rPr>
          <w:rFonts w:hint="eastAsia"/>
          <w:highlight w:val="none"/>
        </w:rPr>
        <w:t>实质性响应条款偏离表</w:t>
      </w:r>
    </w:p>
    <w:p>
      <w:pPr>
        <w:numPr>
          <w:ilvl w:val="1"/>
          <w:numId w:val="37"/>
        </w:numPr>
        <w:tabs>
          <w:tab w:val="clear" w:pos="426"/>
        </w:tabs>
        <w:spacing w:line="276" w:lineRule="auto"/>
        <w:rPr>
          <w:highlight w:val="none"/>
        </w:rPr>
      </w:pPr>
      <w:r>
        <w:rPr>
          <w:rFonts w:hint="eastAsia"/>
          <w:highlight w:val="none"/>
        </w:rPr>
        <w:t>项目需求响应表（实质性条款除外）</w:t>
      </w:r>
    </w:p>
    <w:p>
      <w:pPr>
        <w:numPr>
          <w:ilvl w:val="1"/>
          <w:numId w:val="37"/>
        </w:numPr>
        <w:tabs>
          <w:tab w:val="clear" w:pos="426"/>
        </w:tabs>
        <w:spacing w:line="276" w:lineRule="auto"/>
        <w:rPr>
          <w:highlight w:val="none"/>
        </w:rPr>
      </w:pPr>
      <w:r>
        <w:rPr>
          <w:rFonts w:hint="eastAsia"/>
          <w:highlight w:val="none"/>
        </w:rPr>
        <w:t>配送实施方案（格式自拟）</w:t>
      </w:r>
    </w:p>
    <w:p>
      <w:pPr>
        <w:numPr>
          <w:ilvl w:val="1"/>
          <w:numId w:val="37"/>
        </w:numPr>
        <w:tabs>
          <w:tab w:val="clear" w:pos="426"/>
        </w:tabs>
        <w:spacing w:line="276" w:lineRule="auto"/>
        <w:rPr>
          <w:highlight w:val="none"/>
        </w:rPr>
      </w:pPr>
      <w:r>
        <w:rPr>
          <w:rFonts w:hint="eastAsia"/>
          <w:highlight w:val="none"/>
        </w:rPr>
        <w:t>体系认证情况（格式自拟）</w:t>
      </w:r>
    </w:p>
    <w:p>
      <w:pPr>
        <w:numPr>
          <w:ilvl w:val="1"/>
          <w:numId w:val="37"/>
        </w:numPr>
        <w:tabs>
          <w:tab w:val="clear" w:pos="426"/>
        </w:tabs>
        <w:spacing w:line="276" w:lineRule="auto"/>
        <w:rPr>
          <w:highlight w:val="none"/>
        </w:rPr>
      </w:pPr>
      <w:r>
        <w:rPr>
          <w:rFonts w:hint="eastAsia"/>
          <w:highlight w:val="none"/>
        </w:rPr>
        <w:t>同类业绩（格式自拟）</w:t>
      </w:r>
    </w:p>
    <w:p>
      <w:pPr>
        <w:numPr>
          <w:ilvl w:val="1"/>
          <w:numId w:val="37"/>
        </w:numPr>
        <w:tabs>
          <w:tab w:val="clear" w:pos="426"/>
        </w:tabs>
        <w:spacing w:line="276" w:lineRule="auto"/>
        <w:rPr>
          <w:highlight w:val="none"/>
        </w:rPr>
      </w:pPr>
      <w:r>
        <w:rPr>
          <w:rFonts w:hint="eastAsia"/>
          <w:highlight w:val="none"/>
        </w:rPr>
        <w:t>配送场所情况（格式自拟）</w:t>
      </w:r>
    </w:p>
    <w:p>
      <w:pPr>
        <w:numPr>
          <w:ilvl w:val="1"/>
          <w:numId w:val="37"/>
        </w:numPr>
        <w:tabs>
          <w:tab w:val="clear" w:pos="426"/>
        </w:tabs>
        <w:spacing w:line="276" w:lineRule="auto"/>
        <w:rPr>
          <w:highlight w:val="none"/>
        </w:rPr>
      </w:pPr>
      <w:r>
        <w:rPr>
          <w:rFonts w:hint="eastAsia"/>
          <w:highlight w:val="none"/>
        </w:rPr>
        <w:t>基地建设情况（格式自拟）</w:t>
      </w:r>
    </w:p>
    <w:p>
      <w:pPr>
        <w:numPr>
          <w:ilvl w:val="1"/>
          <w:numId w:val="37"/>
        </w:numPr>
        <w:tabs>
          <w:tab w:val="clear" w:pos="426"/>
        </w:tabs>
        <w:spacing w:line="276" w:lineRule="auto"/>
        <w:rPr>
          <w:highlight w:val="none"/>
        </w:rPr>
      </w:pPr>
      <w:r>
        <w:rPr>
          <w:rFonts w:hint="eastAsia"/>
          <w:highlight w:val="none"/>
        </w:rPr>
        <w:t>食材检测（格式自拟）</w:t>
      </w:r>
    </w:p>
    <w:p>
      <w:pPr>
        <w:numPr>
          <w:ilvl w:val="1"/>
          <w:numId w:val="37"/>
        </w:numPr>
        <w:tabs>
          <w:tab w:val="clear" w:pos="426"/>
        </w:tabs>
        <w:spacing w:line="276" w:lineRule="auto"/>
        <w:rPr>
          <w:highlight w:val="none"/>
        </w:rPr>
      </w:pPr>
      <w:r>
        <w:rPr>
          <w:rFonts w:hint="eastAsia"/>
          <w:highlight w:val="none"/>
        </w:rPr>
        <w:t>冷库情况（格式自拟）</w:t>
      </w:r>
    </w:p>
    <w:p>
      <w:pPr>
        <w:numPr>
          <w:ilvl w:val="1"/>
          <w:numId w:val="37"/>
        </w:numPr>
        <w:tabs>
          <w:tab w:val="clear" w:pos="426"/>
        </w:tabs>
        <w:spacing w:line="276" w:lineRule="auto"/>
        <w:rPr>
          <w:highlight w:val="none"/>
        </w:rPr>
      </w:pPr>
      <w:r>
        <w:rPr>
          <w:rFonts w:hint="eastAsia"/>
          <w:highlight w:val="none"/>
        </w:rPr>
        <w:t>配送车辆（格式自拟）</w:t>
      </w:r>
    </w:p>
    <w:p>
      <w:pPr>
        <w:numPr>
          <w:ilvl w:val="1"/>
          <w:numId w:val="37"/>
        </w:numPr>
        <w:tabs>
          <w:tab w:val="clear" w:pos="426"/>
        </w:tabs>
        <w:spacing w:line="276" w:lineRule="auto"/>
        <w:rPr>
          <w:highlight w:val="none"/>
        </w:rPr>
      </w:pPr>
      <w:r>
        <w:rPr>
          <w:rFonts w:hint="eastAsia"/>
          <w:highlight w:val="none"/>
        </w:rPr>
        <w:t>项目负责人情况（格式自拟）</w:t>
      </w:r>
    </w:p>
    <w:p>
      <w:pPr>
        <w:numPr>
          <w:ilvl w:val="1"/>
          <w:numId w:val="37"/>
        </w:numPr>
        <w:tabs>
          <w:tab w:val="clear" w:pos="426"/>
        </w:tabs>
        <w:spacing w:line="276" w:lineRule="auto"/>
        <w:rPr>
          <w:highlight w:val="none"/>
        </w:rPr>
      </w:pPr>
      <w:r>
        <w:rPr>
          <w:rFonts w:hint="eastAsia"/>
          <w:highlight w:val="none"/>
        </w:rPr>
        <w:t>配备专业服务人员情况（项目负责人除外）（格式自拟）</w:t>
      </w:r>
    </w:p>
    <w:p>
      <w:pPr>
        <w:numPr>
          <w:ilvl w:val="1"/>
          <w:numId w:val="37"/>
        </w:numPr>
        <w:tabs>
          <w:tab w:val="clear" w:pos="426"/>
        </w:tabs>
        <w:spacing w:line="276" w:lineRule="auto"/>
        <w:rPr>
          <w:highlight w:val="none"/>
        </w:rPr>
      </w:pPr>
      <w:r>
        <w:rPr>
          <w:rFonts w:hint="eastAsia"/>
          <w:highlight w:val="none"/>
        </w:rPr>
        <w:t>食品安全保险（格式自拟）</w:t>
      </w:r>
    </w:p>
    <w:p>
      <w:pPr>
        <w:numPr>
          <w:ilvl w:val="1"/>
          <w:numId w:val="37"/>
        </w:numPr>
        <w:tabs>
          <w:tab w:val="clear" w:pos="426"/>
        </w:tabs>
        <w:spacing w:line="276" w:lineRule="auto"/>
        <w:rPr>
          <w:highlight w:val="none"/>
        </w:rPr>
      </w:pPr>
      <w:r>
        <w:rPr>
          <w:rFonts w:hint="eastAsia"/>
          <w:highlight w:val="none"/>
        </w:rPr>
        <w:t>产品认证情况（格式自拟）</w:t>
      </w:r>
    </w:p>
    <w:p>
      <w:pPr>
        <w:numPr>
          <w:ilvl w:val="1"/>
          <w:numId w:val="37"/>
        </w:numPr>
        <w:tabs>
          <w:tab w:val="clear" w:pos="426"/>
        </w:tabs>
        <w:spacing w:line="276" w:lineRule="auto"/>
        <w:rPr>
          <w:highlight w:val="none"/>
        </w:rPr>
      </w:pPr>
      <w:r>
        <w:rPr>
          <w:rFonts w:hint="eastAsia"/>
          <w:highlight w:val="none"/>
        </w:rPr>
        <w:t>企业荣誉（格式自拟）</w:t>
      </w:r>
    </w:p>
    <w:p>
      <w:pPr>
        <w:numPr>
          <w:ilvl w:val="1"/>
          <w:numId w:val="37"/>
        </w:numPr>
        <w:tabs>
          <w:tab w:val="clear" w:pos="426"/>
        </w:tabs>
        <w:spacing w:line="276" w:lineRule="auto"/>
        <w:rPr>
          <w:highlight w:val="none"/>
        </w:rPr>
      </w:pPr>
      <w:r>
        <w:rPr>
          <w:rFonts w:hint="eastAsia"/>
          <w:highlight w:val="none"/>
        </w:rPr>
        <w:t>配套设备情况（格式自拟）</w:t>
      </w:r>
    </w:p>
    <w:p>
      <w:pPr>
        <w:numPr>
          <w:ilvl w:val="1"/>
          <w:numId w:val="37"/>
        </w:numPr>
        <w:tabs>
          <w:tab w:val="clear" w:pos="426"/>
        </w:tabs>
        <w:spacing w:line="276" w:lineRule="auto"/>
        <w:rPr>
          <w:highlight w:val="none"/>
        </w:rPr>
      </w:pPr>
      <w:r>
        <w:rPr>
          <w:rFonts w:hint="eastAsia"/>
          <w:highlight w:val="none"/>
        </w:rPr>
        <w:t>诚信情况</w:t>
      </w:r>
    </w:p>
    <w:p>
      <w:pPr>
        <w:numPr>
          <w:ilvl w:val="1"/>
          <w:numId w:val="37"/>
        </w:numPr>
        <w:tabs>
          <w:tab w:val="clear" w:pos="426"/>
        </w:tabs>
        <w:spacing w:line="276" w:lineRule="auto"/>
        <w:rPr>
          <w:rFonts w:hAnsi="宋体"/>
          <w:szCs w:val="21"/>
          <w:highlight w:val="none"/>
        </w:rPr>
      </w:pPr>
      <w:r>
        <w:rPr>
          <w:rFonts w:hint="eastAsia" w:hAnsi="宋体"/>
          <w:szCs w:val="21"/>
          <w:highlight w:val="none"/>
        </w:rPr>
        <w:t>招标代理服务费承诺书</w:t>
      </w:r>
    </w:p>
    <w:p>
      <w:pPr>
        <w:numPr>
          <w:ilvl w:val="1"/>
          <w:numId w:val="37"/>
        </w:numPr>
        <w:tabs>
          <w:tab w:val="clear" w:pos="426"/>
        </w:tabs>
        <w:spacing w:line="276" w:lineRule="auto"/>
        <w:rPr>
          <w:rFonts w:hAnsi="宋体"/>
          <w:szCs w:val="21"/>
          <w:highlight w:val="none"/>
        </w:rPr>
      </w:pPr>
      <w:r>
        <w:rPr>
          <w:rFonts w:hint="eastAsia" w:hAnsi="宋体"/>
          <w:szCs w:val="21"/>
          <w:highlight w:val="none"/>
        </w:rPr>
        <w:t>招标文件要求的其他内容及投标供应商认为需要加以说明的其他内容</w:t>
      </w:r>
    </w:p>
    <w:p>
      <w:pPr>
        <w:adjustRightInd/>
        <w:snapToGrid/>
        <w:spacing w:before="280" w:after="290" w:line="376" w:lineRule="auto"/>
        <w:jc w:val="center"/>
        <w:rPr>
          <w:b/>
          <w:sz w:val="24"/>
          <w:highlight w:val="none"/>
        </w:rPr>
      </w:pPr>
      <w:r>
        <w:rPr>
          <w:highlight w:val="none"/>
        </w:rPr>
        <w:br w:type="page"/>
      </w:r>
      <w:bookmarkStart w:id="101" w:name="_Toc528675178"/>
      <w:bookmarkStart w:id="102" w:name="_Toc528170806"/>
      <w:bookmarkStart w:id="103" w:name="_Toc518464366"/>
      <w:r>
        <w:rPr>
          <w:rFonts w:hint="eastAsia"/>
          <w:b/>
          <w:sz w:val="24"/>
          <w:highlight w:val="none"/>
        </w:rPr>
        <w:t>密封袋封条格式</w:t>
      </w:r>
      <w:bookmarkEnd w:id="101"/>
      <w:bookmarkEnd w:id="102"/>
      <w:bookmarkEnd w:id="103"/>
    </w:p>
    <w:p>
      <w:pPr>
        <w:tabs>
          <w:tab w:val="clear" w:pos="426"/>
        </w:tabs>
        <w:jc w:val="center"/>
        <w:rPr>
          <w:sz w:val="44"/>
          <w:szCs w:val="44"/>
          <w:highlight w:val="none"/>
        </w:rPr>
      </w:pPr>
    </w:p>
    <w:p>
      <w:pPr>
        <w:tabs>
          <w:tab w:val="clear" w:pos="426"/>
        </w:tabs>
        <w:jc w:val="center"/>
        <w:rPr>
          <w:sz w:val="44"/>
          <w:szCs w:val="44"/>
          <w:highlight w:val="none"/>
        </w:rPr>
      </w:pPr>
      <w:r>
        <w:rPr>
          <w:rFonts w:hint="eastAsia"/>
          <w:sz w:val="44"/>
          <w:szCs w:val="44"/>
          <w:highlight w:val="none"/>
        </w:rPr>
        <w:t>广东省深圳市消防救援支队2024年度机关食堂配送服务采购项目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rPr>
      </w:pPr>
      <w:r>
        <w:rPr>
          <w:rFonts w:hint="eastAsia"/>
          <w:sz w:val="28"/>
          <w:szCs w:val="28"/>
          <w:highlight w:val="none"/>
        </w:rPr>
        <w:t>项目编号：</w:t>
      </w:r>
    </w:p>
    <w:p>
      <w:pPr>
        <w:tabs>
          <w:tab w:val="clear" w:pos="426"/>
        </w:tabs>
        <w:ind w:left="708" w:leftChars="337"/>
        <w:rPr>
          <w:sz w:val="28"/>
          <w:szCs w:val="28"/>
          <w:highlight w:val="none"/>
        </w:rPr>
      </w:pPr>
      <w:r>
        <w:rPr>
          <w:rFonts w:hint="eastAsia"/>
          <w:sz w:val="28"/>
          <w:szCs w:val="28"/>
          <w:highlight w:val="none"/>
        </w:rPr>
        <w:t>投标供应商名称（公章</w:t>
      </w:r>
      <w:r>
        <w:rPr>
          <w:sz w:val="28"/>
          <w:szCs w:val="28"/>
          <w:highlight w:val="none"/>
        </w:rPr>
        <w:t>)</w:t>
      </w:r>
      <w:r>
        <w:rPr>
          <w:rFonts w:hint="eastAsia"/>
          <w:sz w:val="28"/>
          <w:szCs w:val="28"/>
          <w:highlight w:val="none"/>
        </w:rPr>
        <w:t>：</w:t>
      </w:r>
    </w:p>
    <w:p>
      <w:pPr>
        <w:tabs>
          <w:tab w:val="clear" w:pos="426"/>
        </w:tabs>
        <w:ind w:left="708" w:leftChars="337"/>
        <w:rPr>
          <w:sz w:val="28"/>
          <w:szCs w:val="28"/>
          <w:highlight w:val="none"/>
        </w:rPr>
      </w:pPr>
      <w:r>
        <w:rPr>
          <w:rFonts w:hint="eastAsia"/>
          <w:sz w:val="28"/>
          <w:szCs w:val="28"/>
          <w:highlight w:val="none"/>
        </w:rPr>
        <w:t>投标供应商代表（签名）：</w:t>
      </w:r>
    </w:p>
    <w:p>
      <w:pPr>
        <w:tabs>
          <w:tab w:val="clear" w:pos="426"/>
        </w:tabs>
        <w:ind w:left="708" w:leftChars="337"/>
        <w:rPr>
          <w:sz w:val="28"/>
          <w:szCs w:val="28"/>
          <w:highlight w:val="none"/>
        </w:rPr>
      </w:pPr>
      <w:r>
        <w:rPr>
          <w:rFonts w:hint="eastAsia"/>
          <w:sz w:val="28"/>
          <w:szCs w:val="28"/>
          <w:highlight w:val="none"/>
        </w:rPr>
        <w:t>投标截止日期：</w:t>
      </w:r>
      <w:r>
        <w:rPr>
          <w:sz w:val="28"/>
          <w:szCs w:val="28"/>
          <w:highlight w:val="none"/>
        </w:rPr>
        <w:t>__________</w:t>
      </w:r>
      <w:r>
        <w:rPr>
          <w:rFonts w:hint="eastAsia"/>
          <w:sz w:val="28"/>
          <w:szCs w:val="28"/>
          <w:highlight w:val="none"/>
        </w:rPr>
        <w:t>年</w:t>
      </w:r>
      <w:r>
        <w:rPr>
          <w:sz w:val="28"/>
          <w:szCs w:val="28"/>
          <w:highlight w:val="none"/>
        </w:rPr>
        <w:t>____</w:t>
      </w:r>
      <w:r>
        <w:rPr>
          <w:rFonts w:hint="eastAsia"/>
          <w:sz w:val="28"/>
          <w:szCs w:val="28"/>
          <w:highlight w:val="none"/>
        </w:rPr>
        <w:t>月</w:t>
      </w:r>
      <w:r>
        <w:rPr>
          <w:sz w:val="28"/>
          <w:szCs w:val="28"/>
          <w:highlight w:val="none"/>
        </w:rPr>
        <w:t>____</w:t>
      </w:r>
      <w:r>
        <w:rPr>
          <w:rFonts w:hint="eastAsia"/>
          <w:sz w:val="28"/>
          <w:szCs w:val="28"/>
          <w:highlight w:val="none"/>
        </w:rPr>
        <w:t>日</w:t>
      </w:r>
      <w:r>
        <w:rPr>
          <w:sz w:val="28"/>
          <w:szCs w:val="28"/>
          <w:highlight w:val="none"/>
        </w:rPr>
        <w:t>____</w:t>
      </w:r>
      <w:r>
        <w:rPr>
          <w:rFonts w:hint="eastAsia"/>
          <w:sz w:val="28"/>
          <w:szCs w:val="28"/>
          <w:highlight w:val="none"/>
        </w:rPr>
        <w:t>时</w:t>
      </w:r>
      <w:r>
        <w:rPr>
          <w:sz w:val="28"/>
          <w:szCs w:val="28"/>
          <w:highlight w:val="none"/>
        </w:rPr>
        <w:t>____</w:t>
      </w:r>
      <w:r>
        <w:rPr>
          <w:rFonts w:hint="eastAsia"/>
          <w:sz w:val="28"/>
          <w:szCs w:val="28"/>
          <w:highlight w:val="none"/>
        </w:rPr>
        <w:t>分（前不得开封）</w:t>
      </w:r>
    </w:p>
    <w:p>
      <w:pPr>
        <w:adjustRightInd/>
        <w:snapToGrid/>
        <w:spacing w:before="280" w:after="290" w:line="376" w:lineRule="auto"/>
        <w:jc w:val="center"/>
        <w:rPr>
          <w:b/>
          <w:sz w:val="24"/>
          <w:highlight w:val="none"/>
        </w:rPr>
      </w:pPr>
      <w:r>
        <w:rPr>
          <w:highlight w:val="none"/>
        </w:rPr>
        <w:br w:type="page"/>
      </w:r>
      <w:bookmarkStart w:id="104" w:name="_Toc528675179"/>
      <w:bookmarkStart w:id="105" w:name="_Toc528170807"/>
      <w:bookmarkStart w:id="106" w:name="_Toc518464367"/>
      <w:r>
        <w:rPr>
          <w:rFonts w:hint="eastAsia"/>
          <w:b/>
          <w:sz w:val="24"/>
          <w:highlight w:val="none"/>
        </w:rPr>
        <w:t>投标文件封面格式</w:t>
      </w:r>
      <w:bookmarkEnd w:id="104"/>
      <w:bookmarkEnd w:id="105"/>
      <w:bookmarkEnd w:id="106"/>
    </w:p>
    <w:p>
      <w:pPr>
        <w:tabs>
          <w:tab w:val="clear" w:pos="426"/>
        </w:tabs>
        <w:jc w:val="right"/>
        <w:rPr>
          <w:sz w:val="44"/>
          <w:szCs w:val="44"/>
          <w:highlight w:val="none"/>
          <w:u w:val="single"/>
        </w:rPr>
      </w:pPr>
      <w:r>
        <w:rPr>
          <w:rFonts w:hint="eastAsia"/>
          <w:sz w:val="44"/>
          <w:szCs w:val="44"/>
          <w:highlight w:val="none"/>
          <w:u w:val="single"/>
        </w:rPr>
        <w:t>正</w:t>
      </w:r>
      <w:r>
        <w:rPr>
          <w:sz w:val="44"/>
          <w:szCs w:val="44"/>
          <w:highlight w:val="none"/>
          <w:u w:val="single"/>
        </w:rPr>
        <w:t>/</w:t>
      </w:r>
      <w:r>
        <w:rPr>
          <w:rFonts w:hint="eastAsia"/>
          <w:sz w:val="44"/>
          <w:szCs w:val="44"/>
          <w:highlight w:val="none"/>
          <w:u w:val="single"/>
        </w:rPr>
        <w:t>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rPr>
        <w:t>广东省深圳市消防救援支队2024年度机关食堂配送服务采购项目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highlight w:val="none"/>
        </w:rPr>
      </w:pPr>
    </w:p>
    <w:p>
      <w:pPr>
        <w:tabs>
          <w:tab w:val="clear" w:pos="426"/>
        </w:tabs>
        <w:jc w:val="center"/>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1275" w:leftChars="607"/>
        <w:rPr>
          <w:sz w:val="28"/>
          <w:szCs w:val="28"/>
          <w:highlight w:val="none"/>
        </w:rPr>
      </w:pPr>
      <w:r>
        <w:rPr>
          <w:rFonts w:hint="eastAsia"/>
          <w:sz w:val="28"/>
          <w:szCs w:val="28"/>
          <w:highlight w:val="none"/>
        </w:rPr>
        <w:t>项目编号：</w:t>
      </w:r>
    </w:p>
    <w:p>
      <w:pPr>
        <w:tabs>
          <w:tab w:val="clear" w:pos="426"/>
        </w:tabs>
        <w:ind w:left="1275" w:leftChars="607"/>
        <w:rPr>
          <w:sz w:val="28"/>
          <w:szCs w:val="28"/>
          <w:highlight w:val="none"/>
        </w:rPr>
      </w:pPr>
      <w:r>
        <w:rPr>
          <w:rFonts w:hint="eastAsia"/>
          <w:sz w:val="28"/>
          <w:szCs w:val="28"/>
          <w:highlight w:val="none"/>
        </w:rPr>
        <w:t>投标供应商名称（公章</w:t>
      </w:r>
      <w:r>
        <w:rPr>
          <w:sz w:val="28"/>
          <w:szCs w:val="28"/>
          <w:highlight w:val="none"/>
        </w:rPr>
        <w:t>)</w:t>
      </w:r>
      <w:r>
        <w:rPr>
          <w:rFonts w:hint="eastAsia"/>
          <w:sz w:val="28"/>
          <w:szCs w:val="28"/>
          <w:highlight w:val="none"/>
        </w:rPr>
        <w:t>：</w:t>
      </w:r>
    </w:p>
    <w:p>
      <w:pPr>
        <w:tabs>
          <w:tab w:val="clear" w:pos="426"/>
        </w:tabs>
        <w:ind w:left="1275" w:leftChars="607"/>
        <w:rPr>
          <w:sz w:val="28"/>
          <w:szCs w:val="28"/>
          <w:highlight w:val="none"/>
        </w:rPr>
      </w:pPr>
      <w:r>
        <w:rPr>
          <w:rFonts w:hint="eastAsia"/>
          <w:sz w:val="28"/>
          <w:szCs w:val="28"/>
          <w:highlight w:val="none"/>
        </w:rPr>
        <w:t>投标供应商代表（签名）：</w:t>
      </w:r>
    </w:p>
    <w:p>
      <w:pPr>
        <w:tabs>
          <w:tab w:val="clear" w:pos="426"/>
        </w:tabs>
        <w:ind w:left="1275" w:leftChars="607"/>
        <w:rPr>
          <w:sz w:val="28"/>
          <w:szCs w:val="28"/>
          <w:highlight w:val="none"/>
        </w:rPr>
      </w:pPr>
      <w:r>
        <w:rPr>
          <w:rFonts w:hint="eastAsia"/>
          <w:sz w:val="28"/>
          <w:szCs w:val="28"/>
          <w:highlight w:val="none"/>
        </w:rPr>
        <w:t>投标日期：</w:t>
      </w:r>
      <w:r>
        <w:rPr>
          <w:sz w:val="28"/>
          <w:szCs w:val="28"/>
          <w:highlight w:val="none"/>
        </w:rPr>
        <w:t>__________</w:t>
      </w:r>
      <w:r>
        <w:rPr>
          <w:rFonts w:hint="eastAsia"/>
          <w:sz w:val="28"/>
          <w:szCs w:val="28"/>
          <w:highlight w:val="none"/>
        </w:rPr>
        <w:t>年</w:t>
      </w:r>
      <w:r>
        <w:rPr>
          <w:sz w:val="28"/>
          <w:szCs w:val="28"/>
          <w:highlight w:val="none"/>
        </w:rPr>
        <w:t>____</w:t>
      </w:r>
      <w:r>
        <w:rPr>
          <w:rFonts w:hint="eastAsia"/>
          <w:sz w:val="28"/>
          <w:szCs w:val="28"/>
          <w:highlight w:val="none"/>
        </w:rPr>
        <w:t>月</w:t>
      </w:r>
      <w:r>
        <w:rPr>
          <w:sz w:val="28"/>
          <w:szCs w:val="28"/>
          <w:highlight w:val="none"/>
        </w:rPr>
        <w:t>____</w:t>
      </w:r>
      <w:r>
        <w:rPr>
          <w:rFonts w:hint="eastAsia"/>
          <w:sz w:val="28"/>
          <w:szCs w:val="28"/>
          <w:highlight w:val="none"/>
        </w:rPr>
        <w:t>日</w:t>
      </w:r>
    </w:p>
    <w:p>
      <w:pPr>
        <w:tabs>
          <w:tab w:val="clear" w:pos="426"/>
        </w:tabs>
        <w:rPr>
          <w:highlight w:val="none"/>
        </w:rPr>
      </w:pPr>
    </w:p>
    <w:p>
      <w:pPr>
        <w:adjustRightInd/>
        <w:snapToGrid/>
        <w:spacing w:before="280" w:after="290" w:line="376" w:lineRule="auto"/>
        <w:jc w:val="center"/>
        <w:rPr>
          <w:b/>
          <w:sz w:val="24"/>
          <w:highlight w:val="none"/>
        </w:rPr>
      </w:pPr>
      <w:r>
        <w:rPr>
          <w:highlight w:val="none"/>
        </w:rPr>
        <w:br w:type="page"/>
      </w:r>
      <w:bookmarkStart w:id="107" w:name="_Toc518464368"/>
      <w:bookmarkStart w:id="108" w:name="_Toc528675180"/>
      <w:bookmarkStart w:id="109" w:name="_Toc528170808"/>
      <w:r>
        <w:rPr>
          <w:rFonts w:hint="eastAsia"/>
          <w:b/>
          <w:sz w:val="24"/>
          <w:highlight w:val="none"/>
        </w:rPr>
        <w:t>投标文件目录（目录格式自定）</w:t>
      </w:r>
      <w:bookmarkEnd w:id="107"/>
      <w:bookmarkEnd w:id="108"/>
      <w:bookmarkEnd w:id="109"/>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tabs>
          <w:tab w:val="clear" w:pos="426"/>
        </w:tabs>
        <w:rPr>
          <w:highlight w:val="none"/>
        </w:rPr>
      </w:pPr>
    </w:p>
    <w:p>
      <w:pPr>
        <w:adjustRightInd/>
        <w:snapToGrid/>
        <w:spacing w:before="280" w:after="290" w:line="376" w:lineRule="auto"/>
        <w:jc w:val="center"/>
        <w:rPr>
          <w:b/>
          <w:sz w:val="24"/>
          <w:highlight w:val="none"/>
        </w:rPr>
      </w:pPr>
      <w:r>
        <w:rPr>
          <w:highlight w:val="none"/>
        </w:rPr>
        <w:br w:type="page"/>
      </w:r>
      <w:bookmarkStart w:id="110" w:name="_Toc518464369"/>
      <w:bookmarkStart w:id="111" w:name="_Toc528170809"/>
      <w:bookmarkStart w:id="112" w:name="_Toc528675181"/>
      <w:r>
        <w:rPr>
          <w:rFonts w:hint="eastAsia"/>
          <w:b/>
          <w:sz w:val="24"/>
          <w:highlight w:val="none"/>
        </w:rPr>
        <w:t>评标指引表</w:t>
      </w:r>
      <w:bookmarkEnd w:id="110"/>
      <w:bookmarkEnd w:id="111"/>
      <w:bookmarkEnd w:id="112"/>
    </w:p>
    <w:p>
      <w:pPr>
        <w:tabs>
          <w:tab w:val="clear" w:pos="426"/>
        </w:tabs>
        <w:jc w:val="center"/>
        <w:rPr>
          <w:b/>
          <w:highlight w:val="none"/>
        </w:rPr>
      </w:pPr>
      <w:r>
        <w:rPr>
          <w:rFonts w:hint="eastAsia"/>
          <w:b/>
          <w:highlight w:val="none"/>
        </w:rPr>
        <w:t>（置于投标文件的首页）</w:t>
      </w:r>
    </w:p>
    <w:p>
      <w:pPr>
        <w:tabs>
          <w:tab w:val="clear" w:pos="426"/>
        </w:tabs>
        <w:ind w:firstLine="420" w:firstLineChars="200"/>
        <w:rPr>
          <w:highlight w:val="none"/>
        </w:rPr>
      </w:pPr>
      <w:r>
        <w:rPr>
          <w:rFonts w:hint="eastAsia"/>
          <w:szCs w:val="21"/>
          <w:highlight w:val="none"/>
        </w:rPr>
        <w:t>为方便参与该项目的评委专家的评标，快速找到评标事项与该项目投标文件所对应的位置，请投标供应商参照下表格式，编制本项目评标指引表。</w:t>
      </w:r>
    </w:p>
    <w:p>
      <w:pPr>
        <w:pStyle w:val="7"/>
        <w:tabs>
          <w:tab w:val="clear" w:pos="426"/>
        </w:tabs>
        <w:ind w:firstLine="0"/>
        <w:rPr>
          <w:highlight w:val="none"/>
        </w:rPr>
      </w:pPr>
      <w:r>
        <w:rPr>
          <w:rFonts w:hint="eastAsia"/>
          <w:highlight w:val="none"/>
        </w:rPr>
        <w:t>项目名称：</w:t>
      </w:r>
    </w:p>
    <w:p>
      <w:pPr>
        <w:pStyle w:val="7"/>
        <w:tabs>
          <w:tab w:val="clear" w:pos="426"/>
        </w:tabs>
        <w:ind w:firstLine="0"/>
        <w:rPr>
          <w:highlight w:val="none"/>
        </w:rPr>
      </w:pPr>
      <w:r>
        <w:rPr>
          <w:rFonts w:hint="eastAsia"/>
          <w:highlight w:val="none"/>
        </w:rPr>
        <w:t>项目编号：</w:t>
      </w:r>
    </w:p>
    <w:p>
      <w:pPr>
        <w:tabs>
          <w:tab w:val="clear" w:pos="426"/>
        </w:tabs>
        <w:jc w:val="center"/>
        <w:rPr>
          <w:b/>
          <w:highlight w:val="none"/>
        </w:rPr>
      </w:pPr>
      <w:r>
        <w:rPr>
          <w:rFonts w:hint="eastAsia"/>
          <w:b/>
          <w:highlight w:val="none"/>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ind w:firstLine="422"/>
              <w:jc w:val="center"/>
              <w:rPr>
                <w:b/>
                <w:kern w:val="2"/>
                <w:highlight w:val="none"/>
              </w:rPr>
            </w:pPr>
            <w:r>
              <w:rPr>
                <w:rFonts w:hint="eastAsia"/>
                <w:b/>
                <w:highlight w:val="none"/>
              </w:rPr>
              <w:t>资格性检查项目</w:t>
            </w:r>
          </w:p>
        </w:tc>
        <w:tc>
          <w:tcPr>
            <w:tcW w:w="3105" w:type="dxa"/>
            <w:gridSpan w:val="3"/>
            <w:vAlign w:val="center"/>
          </w:tcPr>
          <w:p>
            <w:pPr>
              <w:tabs>
                <w:tab w:val="clear" w:pos="426"/>
              </w:tabs>
              <w:adjustRightInd/>
              <w:snapToGrid/>
              <w:spacing w:line="240" w:lineRule="auto"/>
              <w:jc w:val="center"/>
              <w:rPr>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highlight w:val="none"/>
              </w:rPr>
            </w:pPr>
            <w:r>
              <w:rPr>
                <w:b/>
                <w:highlight w:val="none"/>
              </w:rPr>
              <w:t>1</w:t>
            </w:r>
          </w:p>
        </w:tc>
        <w:tc>
          <w:tcPr>
            <w:tcW w:w="4203" w:type="dxa"/>
            <w:gridSpan w:val="2"/>
            <w:vMerge w:val="restart"/>
            <w:vAlign w:val="center"/>
          </w:tcPr>
          <w:p>
            <w:pPr>
              <w:tabs>
                <w:tab w:val="clear" w:pos="426"/>
              </w:tabs>
              <w:adjustRightInd/>
              <w:snapToGrid/>
              <w:spacing w:line="240" w:lineRule="auto"/>
              <w:jc w:val="center"/>
              <w:rPr>
                <w:b/>
                <w:kern w:val="2"/>
                <w:highlight w:val="none"/>
              </w:rPr>
            </w:pPr>
            <w:r>
              <w:rPr>
                <w:rFonts w:hint="eastAsia"/>
                <w:highlight w:val="none"/>
              </w:rPr>
              <w:t>投标供应商资质要求</w:t>
            </w:r>
          </w:p>
        </w:tc>
        <w:tc>
          <w:tcPr>
            <w:tcW w:w="3105" w:type="dxa"/>
            <w:gridSpan w:val="3"/>
            <w:vAlign w:val="center"/>
          </w:tcPr>
          <w:p>
            <w:pPr>
              <w:tabs>
                <w:tab w:val="clear" w:pos="426"/>
              </w:tabs>
              <w:adjustRightInd/>
              <w:snapToGrid/>
              <w:spacing w:line="240" w:lineRule="auto"/>
              <w:jc w:val="center"/>
              <w:rPr>
                <w:kern w:val="2"/>
                <w:highlight w:val="none"/>
              </w:rPr>
            </w:pPr>
            <w:r>
              <w:rPr>
                <w:rFonts w:hint="eastAsia"/>
                <w:highlight w:val="none"/>
              </w:rPr>
              <w:t>营业执照</w:t>
            </w: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rPr>
                <w:highlight w:val="none"/>
              </w:rPr>
            </w:pPr>
          </w:p>
        </w:tc>
        <w:tc>
          <w:tcPr>
            <w:tcW w:w="4203" w:type="dxa"/>
            <w:gridSpan w:val="2"/>
            <w:vMerge w:val="continue"/>
            <w:vAlign w:val="center"/>
          </w:tcPr>
          <w:p>
            <w:pPr>
              <w:rPr>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rPr>
                <w:highlight w:val="none"/>
              </w:rPr>
            </w:pPr>
          </w:p>
        </w:tc>
        <w:tc>
          <w:tcPr>
            <w:tcW w:w="4203" w:type="dxa"/>
            <w:gridSpan w:val="2"/>
            <w:vMerge w:val="continue"/>
            <w:vAlign w:val="center"/>
          </w:tcPr>
          <w:p>
            <w:pPr>
              <w:rPr>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rPr>
                <w:highlight w:val="none"/>
              </w:rPr>
            </w:pPr>
          </w:p>
        </w:tc>
        <w:tc>
          <w:tcPr>
            <w:tcW w:w="4203" w:type="dxa"/>
            <w:gridSpan w:val="2"/>
            <w:vMerge w:val="continue"/>
            <w:vAlign w:val="center"/>
          </w:tcPr>
          <w:p>
            <w:pPr>
              <w:rPr>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rPr>
                <w:highlight w:val="none"/>
              </w:rPr>
            </w:pPr>
          </w:p>
        </w:tc>
        <w:tc>
          <w:tcPr>
            <w:tcW w:w="4203" w:type="dxa"/>
            <w:gridSpan w:val="2"/>
            <w:vMerge w:val="continue"/>
            <w:vAlign w:val="center"/>
          </w:tcPr>
          <w:p>
            <w:pPr>
              <w:rPr>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rPr>
                <w:highlight w:val="none"/>
              </w:rPr>
            </w:pPr>
          </w:p>
        </w:tc>
        <w:tc>
          <w:tcPr>
            <w:tcW w:w="4203" w:type="dxa"/>
            <w:gridSpan w:val="2"/>
            <w:vMerge w:val="continue"/>
            <w:vAlign w:val="center"/>
          </w:tcPr>
          <w:p>
            <w:pPr>
              <w:rPr>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b/>
                <w:kern w:val="2"/>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kern w:val="2"/>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b/>
                <w:kern w:val="2"/>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b/>
                <w:kern w:val="2"/>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未出现将一个包或一个包的内容拆开投标；</w:t>
            </w:r>
          </w:p>
        </w:tc>
        <w:tc>
          <w:tcPr>
            <w:tcW w:w="2762" w:type="dxa"/>
            <w:gridSpan w:val="2"/>
            <w:vAlign w:val="center"/>
          </w:tcPr>
          <w:p>
            <w:pPr>
              <w:tabs>
                <w:tab w:val="clear" w:pos="426"/>
              </w:tabs>
              <w:adjustRightInd/>
              <w:snapToGrid/>
              <w:spacing w:line="240" w:lineRule="auto"/>
              <w:jc w:val="center"/>
              <w:rPr>
                <w:kern w:val="2"/>
                <w:highlight w:val="none"/>
              </w:rPr>
            </w:pPr>
            <w:r>
              <w:rPr>
                <w:rFonts w:hint="eastAsia"/>
                <w:highlight w:val="none"/>
              </w:rPr>
              <w:t>符合</w:t>
            </w:r>
            <w:r>
              <w:rPr>
                <w:highlight w:val="none"/>
              </w:rPr>
              <w:t>/</w:t>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投标总价或分项报价未高于财政预算限额（最高投标限价）；</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7</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w:t>
            </w:r>
            <w:r>
              <w:rPr>
                <w:rFonts w:hint="eastAsia"/>
                <w:szCs w:val="21"/>
                <w:highlight w:val="none"/>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8</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9</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10</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投标报价没有严重缺漏项目；投标报价没有对招标文件规定的服务清单项目及数量进行修改；</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11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kern w:val="2"/>
                <w:highlight w:val="none"/>
              </w:rPr>
            </w:pPr>
            <w:r>
              <w:rPr>
                <w:highlight w:val="none"/>
              </w:rPr>
              <w:t>12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b/>
                <w:kern w:val="2"/>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kern w:val="2"/>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b/>
                <w:kern w:val="2"/>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b/>
                <w:kern w:val="2"/>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b/>
                <w:kern w:val="2"/>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highlight w:val="none"/>
              </w:rPr>
            </w:pPr>
            <w:r>
              <w:rPr>
                <w:rFonts w:hint="eastAsia"/>
                <w:b/>
                <w:highlight w:val="none"/>
              </w:rPr>
              <w:t>价格部分</w:t>
            </w:r>
          </w:p>
        </w:tc>
        <w:tc>
          <w:tcPr>
            <w:tcW w:w="5499" w:type="dxa"/>
            <w:gridSpan w:val="2"/>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rPr>
                <w:highlight w:val="none"/>
              </w:rPr>
            </w:pP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r>
              <w:rPr>
                <w:rFonts w:hint="eastAsia"/>
                <w:b/>
                <w:highlight w:val="none"/>
              </w:rPr>
              <w:t>技术部分</w:t>
            </w: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rPr>
                <w:highlight w:val="none"/>
              </w:rPr>
            </w:pP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kern w:val="2"/>
                <w:highlight w:val="none"/>
              </w:rPr>
            </w:pPr>
            <w:r>
              <w:rPr>
                <w:rFonts w:hint="eastAsia"/>
                <w:b/>
                <w:highlight w:val="none"/>
              </w:rPr>
              <w:t>商务部分</w:t>
            </w: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rPr>
                <w:highlight w:val="none"/>
              </w:rPr>
            </w:pPr>
          </w:p>
        </w:tc>
        <w:tc>
          <w:tcPr>
            <w:tcW w:w="5499" w:type="dxa"/>
            <w:gridSpan w:val="2"/>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bl>
    <w:p>
      <w:pPr>
        <w:tabs>
          <w:tab w:val="clear" w:pos="426"/>
        </w:tabs>
        <w:rPr>
          <w:rFonts w:hint="eastAsia"/>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请投标供应商按照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。因项目次序混乱而影响评标效率及评标结果者，投标供应商自负其责。</w:t>
      </w:r>
    </w:p>
    <w:p>
      <w:pPr>
        <w:rPr>
          <w:rFonts w:hint="eastAsia"/>
          <w:highlight w:val="none"/>
        </w:rPr>
      </w:pPr>
      <w:r>
        <w:rPr>
          <w:rFonts w:hint="eastAsia"/>
          <w:highlight w:val="none"/>
        </w:rPr>
        <w:br w:type="page"/>
      </w:r>
    </w:p>
    <w:p>
      <w:pPr>
        <w:pStyle w:val="4"/>
        <w:numPr>
          <w:ilvl w:val="0"/>
          <w:numId w:val="38"/>
        </w:numPr>
        <w:tabs>
          <w:tab w:val="left" w:pos="420"/>
          <w:tab w:val="clear" w:pos="426"/>
          <w:tab w:val="clear" w:pos="1680"/>
        </w:tabs>
        <w:jc w:val="left"/>
        <w:rPr>
          <w:highlight w:val="none"/>
        </w:rPr>
      </w:pPr>
      <w:bookmarkStart w:id="113" w:name="_Toc28864614"/>
      <w:bookmarkStart w:id="114" w:name="_Toc36822688"/>
      <w:bookmarkStart w:id="115" w:name="_Toc528170810"/>
      <w:bookmarkStart w:id="116" w:name="_Toc518464370"/>
      <w:bookmarkStart w:id="117" w:name="_Toc25308077"/>
      <w:bookmarkStart w:id="118" w:name="_Toc528675182"/>
      <w:r>
        <w:rPr>
          <w:rFonts w:hint="eastAsia"/>
          <w:highlight w:val="none"/>
        </w:rPr>
        <w:t>、投标函</w:t>
      </w:r>
      <w:bookmarkEnd w:id="113"/>
      <w:bookmarkEnd w:id="114"/>
      <w:bookmarkEnd w:id="115"/>
      <w:bookmarkEnd w:id="116"/>
      <w:bookmarkEnd w:id="117"/>
      <w:bookmarkEnd w:id="118"/>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119" w:name="_Toc201742865"/>
      <w:bookmarkStart w:id="120" w:name="_Toc201997950"/>
      <w:bookmarkStart w:id="121" w:name="_Toc201743120"/>
      <w:bookmarkStart w:id="122" w:name="_Toc201719122"/>
      <w:r>
        <w:rPr>
          <w:rFonts w:hint="eastAsia" w:cs="Times New Roman"/>
          <w:bCs/>
          <w:kern w:val="2"/>
          <w:sz w:val="32"/>
          <w:szCs w:val="32"/>
          <w:highlight w:val="none"/>
        </w:rPr>
        <w:t>投标函</w:t>
      </w:r>
      <w:bookmarkEnd w:id="119"/>
      <w:bookmarkEnd w:id="120"/>
      <w:bookmarkEnd w:id="121"/>
      <w:bookmarkEnd w:id="122"/>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w:t>
      </w:r>
      <w:r>
        <w:rPr>
          <w:rFonts w:hint="eastAsia"/>
          <w:szCs w:val="21"/>
          <w:highlight w:val="none"/>
          <w:u w:val="single"/>
        </w:rPr>
        <w:t>深圳市深水水务咨询有限公司</w:t>
      </w:r>
    </w:p>
    <w:p>
      <w:pPr>
        <w:spacing w:after="231" w:afterLines="50"/>
        <w:ind w:firstLine="420" w:firstLineChars="200"/>
        <w:rPr>
          <w:szCs w:val="21"/>
          <w:highlight w:val="none"/>
        </w:rPr>
      </w:pPr>
      <w:r>
        <w:rPr>
          <w:szCs w:val="21"/>
          <w:highlight w:val="none"/>
        </w:rPr>
        <w:t>1.</w:t>
      </w:r>
      <w:r>
        <w:rPr>
          <w:rFonts w:hint="eastAsia"/>
          <w:szCs w:val="21"/>
          <w:highlight w:val="none"/>
        </w:rPr>
        <w:t>根据已收到贵方的</w:t>
      </w:r>
      <w:r>
        <w:rPr>
          <w:szCs w:val="21"/>
          <w:highlight w:val="none"/>
          <w:u w:val="single"/>
        </w:rPr>
        <w:t>_______________</w:t>
      </w:r>
      <w:r>
        <w:rPr>
          <w:rFonts w:hint="eastAsia"/>
          <w:szCs w:val="21"/>
          <w:highlight w:val="none"/>
        </w:rPr>
        <w:t>项目编号为</w:t>
      </w:r>
      <w:r>
        <w:rPr>
          <w:szCs w:val="21"/>
          <w:highlight w:val="none"/>
          <w:u w:val="single"/>
        </w:rPr>
        <w:t>________</w:t>
      </w:r>
      <w:r>
        <w:rPr>
          <w:rFonts w:hint="eastAsia"/>
          <w:szCs w:val="21"/>
          <w:highlight w:val="none"/>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pPr>
        <w:spacing w:after="231"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szCs w:val="21"/>
          <w:highlight w:val="none"/>
        </w:rPr>
      </w:pPr>
      <w:r>
        <w:rPr>
          <w:szCs w:val="21"/>
          <w:highlight w:val="none"/>
        </w:rPr>
        <w:t>3.</w:t>
      </w:r>
      <w:r>
        <w:rPr>
          <w:rFonts w:hint="eastAsia"/>
          <w:szCs w:val="21"/>
          <w:highlight w:val="none"/>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szCs w:val="21"/>
          <w:highlight w:val="none"/>
        </w:rPr>
      </w:pPr>
      <w:r>
        <w:rPr>
          <w:szCs w:val="21"/>
          <w:highlight w:val="none"/>
        </w:rPr>
        <w:t>4.</w:t>
      </w:r>
      <w:r>
        <w:rPr>
          <w:rFonts w:hint="eastAsia"/>
          <w:szCs w:val="21"/>
          <w:highlight w:val="none"/>
        </w:rPr>
        <w:t>除非另外达成协议并生效，贵方的中标通知书和本投标文件将构成约束我们双方的合同。</w:t>
      </w:r>
    </w:p>
    <w:p>
      <w:pPr>
        <w:spacing w:after="231" w:afterLines="50"/>
        <w:ind w:firstLine="420" w:firstLineChars="200"/>
        <w:rPr>
          <w:szCs w:val="21"/>
          <w:highlight w:val="none"/>
        </w:rPr>
      </w:pPr>
      <w:r>
        <w:rPr>
          <w:szCs w:val="21"/>
          <w:highlight w:val="none"/>
        </w:rPr>
        <w:t>5.</w:t>
      </w:r>
      <w:r>
        <w:rPr>
          <w:rFonts w:hint="eastAsia"/>
          <w:szCs w:val="21"/>
          <w:highlight w:val="none"/>
        </w:rPr>
        <w:t>我方理解贵方将不受必须接受你们所收到的最低标价或其它任何投标文件的约束。</w:t>
      </w:r>
    </w:p>
    <w:p>
      <w:pPr>
        <w:tabs>
          <w:tab w:val="clear" w:pos="426"/>
        </w:tabs>
        <w:spacing w:line="300" w:lineRule="auto"/>
        <w:ind w:firstLine="630" w:firstLineChars="300"/>
        <w:rPr>
          <w:szCs w:val="21"/>
          <w:highlight w:val="none"/>
        </w:rPr>
      </w:pPr>
      <w:r>
        <w:rPr>
          <w:rFonts w:hint="eastAsia"/>
          <w:szCs w:val="21"/>
          <w:highlight w:val="none"/>
        </w:rPr>
        <w:t>地址：</w:t>
      </w:r>
      <w:r>
        <w:rPr>
          <w:szCs w:val="21"/>
          <w:highlight w:val="none"/>
          <w:u w:val="single"/>
        </w:rPr>
        <w:t>______________________</w:t>
      </w:r>
      <w:r>
        <w:rPr>
          <w:rFonts w:hint="eastAsia"/>
          <w:szCs w:val="21"/>
          <w:highlight w:val="none"/>
        </w:rPr>
        <w:t>电话：</w:t>
      </w:r>
      <w:r>
        <w:rPr>
          <w:szCs w:val="21"/>
          <w:highlight w:val="none"/>
          <w:u w:val="single"/>
        </w:rPr>
        <w:t>______________________</w:t>
      </w:r>
    </w:p>
    <w:p>
      <w:pPr>
        <w:tabs>
          <w:tab w:val="clear" w:pos="426"/>
        </w:tabs>
        <w:spacing w:line="300" w:lineRule="auto"/>
        <w:ind w:firstLine="630" w:firstLineChars="300"/>
        <w:rPr>
          <w:szCs w:val="21"/>
          <w:highlight w:val="none"/>
          <w:u w:val="single"/>
        </w:rPr>
      </w:pPr>
      <w:r>
        <w:rPr>
          <w:rFonts w:hint="eastAsia"/>
          <w:szCs w:val="21"/>
          <w:highlight w:val="none"/>
        </w:rPr>
        <w:t>投标供应商名称（公章）：</w:t>
      </w:r>
      <w:r>
        <w:rPr>
          <w:szCs w:val="21"/>
          <w:highlight w:val="none"/>
          <w:u w:val="single"/>
        </w:rPr>
        <w:t>______________________</w:t>
      </w:r>
    </w:p>
    <w:p>
      <w:pPr>
        <w:tabs>
          <w:tab w:val="clear" w:pos="426"/>
        </w:tabs>
        <w:spacing w:line="300" w:lineRule="auto"/>
        <w:ind w:firstLine="630" w:firstLineChars="300"/>
        <w:rPr>
          <w:szCs w:val="21"/>
          <w:highlight w:val="none"/>
          <w:u w:val="single"/>
        </w:rPr>
      </w:pPr>
      <w:r>
        <w:rPr>
          <w:rFonts w:hint="eastAsia"/>
          <w:szCs w:val="21"/>
          <w:highlight w:val="none"/>
        </w:rPr>
        <w:t>投标供应商代表（签字</w:t>
      </w:r>
      <w:r>
        <w:rPr>
          <w:szCs w:val="21"/>
          <w:highlight w:val="none"/>
        </w:rPr>
        <w:t>)</w:t>
      </w:r>
      <w:r>
        <w:rPr>
          <w:rFonts w:hint="eastAsia"/>
          <w:szCs w:val="21"/>
          <w:highlight w:val="none"/>
        </w:rPr>
        <w:t>：</w:t>
      </w:r>
      <w:r>
        <w:rPr>
          <w:szCs w:val="21"/>
          <w:highlight w:val="none"/>
          <w:u w:val="single"/>
        </w:rPr>
        <w:t>______________________</w:t>
      </w:r>
    </w:p>
    <w:p>
      <w:pPr>
        <w:tabs>
          <w:tab w:val="clear" w:pos="426"/>
        </w:tabs>
        <w:spacing w:line="300" w:lineRule="auto"/>
        <w:ind w:firstLine="630" w:firstLineChars="300"/>
        <w:rPr>
          <w:szCs w:val="21"/>
          <w:highlight w:val="none"/>
          <w:u w:val="single"/>
        </w:rPr>
      </w:pPr>
      <w:r>
        <w:rPr>
          <w:rFonts w:hint="eastAsia"/>
          <w:szCs w:val="21"/>
          <w:highlight w:val="none"/>
        </w:rPr>
        <w:t>日期：</w:t>
      </w:r>
      <w:r>
        <w:rPr>
          <w:szCs w:val="21"/>
          <w:highlight w:val="none"/>
          <w:u w:val="single"/>
        </w:rPr>
        <w:t>______________________</w:t>
      </w: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p>
    <w:p>
      <w:pPr>
        <w:tabs>
          <w:tab w:val="clear" w:pos="426"/>
        </w:tabs>
        <w:spacing w:line="300" w:lineRule="auto"/>
        <w:rPr>
          <w:szCs w:val="21"/>
          <w:highlight w:val="none"/>
        </w:rPr>
      </w:pPr>
    </w:p>
    <w:p>
      <w:pPr>
        <w:shd w:val="clear" w:color="auto" w:fill="auto"/>
        <w:tabs>
          <w:tab w:val="clear" w:pos="426"/>
        </w:tabs>
        <w:adjustRightInd/>
        <w:snapToGrid/>
        <w:spacing w:line="240" w:lineRule="auto"/>
        <w:jc w:val="left"/>
        <w:rPr>
          <w:szCs w:val="21"/>
          <w:highlight w:val="none"/>
        </w:rPr>
      </w:pPr>
      <w:r>
        <w:rPr>
          <w:szCs w:val="21"/>
          <w:highlight w:val="none"/>
        </w:rPr>
        <w:br w:type="page"/>
      </w:r>
    </w:p>
    <w:p>
      <w:pPr>
        <w:pStyle w:val="4"/>
        <w:numPr>
          <w:ilvl w:val="0"/>
          <w:numId w:val="38"/>
        </w:numPr>
        <w:tabs>
          <w:tab w:val="left" w:pos="420"/>
          <w:tab w:val="clear" w:pos="426"/>
          <w:tab w:val="clear" w:pos="1680"/>
        </w:tabs>
        <w:jc w:val="left"/>
        <w:rPr>
          <w:highlight w:val="none"/>
        </w:rPr>
      </w:pPr>
      <w:bookmarkStart w:id="123" w:name="_Toc36822689"/>
      <w:r>
        <w:rPr>
          <w:rFonts w:hint="eastAsia"/>
          <w:highlight w:val="none"/>
        </w:rPr>
        <w:t>、政府采购投标及履约承诺函</w:t>
      </w:r>
      <w:bookmarkEnd w:id="123"/>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政府采购投标及履约承诺函</w:t>
      </w:r>
    </w:p>
    <w:p>
      <w:pPr>
        <w:tabs>
          <w:tab w:val="clear" w:pos="426"/>
        </w:tabs>
        <w:rPr>
          <w:highlight w:val="none"/>
        </w:rPr>
      </w:pPr>
      <w:r>
        <w:rPr>
          <w:rFonts w:hint="eastAsia"/>
          <w:highlight w:val="none"/>
        </w:rPr>
        <w:t>深圳市深水水务咨询有限公司：</w:t>
      </w:r>
    </w:p>
    <w:p>
      <w:pPr>
        <w:tabs>
          <w:tab w:val="clear" w:pos="426"/>
        </w:tabs>
        <w:spacing w:line="240" w:lineRule="auto"/>
        <w:ind w:firstLine="424" w:firstLineChars="202"/>
        <w:rPr>
          <w:highlight w:val="none"/>
        </w:rPr>
      </w:pPr>
      <w:r>
        <w:rPr>
          <w:rFonts w:hint="eastAsia"/>
          <w:highlight w:val="none"/>
        </w:rPr>
        <w:t>我单位承诺：</w:t>
      </w:r>
    </w:p>
    <w:p>
      <w:pPr>
        <w:tabs>
          <w:tab w:val="clear" w:pos="426"/>
        </w:tabs>
        <w:spacing w:line="240" w:lineRule="auto"/>
        <w:ind w:firstLine="424" w:firstLineChars="202"/>
        <w:rPr>
          <w:highlight w:val="none"/>
        </w:rPr>
      </w:pPr>
      <w:r>
        <w:rPr>
          <w:rFonts w:hint="eastAsia"/>
          <w:highlight w:val="none"/>
        </w:rPr>
        <w:t>1.我单位参与本项目所投标（响应）的货物、工程或服务，不存在侵犯知识产权的情况；已知悉并同意中标（成交）结果信息公示（公开）的内容。</w:t>
      </w:r>
    </w:p>
    <w:p>
      <w:pPr>
        <w:tabs>
          <w:tab w:val="clear" w:pos="426"/>
        </w:tabs>
        <w:spacing w:line="240" w:lineRule="auto"/>
        <w:ind w:firstLine="424" w:firstLineChars="202"/>
        <w:rPr>
          <w:highlight w:val="none"/>
        </w:rPr>
      </w:pPr>
      <w:r>
        <w:rPr>
          <w:rFonts w:hint="eastAsia"/>
          <w:highlight w:val="none"/>
        </w:rPr>
        <w:t>2.我单位参与该项目投标，符合招标文件关于联合体及进口产品的相关资格要求。</w:t>
      </w:r>
    </w:p>
    <w:p>
      <w:pPr>
        <w:tabs>
          <w:tab w:val="clear" w:pos="426"/>
        </w:tabs>
        <w:spacing w:line="240" w:lineRule="auto"/>
        <w:ind w:firstLine="424" w:firstLineChars="202"/>
        <w:rPr>
          <w:highlight w:val="none"/>
        </w:rPr>
      </w:pPr>
      <w:r>
        <w:rPr>
          <w:rFonts w:hint="eastAsia"/>
          <w:highlight w:val="none"/>
        </w:rPr>
        <w:t>3.我单位参与本项目政府采购活动时不存在被有关部门禁止参与政府采购活动且在有效期内的情况。</w:t>
      </w:r>
    </w:p>
    <w:p>
      <w:pPr>
        <w:tabs>
          <w:tab w:val="clear" w:pos="426"/>
        </w:tabs>
        <w:spacing w:line="240" w:lineRule="auto"/>
        <w:ind w:firstLine="424" w:firstLineChars="202"/>
        <w:rPr>
          <w:highlight w:val="none"/>
        </w:rPr>
      </w:pPr>
      <w:r>
        <w:rPr>
          <w:rFonts w:hint="eastAsia"/>
          <w:highlight w:val="none"/>
        </w:rPr>
        <w:t>4</w:t>
      </w:r>
      <w:r>
        <w:rPr>
          <w:highlight w:val="none"/>
        </w:rPr>
        <w:t>.</w:t>
      </w:r>
      <w:r>
        <w:rPr>
          <w:rFonts w:hint="eastAsia"/>
          <w:highlight w:val="none"/>
        </w:rPr>
        <w:t>我单位参与本项目投标前三年内，在经营活动中没有重大违法记录。</w:t>
      </w:r>
    </w:p>
    <w:p>
      <w:pPr>
        <w:tabs>
          <w:tab w:val="clear" w:pos="426"/>
        </w:tabs>
        <w:spacing w:line="240" w:lineRule="auto"/>
        <w:ind w:firstLine="424" w:firstLineChars="202"/>
        <w:rPr>
          <w:highlight w:val="none"/>
        </w:rPr>
      </w:pPr>
      <w:r>
        <w:rPr>
          <w:highlight w:val="none"/>
        </w:rPr>
        <w:t>5</w:t>
      </w:r>
      <w:r>
        <w:rPr>
          <w:rFonts w:hint="eastAsia"/>
          <w:highlight w:val="none"/>
        </w:rPr>
        <w:t>.我单位具备《中华人民共和国政府采购法》第二十二条的条件。</w:t>
      </w:r>
    </w:p>
    <w:p>
      <w:pPr>
        <w:tabs>
          <w:tab w:val="clear" w:pos="426"/>
        </w:tabs>
        <w:spacing w:line="240" w:lineRule="auto"/>
        <w:ind w:firstLine="424" w:firstLineChars="202"/>
        <w:rPr>
          <w:highlight w:val="none"/>
        </w:rPr>
      </w:pPr>
      <w:r>
        <w:rPr>
          <w:highlight w:val="none"/>
        </w:rPr>
        <w:t>6</w:t>
      </w:r>
      <w:r>
        <w:rPr>
          <w:rFonts w:hint="eastAsia"/>
          <w:highlight w:val="none"/>
        </w:rPr>
        <w:t>.我单位未被列入失信被执行人、重大税收违法案件当事人名单（重大税收违法失信主体）、政府采购严重违法失信行为记录名单</w:t>
      </w:r>
    </w:p>
    <w:p>
      <w:pPr>
        <w:tabs>
          <w:tab w:val="clear" w:pos="426"/>
        </w:tabs>
        <w:spacing w:line="240" w:lineRule="auto"/>
        <w:ind w:firstLine="424" w:firstLineChars="202"/>
        <w:rPr>
          <w:highlight w:val="none"/>
        </w:rPr>
      </w:pPr>
      <w:r>
        <w:rPr>
          <w:highlight w:val="none"/>
        </w:rPr>
        <w:t>7</w:t>
      </w:r>
      <w:r>
        <w:rPr>
          <w:rFonts w:hint="eastAsia"/>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tabs>
          <w:tab w:val="clear" w:pos="426"/>
        </w:tabs>
        <w:spacing w:line="240" w:lineRule="auto"/>
        <w:ind w:firstLine="424" w:firstLineChars="202"/>
        <w:rPr>
          <w:highlight w:val="none"/>
        </w:rPr>
      </w:pPr>
      <w:r>
        <w:rPr>
          <w:highlight w:val="none"/>
        </w:rPr>
        <w:t>8</w:t>
      </w:r>
      <w:r>
        <w:rPr>
          <w:rFonts w:hint="eastAsia"/>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tabs>
          <w:tab w:val="clear" w:pos="426"/>
        </w:tabs>
        <w:spacing w:line="240" w:lineRule="auto"/>
        <w:ind w:firstLine="424" w:firstLineChars="202"/>
        <w:rPr>
          <w:highlight w:val="none"/>
        </w:rPr>
      </w:pPr>
      <w:r>
        <w:rPr>
          <w:rFonts w:hint="eastAsia"/>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tabs>
          <w:tab w:val="clear" w:pos="426"/>
        </w:tabs>
        <w:spacing w:line="240" w:lineRule="auto"/>
        <w:ind w:firstLine="424" w:firstLineChars="202"/>
        <w:rPr>
          <w:highlight w:val="none"/>
        </w:rPr>
      </w:pPr>
      <w:r>
        <w:rPr>
          <w:highlight w:val="none"/>
        </w:rPr>
        <w:t>9</w:t>
      </w:r>
      <w:r>
        <w:rPr>
          <w:rFonts w:hint="eastAsia"/>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tabs>
          <w:tab w:val="clear" w:pos="426"/>
        </w:tabs>
        <w:spacing w:line="240" w:lineRule="auto"/>
        <w:ind w:firstLine="424" w:firstLineChars="202"/>
        <w:rPr>
          <w:highlight w:val="none"/>
        </w:rPr>
      </w:pPr>
      <w:r>
        <w:rPr>
          <w:highlight w:val="none"/>
        </w:rPr>
        <w:t>10</w:t>
      </w:r>
      <w:r>
        <w:rPr>
          <w:rFonts w:hint="eastAsia"/>
          <w:highlight w:val="none"/>
        </w:rPr>
        <w:t>.我单位承诺中标后项目不转包，未经采购人同意不进行分包。</w:t>
      </w:r>
    </w:p>
    <w:p>
      <w:pPr>
        <w:tabs>
          <w:tab w:val="clear" w:pos="426"/>
        </w:tabs>
        <w:spacing w:line="240" w:lineRule="auto"/>
        <w:ind w:firstLine="424" w:firstLineChars="202"/>
        <w:rPr>
          <w:highlight w:val="none"/>
        </w:rPr>
      </w:pPr>
      <w:r>
        <w:rPr>
          <w:rFonts w:hint="eastAsia"/>
          <w:highlight w:val="none"/>
        </w:rPr>
        <w:t>1</w:t>
      </w:r>
      <w:r>
        <w:rPr>
          <w:highlight w:val="none"/>
        </w:rPr>
        <w:t>1</w:t>
      </w:r>
      <w:r>
        <w:rPr>
          <w:rFonts w:hint="eastAsia"/>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tabs>
          <w:tab w:val="clear" w:pos="426"/>
        </w:tabs>
        <w:spacing w:line="240" w:lineRule="auto"/>
        <w:ind w:firstLine="424" w:firstLineChars="202"/>
        <w:rPr>
          <w:highlight w:val="none"/>
        </w:rPr>
      </w:pPr>
      <w:r>
        <w:rPr>
          <w:rFonts w:hint="eastAsia"/>
          <w:highlight w:val="none"/>
        </w:rPr>
        <w:t>1</w:t>
      </w:r>
      <w:r>
        <w:rPr>
          <w:highlight w:val="none"/>
        </w:rPr>
        <w:t>2</w:t>
      </w:r>
      <w:r>
        <w:rPr>
          <w:rFonts w:hint="eastAsia"/>
          <w:highlight w:val="none"/>
        </w:rPr>
        <w:t>.我单位保证，若所投货物涉及《财政部生态环境部关于印发节能产品政府采购品目清单的通知》（财库〔2019〕19号）列明的政府采购强制产品，则所投该产品符合节能产品的认证要求。</w:t>
      </w:r>
    </w:p>
    <w:p>
      <w:pPr>
        <w:tabs>
          <w:tab w:val="clear" w:pos="426"/>
        </w:tabs>
        <w:spacing w:line="240" w:lineRule="auto"/>
        <w:ind w:firstLine="424" w:firstLineChars="202"/>
        <w:rPr>
          <w:highlight w:val="none"/>
        </w:rPr>
      </w:pPr>
      <w:r>
        <w:rPr>
          <w:rFonts w:hint="eastAsia"/>
          <w:highlight w:val="none"/>
        </w:rPr>
        <w:t>1</w:t>
      </w:r>
      <w:r>
        <w:rPr>
          <w:highlight w:val="none"/>
        </w:rPr>
        <w:t>3</w:t>
      </w:r>
      <w:r>
        <w:rPr>
          <w:rFonts w:hint="eastAsia"/>
          <w:highlight w:val="none"/>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tabs>
          <w:tab w:val="clear" w:pos="426"/>
        </w:tabs>
        <w:spacing w:line="240" w:lineRule="auto"/>
        <w:ind w:firstLine="424" w:firstLineChars="202"/>
        <w:rPr>
          <w:highlight w:val="none"/>
        </w:rPr>
      </w:pPr>
      <w:r>
        <w:rPr>
          <w:rFonts w:hint="eastAsia"/>
          <w:highlight w:val="none"/>
        </w:rPr>
        <w:t>1</w:t>
      </w:r>
      <w:r>
        <w:rPr>
          <w:highlight w:val="none"/>
        </w:rPr>
        <w:t>4</w:t>
      </w:r>
      <w:r>
        <w:rPr>
          <w:rFonts w:hint="eastAsia"/>
          <w:highlight w:val="none"/>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tabs>
          <w:tab w:val="clear" w:pos="426"/>
        </w:tabs>
        <w:spacing w:line="240" w:lineRule="auto"/>
        <w:ind w:firstLine="424" w:firstLineChars="202"/>
        <w:rPr>
          <w:highlight w:val="none"/>
        </w:rPr>
      </w:pPr>
      <w:r>
        <w:rPr>
          <w:rFonts w:hint="eastAsia"/>
          <w:highlight w:val="none"/>
        </w:rPr>
        <w:t>1</w:t>
      </w:r>
      <w:r>
        <w:rPr>
          <w:highlight w:val="none"/>
        </w:rPr>
        <w:t>5.</w:t>
      </w:r>
      <w:r>
        <w:rPr>
          <w:rFonts w:hint="eastAsia"/>
          <w:highlight w:val="none"/>
        </w:rPr>
        <w:t>我单位不联合体投标，不分包、转包。</w:t>
      </w:r>
    </w:p>
    <w:p>
      <w:pPr>
        <w:tabs>
          <w:tab w:val="clear" w:pos="426"/>
        </w:tabs>
        <w:spacing w:line="240" w:lineRule="auto"/>
        <w:ind w:firstLine="424" w:firstLineChars="202"/>
        <w:rPr>
          <w:highlight w:val="none"/>
        </w:rPr>
      </w:pPr>
      <w:r>
        <w:rPr>
          <w:rFonts w:hint="eastAsia"/>
          <w:highlight w:val="none"/>
        </w:rPr>
        <w:t>以上承诺，如有违反，愿依照国家相关法律处理，并承担由此给采购人带来的损失。</w:t>
      </w:r>
    </w:p>
    <w:p>
      <w:pPr>
        <w:tabs>
          <w:tab w:val="clear" w:pos="426"/>
        </w:tabs>
        <w:spacing w:line="240" w:lineRule="auto"/>
        <w:ind w:firstLine="420"/>
        <w:rPr>
          <w:highlight w:val="none"/>
        </w:rPr>
      </w:pPr>
      <w:r>
        <w:rPr>
          <w:rFonts w:hint="eastAsia"/>
          <w:highlight w:val="none"/>
        </w:rPr>
        <w:t>特此声明！</w:t>
      </w:r>
    </w:p>
    <w:p>
      <w:pPr>
        <w:tabs>
          <w:tab w:val="clear" w:pos="426"/>
        </w:tabs>
        <w:ind w:firstLine="420"/>
        <w:rPr>
          <w:highlight w:val="none"/>
          <w:u w:val="single"/>
        </w:rPr>
      </w:pPr>
      <w:r>
        <w:rPr>
          <w:rFonts w:hint="eastAsia"/>
          <w:highlight w:val="none"/>
        </w:rPr>
        <w:t>单位名称：</w:t>
      </w:r>
      <w:r>
        <w:rPr>
          <w:szCs w:val="21"/>
          <w:highlight w:val="none"/>
          <w:u w:val="single"/>
        </w:rPr>
        <w:t>______________________</w:t>
      </w:r>
    </w:p>
    <w:p>
      <w:pPr>
        <w:tabs>
          <w:tab w:val="clear" w:pos="426"/>
        </w:tabs>
        <w:ind w:firstLine="420"/>
        <w:rPr>
          <w:highlight w:val="none"/>
          <w:u w:val="single"/>
        </w:rPr>
      </w:pPr>
      <w:r>
        <w:rPr>
          <w:rFonts w:hint="eastAsia"/>
          <w:highlight w:val="none"/>
        </w:rPr>
        <w:t>法定代表人或投标供应商授权代表（签名或盖章）：</w:t>
      </w:r>
      <w:r>
        <w:rPr>
          <w:szCs w:val="21"/>
          <w:highlight w:val="none"/>
          <w:u w:val="single"/>
        </w:rPr>
        <w:t>______________________</w:t>
      </w:r>
    </w:p>
    <w:p>
      <w:pPr>
        <w:tabs>
          <w:tab w:val="clear" w:pos="426"/>
        </w:tabs>
        <w:ind w:firstLine="420"/>
        <w:rPr>
          <w:highlight w:val="none"/>
          <w:u w:val="single"/>
        </w:rPr>
      </w:pPr>
      <w:r>
        <w:rPr>
          <w:rFonts w:hint="eastAsia"/>
          <w:highlight w:val="none"/>
        </w:rPr>
        <w:t>单位地址：</w:t>
      </w:r>
      <w:r>
        <w:rPr>
          <w:szCs w:val="21"/>
          <w:highlight w:val="none"/>
          <w:u w:val="single"/>
        </w:rPr>
        <w:t>______________________</w:t>
      </w:r>
    </w:p>
    <w:p>
      <w:pPr>
        <w:tabs>
          <w:tab w:val="clear" w:pos="426"/>
        </w:tabs>
        <w:ind w:firstLine="420"/>
        <w:rPr>
          <w:highlight w:val="none"/>
          <w:u w:val="single"/>
        </w:rPr>
      </w:pPr>
      <w:r>
        <w:rPr>
          <w:rFonts w:hint="eastAsia"/>
          <w:highlight w:val="none"/>
        </w:rPr>
        <w:t>单位公章：</w:t>
      </w:r>
      <w:r>
        <w:rPr>
          <w:szCs w:val="21"/>
          <w:highlight w:val="none"/>
          <w:u w:val="single"/>
        </w:rPr>
        <w:t>______________________</w:t>
      </w:r>
    </w:p>
    <w:p>
      <w:pPr>
        <w:tabs>
          <w:tab w:val="clear" w:pos="426"/>
        </w:tabs>
        <w:ind w:firstLine="420"/>
        <w:rPr>
          <w:highlight w:val="none"/>
          <w:u w:val="single"/>
        </w:rPr>
      </w:pPr>
      <w:r>
        <w:rPr>
          <w:rFonts w:hint="eastAsia"/>
          <w:highlight w:val="none"/>
        </w:rPr>
        <w:t>邮政编码：</w:t>
      </w:r>
      <w:r>
        <w:rPr>
          <w:szCs w:val="21"/>
          <w:highlight w:val="none"/>
          <w:u w:val="single"/>
        </w:rPr>
        <w:t>______________________</w:t>
      </w:r>
      <w:r>
        <w:rPr>
          <w:rFonts w:hint="eastAsia"/>
          <w:highlight w:val="none"/>
        </w:rPr>
        <w:t>日期：</w:t>
      </w:r>
      <w:r>
        <w:rPr>
          <w:szCs w:val="21"/>
          <w:highlight w:val="none"/>
          <w:u w:val="single"/>
        </w:rPr>
        <w:t>______________________</w:t>
      </w:r>
    </w:p>
    <w:p>
      <w:pPr>
        <w:tabs>
          <w:tab w:val="clear" w:pos="426"/>
        </w:tabs>
        <w:ind w:firstLine="420" w:firstLineChars="200"/>
        <w:rPr>
          <w:rFonts w:hAnsi="Calibri"/>
          <w:sz w:val="22"/>
          <w:szCs w:val="21"/>
          <w:highlight w:val="none"/>
        </w:rPr>
      </w:pPr>
      <w:r>
        <w:rPr>
          <w:rFonts w:hint="eastAsia"/>
          <w:highlight w:val="none"/>
        </w:rPr>
        <w:t>联系电话：</w:t>
      </w:r>
      <w:r>
        <w:rPr>
          <w:szCs w:val="21"/>
          <w:highlight w:val="none"/>
          <w:u w:val="single"/>
        </w:rPr>
        <w:t>______________________</w:t>
      </w:r>
      <w:bookmarkStart w:id="124" w:name="_Toc36822690"/>
    </w:p>
    <w:p>
      <w:pPr>
        <w:shd w:val="clear" w:color="auto" w:fill="auto"/>
        <w:tabs>
          <w:tab w:val="clear" w:pos="426"/>
        </w:tabs>
        <w:adjustRightInd/>
        <w:snapToGrid/>
        <w:spacing w:line="240" w:lineRule="auto"/>
        <w:jc w:val="left"/>
        <w:rPr>
          <w:rFonts w:hAnsi="Calibri"/>
          <w:sz w:val="22"/>
          <w:szCs w:val="21"/>
          <w:highlight w:val="none"/>
        </w:rPr>
      </w:pPr>
      <w:r>
        <w:rPr>
          <w:rFonts w:hAnsi="Calibri"/>
          <w:sz w:val="22"/>
          <w:szCs w:val="21"/>
          <w:highlight w:val="none"/>
        </w:rPr>
        <w:br w:type="page"/>
      </w:r>
    </w:p>
    <w:p>
      <w:pPr>
        <w:pStyle w:val="4"/>
        <w:numPr>
          <w:ilvl w:val="0"/>
          <w:numId w:val="38"/>
        </w:numPr>
        <w:tabs>
          <w:tab w:val="clear" w:pos="1680"/>
        </w:tabs>
        <w:jc w:val="left"/>
        <w:rPr>
          <w:highlight w:val="none"/>
        </w:rPr>
      </w:pPr>
      <w:r>
        <w:rPr>
          <w:rFonts w:hint="eastAsia"/>
          <w:highlight w:val="none"/>
        </w:rPr>
        <w:t>、法定代表人授权委托书、法定代表人证明书</w:t>
      </w:r>
      <w:bookmarkEnd w:id="124"/>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p>
    <w:p>
      <w:pPr>
        <w:pStyle w:val="43"/>
        <w:tabs>
          <w:tab w:val="clear" w:pos="426"/>
        </w:tabs>
        <w:ind w:firstLine="420" w:firstLineChars="200"/>
        <w:rPr>
          <w:highlight w:val="none"/>
        </w:rPr>
      </w:pPr>
    </w:p>
    <w:p>
      <w:pPr>
        <w:pStyle w:val="43"/>
        <w:tabs>
          <w:tab w:val="clear" w:pos="426"/>
        </w:tabs>
        <w:ind w:firstLine="420" w:firstLineChars="200"/>
        <w:rPr>
          <w:highlight w:val="none"/>
        </w:rPr>
      </w:pPr>
      <w:r>
        <w:rPr>
          <w:rFonts w:hint="eastAsia"/>
          <w:highlight w:val="none"/>
        </w:rPr>
        <w:t>本授权委托书声明：注册于</w:t>
      </w:r>
      <w:r>
        <w:rPr>
          <w:highlight w:val="none"/>
          <w:u w:val="single"/>
        </w:rPr>
        <w:t>_</w:t>
      </w:r>
      <w:r>
        <w:rPr>
          <w:rFonts w:hint="eastAsia"/>
          <w:highlight w:val="none"/>
          <w:u w:val="single"/>
        </w:rPr>
        <w:t>（投标供应商地址）</w:t>
      </w:r>
      <w:r>
        <w:rPr>
          <w:highlight w:val="none"/>
          <w:u w:val="single"/>
        </w:rPr>
        <w:t>__</w:t>
      </w:r>
      <w:r>
        <w:rPr>
          <w:rFonts w:hint="eastAsia"/>
          <w:highlight w:val="none"/>
        </w:rPr>
        <w:t>的</w:t>
      </w:r>
      <w:r>
        <w:rPr>
          <w:highlight w:val="none"/>
          <w:u w:val="single"/>
        </w:rPr>
        <w:t>__</w:t>
      </w:r>
      <w:r>
        <w:rPr>
          <w:rFonts w:hint="eastAsia"/>
          <w:highlight w:val="none"/>
          <w:u w:val="single"/>
        </w:rPr>
        <w:t>（投标供应商名称）</w:t>
      </w:r>
      <w:r>
        <w:rPr>
          <w:highlight w:val="none"/>
          <w:u w:val="single"/>
        </w:rPr>
        <w:t>____</w:t>
      </w:r>
      <w:r>
        <w:rPr>
          <w:rFonts w:hint="eastAsia"/>
          <w:highlight w:val="none"/>
        </w:rPr>
        <w:t>在下面签名的</w:t>
      </w:r>
      <w:r>
        <w:rPr>
          <w:rFonts w:hint="eastAsia"/>
          <w:highlight w:val="none"/>
          <w:u w:val="single"/>
        </w:rPr>
        <w:t>（法定代表人姓名、职务）</w:t>
      </w:r>
      <w:r>
        <w:rPr>
          <w:rFonts w:hint="eastAsia"/>
          <w:highlight w:val="none"/>
        </w:rPr>
        <w:t>在此授权</w:t>
      </w:r>
      <w:r>
        <w:rPr>
          <w:rFonts w:hint="eastAsia"/>
          <w:highlight w:val="none"/>
          <w:u w:val="single"/>
        </w:rPr>
        <w:t>（被授权人姓名、职务）</w:t>
      </w:r>
      <w:r>
        <w:rPr>
          <w:rFonts w:hint="eastAsia"/>
          <w:highlight w:val="none"/>
        </w:rPr>
        <w:t>作为我公司的合法代理人，就</w:t>
      </w:r>
      <w:r>
        <w:rPr>
          <w:rFonts w:hint="eastAsia"/>
          <w:highlight w:val="none"/>
          <w:u w:val="single"/>
        </w:rPr>
        <w:t>（项目名称、项目编号</w:t>
      </w:r>
      <w:r>
        <w:rPr>
          <w:rFonts w:hint="eastAsia"/>
          <w:highlight w:val="none"/>
        </w:rPr>
        <w:t>）的招投标活动，采购合同的签订、执行、完成和售后服务，作为投标供应商代表以我方的名义处理一切与之有关的事务。</w:t>
      </w:r>
    </w:p>
    <w:p>
      <w:pPr>
        <w:pStyle w:val="43"/>
        <w:tabs>
          <w:tab w:val="clear" w:pos="426"/>
        </w:tabs>
        <w:ind w:firstLine="420" w:firstLineChars="200"/>
        <w:rPr>
          <w:highlight w:val="none"/>
        </w:rPr>
      </w:pPr>
      <w:r>
        <w:rPr>
          <w:rFonts w:hint="eastAsia"/>
          <w:highlight w:val="none"/>
        </w:rPr>
        <w:t>被授权人（投标供应商授权代表）无转委托权限。</w:t>
      </w:r>
    </w:p>
    <w:p>
      <w:pPr>
        <w:tabs>
          <w:tab w:val="clear" w:pos="426"/>
        </w:tabs>
        <w:ind w:firstLine="420" w:firstLineChars="200"/>
        <w:rPr>
          <w:szCs w:val="21"/>
          <w:highlight w:val="none"/>
        </w:rPr>
      </w:pPr>
      <w:r>
        <w:rPr>
          <w:rFonts w:hint="eastAsia"/>
          <w:szCs w:val="21"/>
          <w:highlight w:val="none"/>
        </w:rPr>
        <w:t>本授权书自法定代表人签字之日起生效，特此声明。</w:t>
      </w:r>
    </w:p>
    <w:p>
      <w:pPr>
        <w:tabs>
          <w:tab w:val="clear" w:pos="426"/>
        </w:tabs>
        <w:ind w:firstLine="422" w:firstLineChars="200"/>
        <w:rPr>
          <w:b/>
          <w:szCs w:val="21"/>
          <w:highlight w:val="none"/>
        </w:rPr>
      </w:pPr>
      <w:r>
        <w:rPr>
          <w:rFonts w:hint="eastAsia"/>
          <w:b/>
          <w:szCs w:val="21"/>
          <w:highlight w:val="none"/>
        </w:rPr>
        <w:t>随附《法定代表人证明》</w:t>
      </w: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0"/>
        <w:rPr>
          <w:highlight w:val="none"/>
          <w:u w:val="single"/>
        </w:rPr>
      </w:pPr>
      <w:r>
        <w:rPr>
          <w:rFonts w:hint="eastAsia"/>
          <w:highlight w:val="none"/>
        </w:rPr>
        <w:t>单位名称：</w:t>
      </w:r>
      <w:r>
        <w:rPr>
          <w:highlight w:val="none"/>
          <w:u w:val="single"/>
        </w:rPr>
        <w:t>___________________________________________________________________</w:t>
      </w:r>
    </w:p>
    <w:p>
      <w:pPr>
        <w:tabs>
          <w:tab w:val="clear" w:pos="426"/>
        </w:tabs>
        <w:ind w:firstLine="420"/>
        <w:rPr>
          <w:highlight w:val="none"/>
          <w:u w:val="single"/>
        </w:rPr>
      </w:pPr>
      <w:r>
        <w:rPr>
          <w:rFonts w:hint="eastAsia"/>
          <w:highlight w:val="none"/>
        </w:rPr>
        <w:t>法定代表人（签名或盖章）：</w:t>
      </w:r>
      <w:r>
        <w:rPr>
          <w:highlight w:val="none"/>
          <w:u w:val="single"/>
        </w:rPr>
        <w:t>__________________________________________________</w:t>
      </w:r>
    </w:p>
    <w:p>
      <w:pPr>
        <w:tabs>
          <w:tab w:val="clear" w:pos="426"/>
        </w:tabs>
        <w:ind w:firstLine="420"/>
        <w:rPr>
          <w:highlight w:val="none"/>
          <w:u w:val="single"/>
        </w:rPr>
      </w:pPr>
      <w:r>
        <w:rPr>
          <w:rFonts w:hint="eastAsia"/>
          <w:highlight w:val="none"/>
        </w:rPr>
        <w:t>投标供应商授权代表（签名或盖章）：</w:t>
      </w:r>
      <w:r>
        <w:rPr>
          <w:highlight w:val="none"/>
          <w:u w:val="single"/>
        </w:rPr>
        <w:t>_______________________________________________</w:t>
      </w:r>
    </w:p>
    <w:p>
      <w:pPr>
        <w:tabs>
          <w:tab w:val="clear" w:pos="426"/>
        </w:tabs>
        <w:ind w:firstLine="420"/>
        <w:rPr>
          <w:highlight w:val="none"/>
          <w:u w:val="single"/>
        </w:rPr>
      </w:pPr>
      <w:r>
        <w:rPr>
          <w:rFonts w:hint="eastAsia"/>
          <w:highlight w:val="none"/>
        </w:rPr>
        <w:t>单位地址：</w:t>
      </w:r>
      <w:r>
        <w:rPr>
          <w:highlight w:val="none"/>
          <w:u w:val="single"/>
        </w:rPr>
        <w:t>___________________________________________________________________</w:t>
      </w:r>
    </w:p>
    <w:p>
      <w:pPr>
        <w:tabs>
          <w:tab w:val="clear" w:pos="426"/>
        </w:tabs>
        <w:ind w:firstLine="420"/>
        <w:rPr>
          <w:highlight w:val="none"/>
          <w:u w:val="single"/>
        </w:rPr>
      </w:pPr>
      <w:r>
        <w:rPr>
          <w:rFonts w:hint="eastAsia"/>
          <w:highlight w:val="none"/>
        </w:rPr>
        <w:t>单位公章：</w:t>
      </w:r>
      <w:r>
        <w:rPr>
          <w:highlight w:val="none"/>
          <w:u w:val="single"/>
        </w:rPr>
        <w:t>___________________________________________________________________</w:t>
      </w:r>
    </w:p>
    <w:p>
      <w:pPr>
        <w:tabs>
          <w:tab w:val="clear" w:pos="426"/>
        </w:tabs>
        <w:ind w:firstLine="420"/>
        <w:rPr>
          <w:highlight w:val="none"/>
          <w:u w:val="single"/>
        </w:rPr>
      </w:pPr>
      <w:r>
        <w:rPr>
          <w:rFonts w:hint="eastAsia"/>
          <w:highlight w:val="none"/>
        </w:rPr>
        <w:t>邮政编码：</w:t>
      </w:r>
      <w:r>
        <w:rPr>
          <w:highlight w:val="none"/>
          <w:u w:val="single"/>
        </w:rPr>
        <w:t>______________________________</w:t>
      </w:r>
      <w:r>
        <w:rPr>
          <w:rFonts w:hint="eastAsia"/>
          <w:highlight w:val="none"/>
        </w:rPr>
        <w:t>日期：</w:t>
      </w:r>
      <w:r>
        <w:rPr>
          <w:highlight w:val="none"/>
          <w:u w:val="single"/>
        </w:rPr>
        <w:t>_______________________________</w:t>
      </w:r>
    </w:p>
    <w:p>
      <w:pPr>
        <w:tabs>
          <w:tab w:val="clear" w:pos="426"/>
        </w:tabs>
        <w:ind w:firstLine="424" w:firstLineChars="202"/>
        <w:rPr>
          <w:szCs w:val="21"/>
          <w:highlight w:val="none"/>
        </w:rPr>
      </w:pPr>
      <w:r>
        <w:rPr>
          <w:rFonts w:hint="eastAsia"/>
          <w:highlight w:val="none"/>
        </w:rPr>
        <w:t>联系电话：</w:t>
      </w:r>
      <w:r>
        <w:rPr>
          <w:highlight w:val="none"/>
          <w:u w:val="single"/>
        </w:rPr>
        <w:t>___________________________________________________________________</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p>
      <w:pPr>
        <w:tabs>
          <w:tab w:val="clear" w:pos="426"/>
        </w:tabs>
        <w:spacing w:line="300" w:lineRule="auto"/>
        <w:jc w:val="center"/>
        <w:rPr>
          <w:highlight w:val="none"/>
        </w:rPr>
      </w:pPr>
      <w:r>
        <w:rPr>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line="480" w:lineRule="auto"/>
        <w:ind w:firstLine="424" w:firstLineChars="202"/>
        <w:rPr>
          <w:highlight w:val="none"/>
          <w:u w:val="single"/>
        </w:rPr>
      </w:pPr>
    </w:p>
    <w:p>
      <w:pPr>
        <w:tabs>
          <w:tab w:val="clear" w:pos="426"/>
        </w:tabs>
        <w:spacing w:line="480" w:lineRule="auto"/>
        <w:ind w:firstLine="424" w:firstLineChars="202"/>
        <w:rPr>
          <w:highlight w:val="none"/>
        </w:rPr>
      </w:pPr>
      <w:r>
        <w:rPr>
          <w:highlight w:val="none"/>
          <w:u w:val="single"/>
        </w:rPr>
        <w:t>__________</w:t>
      </w:r>
      <w:r>
        <w:rPr>
          <w:rFonts w:hint="eastAsia"/>
          <w:highlight w:val="none"/>
        </w:rPr>
        <w:t>同志，现任我单位职务，为法定代表人，特此证明。</w:t>
      </w:r>
    </w:p>
    <w:p>
      <w:pPr>
        <w:tabs>
          <w:tab w:val="clear" w:pos="426"/>
        </w:tabs>
        <w:spacing w:line="480" w:lineRule="auto"/>
        <w:ind w:firstLine="424" w:firstLineChars="202"/>
        <w:rPr>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highlight w:val="none"/>
        </w:rPr>
      </w:pPr>
      <w:r>
        <w:rPr>
          <w:rFonts w:hint="eastAsia"/>
          <w:highlight w:val="none"/>
        </w:rPr>
        <w:t>附：</w:t>
      </w:r>
    </w:p>
    <w:p>
      <w:pPr>
        <w:tabs>
          <w:tab w:val="clear" w:pos="426"/>
        </w:tabs>
        <w:spacing w:line="480" w:lineRule="auto"/>
        <w:ind w:firstLine="424" w:firstLineChars="202"/>
        <w:rPr>
          <w:highlight w:val="none"/>
          <w:u w:val="single"/>
        </w:rPr>
      </w:pPr>
      <w:r>
        <w:rPr>
          <w:rFonts w:hint="eastAsia"/>
          <w:highlight w:val="none"/>
        </w:rPr>
        <w:t>营业执照（注册号）：</w:t>
      </w:r>
      <w:r>
        <w:rPr>
          <w:highlight w:val="none"/>
          <w:u w:val="single"/>
        </w:rPr>
        <w:t>____________________________________________________________________</w:t>
      </w:r>
    </w:p>
    <w:p>
      <w:pPr>
        <w:tabs>
          <w:tab w:val="clear" w:pos="426"/>
        </w:tabs>
        <w:spacing w:line="480" w:lineRule="auto"/>
        <w:ind w:firstLine="424" w:firstLineChars="202"/>
        <w:rPr>
          <w:highlight w:val="none"/>
          <w:u w:val="single"/>
        </w:rPr>
      </w:pPr>
      <w:r>
        <w:rPr>
          <w:rFonts w:hint="eastAsia"/>
          <w:highlight w:val="none"/>
        </w:rPr>
        <w:t>经济性质：</w:t>
      </w:r>
      <w:r>
        <w:rPr>
          <w:highlight w:val="none"/>
          <w:u w:val="single"/>
        </w:rPr>
        <w:t>____________________________________________________________________________</w:t>
      </w:r>
    </w:p>
    <w:p>
      <w:pPr>
        <w:tabs>
          <w:tab w:val="clear" w:pos="426"/>
        </w:tabs>
        <w:spacing w:line="480" w:lineRule="auto"/>
        <w:ind w:firstLine="424" w:firstLineChars="202"/>
        <w:rPr>
          <w:highlight w:val="none"/>
          <w:u w:val="single"/>
        </w:rPr>
      </w:pPr>
      <w:r>
        <w:rPr>
          <w:rFonts w:hint="eastAsia"/>
          <w:highlight w:val="none"/>
        </w:rPr>
        <w:t>主营（产）：</w:t>
      </w:r>
      <w:r>
        <w:rPr>
          <w:highlight w:val="none"/>
          <w:u w:val="single"/>
        </w:rPr>
        <w:t>____________________________________________________________________________</w:t>
      </w:r>
    </w:p>
    <w:p>
      <w:pPr>
        <w:tabs>
          <w:tab w:val="clear" w:pos="426"/>
        </w:tabs>
        <w:spacing w:line="480" w:lineRule="auto"/>
        <w:ind w:firstLine="424" w:firstLineChars="202"/>
        <w:rPr>
          <w:highlight w:val="none"/>
          <w:u w:val="single"/>
        </w:rPr>
      </w:pPr>
      <w:r>
        <w:rPr>
          <w:rFonts w:hint="eastAsia"/>
          <w:highlight w:val="none"/>
        </w:rPr>
        <w:t>兼营（产）：</w:t>
      </w:r>
      <w:r>
        <w:rPr>
          <w:highlight w:val="none"/>
          <w:u w:val="single"/>
        </w:rPr>
        <w:t>____________________________________________________________________________</w:t>
      </w:r>
    </w:p>
    <w:p>
      <w:pPr>
        <w:tabs>
          <w:tab w:val="clear" w:pos="426"/>
        </w:tabs>
        <w:ind w:firstLine="424" w:firstLineChars="202"/>
        <w:rPr>
          <w:highlight w:val="none"/>
        </w:rPr>
      </w:pPr>
    </w:p>
    <w:p>
      <w:pPr>
        <w:tabs>
          <w:tab w:val="clear" w:pos="426"/>
        </w:tabs>
        <w:ind w:firstLine="424" w:firstLineChars="202"/>
        <w:rPr>
          <w:szCs w:val="21"/>
          <w:highlight w:val="none"/>
        </w:rPr>
      </w:pPr>
      <w:r>
        <w:rPr>
          <w:rFonts w:hint="eastAsia"/>
          <w:szCs w:val="21"/>
          <w:highlight w:val="none"/>
        </w:rPr>
        <w:t>附：法定代表人身份证复印件：</w:t>
      </w: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spacing w:line="500" w:lineRule="exact"/>
        <w:ind w:left="3822" w:leftChars="1820"/>
        <w:rPr>
          <w:highlight w:val="none"/>
          <w:u w:val="single"/>
        </w:rPr>
      </w:pPr>
      <w:r>
        <w:rPr>
          <w:rFonts w:hint="eastAsia"/>
          <w:highlight w:val="none"/>
        </w:rPr>
        <w:t>投标供应商名称（单位盖</w:t>
      </w:r>
      <w:r>
        <w:rPr>
          <w:rFonts w:hint="eastAsia"/>
          <w:spacing w:val="4"/>
          <w:highlight w:val="none"/>
        </w:rPr>
        <w:t>公章</w:t>
      </w:r>
      <w:r>
        <w:rPr>
          <w:rFonts w:hint="eastAsia"/>
          <w:highlight w:val="none"/>
        </w:rPr>
        <w:t>）：</w:t>
      </w:r>
      <w:r>
        <w:rPr>
          <w:highlight w:val="none"/>
          <w:u w:val="single"/>
        </w:rPr>
        <w:t>_______________________</w:t>
      </w:r>
    </w:p>
    <w:p>
      <w:pPr>
        <w:tabs>
          <w:tab w:val="clear" w:pos="426"/>
        </w:tabs>
        <w:spacing w:line="500" w:lineRule="exact"/>
        <w:ind w:left="3822" w:leftChars="1820"/>
        <w:rPr>
          <w:highlight w:val="none"/>
          <w:u w:val="single"/>
        </w:rPr>
      </w:pPr>
      <w:r>
        <w:rPr>
          <w:rFonts w:hint="eastAsia"/>
          <w:highlight w:val="none"/>
        </w:rPr>
        <w:t>地址：</w:t>
      </w:r>
      <w:r>
        <w:rPr>
          <w:highlight w:val="none"/>
          <w:u w:val="single"/>
        </w:rPr>
        <w:t>___________________________________________</w:t>
      </w:r>
    </w:p>
    <w:p>
      <w:pPr>
        <w:tabs>
          <w:tab w:val="clear" w:pos="426"/>
        </w:tabs>
        <w:spacing w:line="500" w:lineRule="exact"/>
        <w:ind w:left="3822" w:leftChars="1820"/>
        <w:rPr>
          <w:highlight w:val="none"/>
          <w:u w:val="single"/>
        </w:rPr>
      </w:pPr>
      <w:r>
        <w:rPr>
          <w:rFonts w:hint="eastAsia"/>
          <w:highlight w:val="none"/>
        </w:rPr>
        <w:t>签发日期：</w:t>
      </w:r>
      <w:r>
        <w:rPr>
          <w:highlight w:val="none"/>
          <w:u w:val="single"/>
        </w:rPr>
        <w:t>_______________________________________</w:t>
      </w:r>
    </w:p>
    <w:p>
      <w:pPr>
        <w:tabs>
          <w:tab w:val="clear" w:pos="426"/>
        </w:tabs>
        <w:spacing w:line="500" w:lineRule="exact"/>
        <w:ind w:left="3822" w:leftChars="1820"/>
        <w:rPr>
          <w:b/>
          <w:bCs/>
          <w:highlight w:val="none"/>
          <w:u w:val="single"/>
        </w:rPr>
      </w:pPr>
    </w:p>
    <w:p>
      <w:pPr>
        <w:pStyle w:val="4"/>
        <w:numPr>
          <w:ilvl w:val="0"/>
          <w:numId w:val="38"/>
        </w:numPr>
        <w:tabs>
          <w:tab w:val="clear" w:pos="1680"/>
        </w:tabs>
        <w:jc w:val="left"/>
        <w:rPr>
          <w:highlight w:val="none"/>
        </w:rPr>
      </w:pPr>
      <w:r>
        <w:rPr>
          <w:highlight w:val="none"/>
        </w:rPr>
        <w:br w:type="page"/>
      </w:r>
      <w:bookmarkStart w:id="125" w:name="_Toc36822691"/>
      <w:r>
        <w:rPr>
          <w:rFonts w:hint="eastAsia"/>
          <w:highlight w:val="none"/>
        </w:rPr>
        <w:t>、投标供应商基本情况表</w:t>
      </w:r>
      <w:bookmarkEnd w:id="125"/>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投标供应商基本情况表</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一、公司基本情况</w:t>
      </w:r>
    </w:p>
    <w:p>
      <w:pPr>
        <w:widowControl w:val="0"/>
        <w:numPr>
          <w:ilvl w:val="1"/>
          <w:numId w:val="39"/>
        </w:numPr>
        <w:shd w:val="clear" w:color="auto" w:fill="auto"/>
        <w:tabs>
          <w:tab w:val="clear" w:pos="426"/>
        </w:tabs>
        <w:adjustRightInd/>
        <w:snapToGrid/>
        <w:ind w:left="0" w:firstLine="426"/>
        <w:rPr>
          <w:rFonts w:cs="Arial"/>
          <w:szCs w:val="21"/>
          <w:highlight w:val="none"/>
        </w:rPr>
      </w:pPr>
      <w:r>
        <w:rPr>
          <w:rFonts w:hint="eastAsia" w:cs="Arial"/>
          <w:szCs w:val="21"/>
          <w:highlight w:val="none"/>
        </w:rPr>
        <w:t>公司名称：</w:t>
      </w:r>
      <w:r>
        <w:rPr>
          <w:rFonts w:cs="Arial"/>
          <w:szCs w:val="21"/>
          <w:highlight w:val="none"/>
          <w:u w:val="single"/>
        </w:rPr>
        <w:t>___________________________________________</w:t>
      </w:r>
      <w:r>
        <w:rPr>
          <w:rFonts w:hint="eastAsia" w:cs="Arial"/>
          <w:szCs w:val="21"/>
          <w:highlight w:val="none"/>
        </w:rPr>
        <w:t>电话号码：</w:t>
      </w:r>
      <w:r>
        <w:rPr>
          <w:rFonts w:cs="Arial"/>
          <w:szCs w:val="21"/>
          <w:highlight w:val="none"/>
          <w:u w:val="single"/>
        </w:rPr>
        <w:t>_____________________</w:t>
      </w:r>
    </w:p>
    <w:p>
      <w:pPr>
        <w:widowControl w:val="0"/>
        <w:numPr>
          <w:ilvl w:val="1"/>
          <w:numId w:val="39"/>
        </w:numPr>
        <w:shd w:val="clear" w:color="auto" w:fill="auto"/>
        <w:tabs>
          <w:tab w:val="clear" w:pos="426"/>
        </w:tabs>
        <w:adjustRightInd/>
        <w:snapToGrid/>
        <w:ind w:left="0" w:firstLine="426"/>
        <w:rPr>
          <w:rFonts w:cs="Arial"/>
          <w:szCs w:val="21"/>
          <w:highlight w:val="none"/>
        </w:rPr>
      </w:pPr>
      <w:r>
        <w:rPr>
          <w:rFonts w:hint="eastAsia" w:cs="Arial"/>
          <w:szCs w:val="21"/>
          <w:highlight w:val="none"/>
        </w:rPr>
        <w:t>地址：</w:t>
      </w:r>
      <w:r>
        <w:rPr>
          <w:rFonts w:cs="Arial"/>
          <w:szCs w:val="21"/>
          <w:highlight w:val="none"/>
          <w:u w:val="single"/>
        </w:rPr>
        <w:t>___________________________________________</w:t>
      </w:r>
      <w:r>
        <w:rPr>
          <w:rFonts w:hint="eastAsia" w:cs="Arial"/>
          <w:szCs w:val="21"/>
          <w:highlight w:val="none"/>
        </w:rPr>
        <w:t>传真：</w:t>
      </w:r>
      <w:r>
        <w:rPr>
          <w:rFonts w:cs="Arial"/>
          <w:szCs w:val="21"/>
          <w:highlight w:val="none"/>
          <w:u w:val="single"/>
        </w:rPr>
        <w:t>_____________________</w:t>
      </w:r>
    </w:p>
    <w:p>
      <w:pPr>
        <w:widowControl w:val="0"/>
        <w:numPr>
          <w:ilvl w:val="1"/>
          <w:numId w:val="39"/>
        </w:numPr>
        <w:shd w:val="clear" w:color="auto" w:fill="auto"/>
        <w:tabs>
          <w:tab w:val="clear" w:pos="426"/>
        </w:tabs>
        <w:adjustRightInd/>
        <w:snapToGrid/>
        <w:ind w:left="0" w:firstLine="426"/>
        <w:rPr>
          <w:rFonts w:cs="Arial"/>
          <w:szCs w:val="21"/>
          <w:highlight w:val="none"/>
          <w:u w:val="single"/>
        </w:rPr>
      </w:pPr>
      <w:r>
        <w:rPr>
          <w:rFonts w:hint="eastAsia" w:cs="Arial"/>
          <w:szCs w:val="21"/>
          <w:highlight w:val="none"/>
        </w:rPr>
        <w:t>注册资金：</w:t>
      </w:r>
      <w:r>
        <w:rPr>
          <w:rFonts w:cs="Arial"/>
          <w:szCs w:val="21"/>
          <w:highlight w:val="none"/>
          <w:u w:val="single"/>
        </w:rPr>
        <w:t>___________________________________________</w:t>
      </w:r>
      <w:r>
        <w:rPr>
          <w:rFonts w:hint="eastAsia" w:cs="Arial"/>
          <w:szCs w:val="21"/>
          <w:highlight w:val="none"/>
        </w:rPr>
        <w:t>经济性质：</w:t>
      </w:r>
      <w:r>
        <w:rPr>
          <w:rFonts w:cs="Arial"/>
          <w:szCs w:val="21"/>
          <w:highlight w:val="none"/>
          <w:u w:val="single"/>
        </w:rPr>
        <w:t>____________________</w:t>
      </w:r>
    </w:p>
    <w:p>
      <w:pPr>
        <w:widowControl w:val="0"/>
        <w:numPr>
          <w:ilvl w:val="1"/>
          <w:numId w:val="39"/>
        </w:numPr>
        <w:shd w:val="clear" w:color="auto" w:fill="auto"/>
        <w:tabs>
          <w:tab w:val="clear" w:pos="426"/>
        </w:tabs>
        <w:adjustRightInd/>
        <w:snapToGrid/>
        <w:ind w:left="0" w:firstLine="426"/>
        <w:rPr>
          <w:rFonts w:cs="Arial"/>
          <w:szCs w:val="21"/>
          <w:highlight w:val="none"/>
          <w:u w:val="single"/>
        </w:rPr>
      </w:pPr>
      <w:r>
        <w:rPr>
          <w:rFonts w:hint="eastAsia" w:cs="Arial"/>
          <w:szCs w:val="21"/>
          <w:highlight w:val="none"/>
        </w:rPr>
        <w:t>公司开户银行名称及账号：</w:t>
      </w:r>
      <w:r>
        <w:rPr>
          <w:rFonts w:cs="Arial"/>
          <w:szCs w:val="21"/>
          <w:highlight w:val="none"/>
          <w:u w:val="single"/>
        </w:rPr>
        <w:t>____________________________________________________________</w:t>
      </w:r>
    </w:p>
    <w:p>
      <w:pPr>
        <w:widowControl w:val="0"/>
        <w:numPr>
          <w:ilvl w:val="1"/>
          <w:numId w:val="39"/>
        </w:numPr>
        <w:shd w:val="clear" w:color="auto" w:fill="auto"/>
        <w:tabs>
          <w:tab w:val="clear" w:pos="426"/>
        </w:tabs>
        <w:adjustRightInd/>
        <w:snapToGrid/>
        <w:ind w:left="0" w:firstLine="426"/>
        <w:rPr>
          <w:rFonts w:cs="Arial"/>
          <w:szCs w:val="21"/>
          <w:highlight w:val="none"/>
        </w:rPr>
      </w:pPr>
      <w:r>
        <w:rPr>
          <w:rFonts w:hint="eastAsia" w:cs="Arial"/>
          <w:szCs w:val="21"/>
          <w:highlight w:val="none"/>
        </w:rPr>
        <w:t>营业注册执照号：</w:t>
      </w:r>
      <w:r>
        <w:rPr>
          <w:rFonts w:cs="Arial"/>
          <w:szCs w:val="21"/>
          <w:highlight w:val="none"/>
          <w:u w:val="single"/>
        </w:rPr>
        <w:t>____________________________________________________________________</w:t>
      </w:r>
    </w:p>
    <w:p>
      <w:pPr>
        <w:widowControl w:val="0"/>
        <w:numPr>
          <w:ilvl w:val="1"/>
          <w:numId w:val="39"/>
        </w:numPr>
        <w:shd w:val="clear" w:color="auto" w:fill="auto"/>
        <w:tabs>
          <w:tab w:val="clear" w:pos="426"/>
        </w:tabs>
        <w:adjustRightInd/>
        <w:snapToGrid/>
        <w:ind w:left="0" w:firstLine="426"/>
        <w:rPr>
          <w:rFonts w:cs="Arial"/>
          <w:szCs w:val="21"/>
          <w:highlight w:val="none"/>
        </w:rPr>
      </w:pPr>
      <w:r>
        <w:rPr>
          <w:rFonts w:hint="eastAsia" w:cs="Arial"/>
          <w:szCs w:val="21"/>
          <w:highlight w:val="none"/>
        </w:rPr>
        <w:t>公司简介</w:t>
      </w:r>
      <w:r>
        <w:rPr>
          <w:rFonts w:cs="Arial"/>
          <w:szCs w:val="21"/>
          <w:highlight w:val="none"/>
          <w:u w:val="single"/>
        </w:rPr>
        <w:t>___________________________________________________________________________</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、技术力量、财务状况、管理水平等方面进行阐述；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二、供应商资格证明文件</w:t>
      </w:r>
    </w:p>
    <w:p>
      <w:pPr>
        <w:tabs>
          <w:tab w:val="clear" w:pos="426"/>
        </w:tabs>
        <w:spacing w:before="231" w:beforeLines="50"/>
        <w:ind w:firstLine="424" w:firstLineChars="201"/>
        <w:rPr>
          <w:rFonts w:hint="eastAsia"/>
          <w:b/>
          <w:highlight w:val="none"/>
        </w:rPr>
      </w:pPr>
      <w:r>
        <w:rPr>
          <w:rFonts w:hint="eastAsia"/>
          <w:b/>
          <w:highlight w:val="none"/>
          <w:lang w:val="en-US" w:eastAsia="zh-CN"/>
        </w:rPr>
        <w:t>1.</w:t>
      </w:r>
      <w:r>
        <w:rPr>
          <w:rFonts w:hint="eastAsia"/>
          <w:b/>
          <w:highlight w:val="none"/>
        </w:rPr>
        <w:t>投标供应商须按本招标文件第一章招标公告第二条“申请人的资格要求”提供相关的资质证明，且已接受报名的单位，不代表资格审查通过。投标文件中未提供或提供不完整、不符合要求的，投标文件将按无效标的情形处理。</w:t>
      </w:r>
    </w:p>
    <w:p>
      <w:pPr>
        <w:tabs>
          <w:tab w:val="clear" w:pos="426"/>
        </w:tabs>
        <w:spacing w:before="231" w:beforeLines="50"/>
        <w:ind w:firstLine="424" w:firstLineChars="201"/>
        <w:rPr>
          <w:b/>
          <w:highlight w:val="none"/>
        </w:rPr>
      </w:pPr>
      <w:r>
        <w:rPr>
          <w:rFonts w:hint="eastAsia"/>
          <w:b/>
          <w:highlight w:val="none"/>
        </w:rPr>
        <w:t>2</w:t>
      </w:r>
      <w:r>
        <w:rPr>
          <w:b/>
          <w:highlight w:val="none"/>
        </w:rPr>
        <w:t>.</w:t>
      </w:r>
      <w:r>
        <w:rPr>
          <w:rFonts w:hint="eastAsia"/>
          <w:b/>
          <w:highlight w:val="none"/>
        </w:rPr>
        <w:t>优惠政策声明函等证明文件（可选）</w:t>
      </w:r>
    </w:p>
    <w:p>
      <w:pPr>
        <w:tabs>
          <w:tab w:val="clear" w:pos="426"/>
        </w:tabs>
        <w:spacing w:line="400" w:lineRule="exact"/>
        <w:rPr>
          <w:highlight w:val="none"/>
        </w:rPr>
      </w:pPr>
      <w:r>
        <w:rPr>
          <w:rFonts w:hint="eastAsia"/>
          <w:highlight w:val="none"/>
        </w:rPr>
        <w:t>填写指引：</w:t>
      </w:r>
    </w:p>
    <w:p>
      <w:pPr>
        <w:tabs>
          <w:tab w:val="clear" w:pos="426"/>
        </w:tabs>
        <w:spacing w:line="400" w:lineRule="exact"/>
        <w:rPr>
          <w:highlight w:val="none"/>
        </w:rPr>
      </w:pPr>
      <w:r>
        <w:rPr>
          <w:highlight w:val="none"/>
        </w:rPr>
        <w:t>1.</w:t>
      </w:r>
      <w:r>
        <w:rPr>
          <w:rFonts w:hint="eastAsia"/>
          <w:highlight w:val="none"/>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highlight w:val="none"/>
        </w:rPr>
        <w:t>2011</w:t>
      </w:r>
      <w:r>
        <w:rPr>
          <w:rFonts w:hint="eastAsia"/>
          <w:highlight w:val="none"/>
        </w:rPr>
        <w:t>〕</w:t>
      </w:r>
      <w:r>
        <w:rPr>
          <w:highlight w:val="none"/>
        </w:rPr>
        <w:t>300</w:t>
      </w:r>
      <w:r>
        <w:rPr>
          <w:rFonts w:hint="eastAsia"/>
          <w:highlight w:val="none"/>
        </w:rPr>
        <w:t>号）。</w:t>
      </w:r>
      <w:r>
        <w:rPr>
          <w:highlight w:val="none"/>
        </w:rPr>
        <w:t xml:space="preserve"> </w:t>
      </w:r>
    </w:p>
    <w:p>
      <w:pPr>
        <w:tabs>
          <w:tab w:val="clear" w:pos="426"/>
        </w:tabs>
        <w:spacing w:line="400" w:lineRule="exact"/>
        <w:rPr>
          <w:highlight w:val="none"/>
        </w:rPr>
      </w:pPr>
      <w:r>
        <w:rPr>
          <w:highlight w:val="none"/>
        </w:rPr>
        <w:t>2.</w:t>
      </w:r>
      <w:r>
        <w:rPr>
          <w:rFonts w:hint="eastAsia"/>
          <w:highlight w:val="none"/>
        </w:rPr>
        <w:t>该部分内容填写需要参考的相关文件：</w:t>
      </w:r>
    </w:p>
    <w:p>
      <w:pPr>
        <w:tabs>
          <w:tab w:val="clear" w:pos="426"/>
        </w:tabs>
        <w:spacing w:line="400" w:lineRule="exact"/>
        <w:rPr>
          <w:highlight w:val="none"/>
        </w:rPr>
      </w:pPr>
      <w:r>
        <w:rPr>
          <w:rFonts w:hint="eastAsia"/>
          <w:highlight w:val="none"/>
        </w:rPr>
        <w:t>（</w:t>
      </w:r>
      <w:r>
        <w:rPr>
          <w:highlight w:val="none"/>
        </w:rPr>
        <w:t>1</w:t>
      </w:r>
      <w:r>
        <w:rPr>
          <w:rFonts w:hint="eastAsia"/>
          <w:highlight w:val="none"/>
        </w:rPr>
        <w:t>）《关于印发〈政府采购促进中小企业发展管理办法〉的通知》（财库〔</w:t>
      </w:r>
      <w:r>
        <w:rPr>
          <w:highlight w:val="none"/>
        </w:rPr>
        <w:t>2020</w:t>
      </w:r>
      <w:r>
        <w:rPr>
          <w:rFonts w:hint="eastAsia"/>
          <w:highlight w:val="none"/>
        </w:rPr>
        <w:t>〕</w:t>
      </w:r>
      <w:r>
        <w:rPr>
          <w:highlight w:val="none"/>
        </w:rPr>
        <w:t>46</w:t>
      </w:r>
      <w:r>
        <w:rPr>
          <w:rFonts w:hint="eastAsia"/>
          <w:highlight w:val="none"/>
        </w:rPr>
        <w:t>号）；</w:t>
      </w:r>
    </w:p>
    <w:p>
      <w:pPr>
        <w:tabs>
          <w:tab w:val="clear" w:pos="426"/>
        </w:tabs>
        <w:spacing w:line="400" w:lineRule="exact"/>
        <w:rPr>
          <w:highlight w:val="none"/>
        </w:rPr>
      </w:pPr>
      <w:r>
        <w:rPr>
          <w:rFonts w:hint="eastAsia"/>
          <w:highlight w:val="none"/>
        </w:rPr>
        <w:t>（</w:t>
      </w:r>
      <w:r>
        <w:rPr>
          <w:highlight w:val="none"/>
        </w:rPr>
        <w:t>2</w:t>
      </w:r>
      <w:r>
        <w:rPr>
          <w:rFonts w:hint="eastAsia"/>
          <w:highlight w:val="none"/>
        </w:rPr>
        <w:t>）《工业和信息化部、国家统计局、国家发展和改革委员会、财政部关于印发中小企业划型标准规定的通知》（工信部联企业〔</w:t>
      </w:r>
      <w:r>
        <w:rPr>
          <w:highlight w:val="none"/>
        </w:rPr>
        <w:t>2011</w:t>
      </w:r>
      <w:r>
        <w:rPr>
          <w:rFonts w:hint="eastAsia"/>
          <w:highlight w:val="none"/>
        </w:rPr>
        <w:t>〕</w:t>
      </w:r>
      <w:r>
        <w:rPr>
          <w:highlight w:val="none"/>
        </w:rPr>
        <w:t>300</w:t>
      </w:r>
      <w:r>
        <w:rPr>
          <w:rFonts w:hint="eastAsia"/>
          <w:highlight w:val="none"/>
        </w:rPr>
        <w:t>号）；</w:t>
      </w:r>
    </w:p>
    <w:p>
      <w:pPr>
        <w:tabs>
          <w:tab w:val="clear" w:pos="426"/>
        </w:tabs>
        <w:spacing w:line="400" w:lineRule="exact"/>
        <w:rPr>
          <w:highlight w:val="none"/>
        </w:rPr>
      </w:pPr>
      <w:r>
        <w:rPr>
          <w:rFonts w:hint="eastAsia"/>
          <w:highlight w:val="none"/>
        </w:rPr>
        <w:t>（</w:t>
      </w:r>
      <w:r>
        <w:rPr>
          <w:highlight w:val="none"/>
        </w:rPr>
        <w:t>3</w:t>
      </w:r>
      <w:r>
        <w:rPr>
          <w:rFonts w:hint="eastAsia"/>
          <w:highlight w:val="none"/>
        </w:rPr>
        <w:t>）《关于印发〈统计上大中小微型企业划分办法（</w:t>
      </w:r>
      <w:r>
        <w:rPr>
          <w:highlight w:val="none"/>
        </w:rPr>
        <w:t>2017</w:t>
      </w:r>
      <w:r>
        <w:rPr>
          <w:rFonts w:hint="eastAsia"/>
          <w:highlight w:val="none"/>
        </w:rPr>
        <w:t>）〉的通知》；</w:t>
      </w:r>
    </w:p>
    <w:p>
      <w:pPr>
        <w:tabs>
          <w:tab w:val="clear" w:pos="426"/>
        </w:tabs>
        <w:spacing w:line="400" w:lineRule="exact"/>
        <w:rPr>
          <w:highlight w:val="none"/>
        </w:rPr>
      </w:pPr>
      <w:r>
        <w:rPr>
          <w:rFonts w:hint="eastAsia"/>
          <w:highlight w:val="none"/>
        </w:rPr>
        <w:t>（</w:t>
      </w:r>
      <w:r>
        <w:rPr>
          <w:highlight w:val="none"/>
        </w:rPr>
        <w:t>4</w:t>
      </w:r>
      <w:r>
        <w:rPr>
          <w:rFonts w:hint="eastAsia"/>
          <w:highlight w:val="none"/>
        </w:rPr>
        <w:t>）《关于促进残疾人就业政府采购政策的通知》（财库〔</w:t>
      </w:r>
      <w:r>
        <w:rPr>
          <w:highlight w:val="none"/>
        </w:rPr>
        <w:t>2017</w:t>
      </w:r>
      <w:r>
        <w:rPr>
          <w:rFonts w:hint="eastAsia"/>
          <w:highlight w:val="none"/>
        </w:rPr>
        <w:t>〕</w:t>
      </w:r>
      <w:r>
        <w:rPr>
          <w:highlight w:val="none"/>
        </w:rPr>
        <w:t>141</w:t>
      </w:r>
      <w:r>
        <w:rPr>
          <w:rFonts w:hint="eastAsia"/>
          <w:highlight w:val="none"/>
        </w:rPr>
        <w:t>号）。</w:t>
      </w:r>
      <w:r>
        <w:rPr>
          <w:highlight w:val="none"/>
        </w:rPr>
        <w:t xml:space="preserve"> </w:t>
      </w:r>
    </w:p>
    <w:p>
      <w:pPr>
        <w:tabs>
          <w:tab w:val="clear" w:pos="426"/>
        </w:tabs>
        <w:spacing w:line="400" w:lineRule="exact"/>
        <w:rPr>
          <w:highlight w:val="none"/>
        </w:rPr>
      </w:pPr>
      <w:r>
        <w:rPr>
          <w:rFonts w:hint="eastAsia"/>
          <w:highlight w:val="none"/>
        </w:rPr>
        <w:t>（</w:t>
      </w:r>
      <w:r>
        <w:rPr>
          <w:highlight w:val="none"/>
        </w:rPr>
        <w:t>5</w:t>
      </w:r>
      <w:r>
        <w:rPr>
          <w:rFonts w:hint="eastAsia"/>
          <w:highlight w:val="none"/>
        </w:rPr>
        <w:t>）</w:t>
      </w:r>
      <w:bookmarkStart w:id="126" w:name="_Hlk106894439"/>
      <w:r>
        <w:rPr>
          <w:rFonts w:hint="eastAsia"/>
          <w:highlight w:val="none"/>
        </w:rPr>
        <w:t>《国务院关于印发扎实稳住经济一揽子政策措施的通知》（国发〔</w:t>
      </w:r>
      <w:r>
        <w:rPr>
          <w:highlight w:val="none"/>
        </w:rPr>
        <w:t>2022</w:t>
      </w:r>
      <w:r>
        <w:rPr>
          <w:rFonts w:hint="eastAsia"/>
          <w:highlight w:val="none"/>
        </w:rPr>
        <w:t>〕</w:t>
      </w:r>
      <w:r>
        <w:rPr>
          <w:highlight w:val="none"/>
        </w:rPr>
        <w:t>12</w:t>
      </w:r>
      <w:r>
        <w:rPr>
          <w:rFonts w:hint="eastAsia"/>
          <w:highlight w:val="none"/>
        </w:rPr>
        <w:t>号）</w:t>
      </w:r>
      <w:bookmarkEnd w:id="126"/>
      <w:r>
        <w:rPr>
          <w:rFonts w:hint="eastAsia"/>
          <w:highlight w:val="none"/>
        </w:rPr>
        <w:t>。</w:t>
      </w:r>
    </w:p>
    <w:p>
      <w:pPr>
        <w:tabs>
          <w:tab w:val="clear" w:pos="426"/>
        </w:tabs>
        <w:spacing w:line="400" w:lineRule="exact"/>
        <w:rPr>
          <w:highlight w:val="none"/>
        </w:rPr>
      </w:pPr>
      <w:r>
        <w:rPr>
          <w:highlight w:val="none"/>
        </w:rPr>
        <w:t>3.</w:t>
      </w:r>
      <w:r>
        <w:rPr>
          <w:rFonts w:hint="eastAsia"/>
          <w:highlight w:val="none"/>
        </w:rPr>
        <w:t>请依照提供的格式和内容填写声明函，不要随意变更格式或增删内容；满足多项优惠政策的企业，不重复享受多项价格扣除政策。</w:t>
      </w:r>
      <w:r>
        <w:rPr>
          <w:highlight w:val="none"/>
        </w:rPr>
        <w:t xml:space="preserve"> </w:t>
      </w:r>
    </w:p>
    <w:p>
      <w:pPr>
        <w:tabs>
          <w:tab w:val="clear" w:pos="426"/>
        </w:tabs>
        <w:spacing w:line="400" w:lineRule="exact"/>
        <w:rPr>
          <w:highlight w:val="none"/>
        </w:rPr>
      </w:pPr>
      <w:r>
        <w:rPr>
          <w:highlight w:val="none"/>
        </w:rPr>
        <w:t>4.</w:t>
      </w:r>
      <w:r>
        <w:rPr>
          <w:rFonts w:hint="eastAsia"/>
          <w:highlight w:val="none"/>
        </w:rPr>
        <w:t>声明函的有效性最终由评审委员会判定。</w:t>
      </w:r>
    </w:p>
    <w:p>
      <w:pPr>
        <w:shd w:val="clear" w:color="auto" w:fill="auto"/>
        <w:tabs>
          <w:tab w:val="clear" w:pos="426"/>
        </w:tabs>
        <w:adjustRightInd/>
        <w:snapToGrid/>
        <w:spacing w:line="240" w:lineRule="auto"/>
        <w:jc w:val="left"/>
        <w:rPr>
          <w:highlight w:val="none"/>
        </w:rPr>
      </w:pPr>
    </w:p>
    <w:p>
      <w:pPr>
        <w:spacing w:line="240" w:lineRule="auto"/>
        <w:ind w:firstLine="643" w:firstLineChars="200"/>
        <w:jc w:val="center"/>
        <w:rPr>
          <w:b/>
          <w:sz w:val="32"/>
          <w:szCs w:val="32"/>
          <w:highlight w:val="none"/>
        </w:rPr>
      </w:pPr>
      <w:r>
        <w:rPr>
          <w:rFonts w:hint="eastAsia"/>
          <w:b/>
          <w:sz w:val="32"/>
          <w:szCs w:val="32"/>
          <w:highlight w:val="none"/>
        </w:rPr>
        <w:t>（一）中小企业声明函（样表）</w:t>
      </w:r>
    </w:p>
    <w:p>
      <w:pPr>
        <w:spacing w:line="240" w:lineRule="auto"/>
        <w:ind w:firstLine="420" w:firstLineChars="200"/>
        <w:jc w:val="left"/>
        <w:rPr>
          <w:szCs w:val="21"/>
          <w:highlight w:val="none"/>
        </w:rPr>
      </w:pPr>
      <w:r>
        <w:rPr>
          <w:rFonts w:hint="eastAsia"/>
          <w:szCs w:val="21"/>
          <w:highlight w:val="none"/>
        </w:rPr>
        <w:t>本公司已知悉《政府采购促进中小企业发展管理办法》（财库〔</w:t>
      </w:r>
      <w:r>
        <w:rPr>
          <w:szCs w:val="21"/>
          <w:highlight w:val="none"/>
        </w:rPr>
        <w:t>2020</w:t>
      </w:r>
      <w:r>
        <w:rPr>
          <w:rFonts w:hint="eastAsia"/>
          <w:szCs w:val="21"/>
          <w:highlight w:val="none"/>
        </w:rPr>
        <w:t>〕</w:t>
      </w:r>
      <w:r>
        <w:rPr>
          <w:szCs w:val="21"/>
          <w:highlight w:val="none"/>
        </w:rPr>
        <w:t>46</w:t>
      </w:r>
      <w:r>
        <w:rPr>
          <w:rFonts w:hint="eastAsia"/>
          <w:szCs w:val="21"/>
          <w:highlight w:val="none"/>
        </w:rPr>
        <w:t>号）、《中小企业划型标准规定》（工信部联企〔</w:t>
      </w:r>
      <w:r>
        <w:rPr>
          <w:szCs w:val="21"/>
          <w:highlight w:val="none"/>
        </w:rPr>
        <w:t>2011</w:t>
      </w:r>
      <w:r>
        <w:rPr>
          <w:rFonts w:hint="eastAsia"/>
          <w:szCs w:val="21"/>
          <w:highlight w:val="none"/>
        </w:rPr>
        <w:t>〕</w:t>
      </w:r>
      <w:r>
        <w:rPr>
          <w:szCs w:val="21"/>
          <w:highlight w:val="none"/>
        </w:rPr>
        <w:t>300</w:t>
      </w:r>
      <w:r>
        <w:rPr>
          <w:rFonts w:hint="eastAsia"/>
          <w:szCs w:val="21"/>
          <w:highlight w:val="none"/>
        </w:rPr>
        <w:t>号）、《统计上大中小微型企业划分办法（</w:t>
      </w:r>
      <w:r>
        <w:rPr>
          <w:szCs w:val="21"/>
          <w:highlight w:val="none"/>
        </w:rPr>
        <w:t>2017</w:t>
      </w:r>
      <w:r>
        <w:rPr>
          <w:rFonts w:hint="eastAsia"/>
          <w:szCs w:val="21"/>
          <w:highlight w:val="none"/>
        </w:rPr>
        <w:t>）》等规定，承诺提供的声明函内容是真实的，并知悉根据《政府采购促进中小企业发展管理办法》（财库〔</w:t>
      </w:r>
      <w:r>
        <w:rPr>
          <w:szCs w:val="21"/>
          <w:highlight w:val="none"/>
        </w:rPr>
        <w:t>2020</w:t>
      </w:r>
      <w:r>
        <w:rPr>
          <w:rFonts w:hint="eastAsia"/>
          <w:szCs w:val="21"/>
          <w:highlight w:val="none"/>
        </w:rPr>
        <w:t>〕</w:t>
      </w:r>
      <w:r>
        <w:rPr>
          <w:szCs w:val="21"/>
          <w:highlight w:val="none"/>
        </w:rPr>
        <w:t>46</w:t>
      </w:r>
      <w:r>
        <w:rPr>
          <w:rFonts w:hint="eastAsia"/>
          <w:szCs w:val="21"/>
          <w:highlight w:val="none"/>
        </w:rPr>
        <w:t>号）第二十条规定，供应商按照本办法规定提供声明函内容不实的，属于提供虚假材料谋取中标、成交，依照《政府采购法》等政府采购有关法律法规规定追究相应责任。</w:t>
      </w:r>
    </w:p>
    <w:p>
      <w:pPr>
        <w:spacing w:line="240" w:lineRule="auto"/>
        <w:ind w:firstLine="420" w:firstLineChars="200"/>
        <w:jc w:val="left"/>
        <w:rPr>
          <w:szCs w:val="21"/>
          <w:highlight w:val="none"/>
        </w:rPr>
      </w:pPr>
      <w:r>
        <w:rPr>
          <w:rFonts w:hint="eastAsia"/>
          <w:szCs w:val="21"/>
          <w:highlight w:val="none"/>
        </w:rPr>
        <w:t>本公司郑重声明，根据《关于印发</w:t>
      </w:r>
      <w:r>
        <w:rPr>
          <w:szCs w:val="21"/>
          <w:highlight w:val="none"/>
        </w:rPr>
        <w:t>&lt;</w:t>
      </w:r>
      <w:r>
        <w:rPr>
          <w:rFonts w:hint="eastAsia"/>
          <w:szCs w:val="21"/>
          <w:highlight w:val="none"/>
        </w:rPr>
        <w:t>政府采购促进中小企业发展管理办法</w:t>
      </w:r>
      <w:r>
        <w:rPr>
          <w:szCs w:val="21"/>
          <w:highlight w:val="none"/>
        </w:rPr>
        <w:t>&gt;</w:t>
      </w:r>
      <w:r>
        <w:rPr>
          <w:rFonts w:hint="eastAsia"/>
          <w:szCs w:val="21"/>
          <w:highlight w:val="none"/>
        </w:rPr>
        <w:t>的通知》（财库〔</w:t>
      </w:r>
      <w:r>
        <w:rPr>
          <w:szCs w:val="21"/>
          <w:highlight w:val="none"/>
        </w:rPr>
        <w:t>2020</w:t>
      </w:r>
      <w:r>
        <w:rPr>
          <w:rFonts w:hint="eastAsia"/>
          <w:szCs w:val="21"/>
          <w:highlight w:val="none"/>
        </w:rPr>
        <w:t>〕</w:t>
      </w:r>
      <w:r>
        <w:rPr>
          <w:szCs w:val="21"/>
          <w:highlight w:val="none"/>
        </w:rPr>
        <w:t>46</w:t>
      </w:r>
      <w:r>
        <w:rPr>
          <w:rFonts w:hint="eastAsia"/>
          <w:szCs w:val="21"/>
          <w:highlight w:val="none"/>
        </w:rPr>
        <w:t>号）的规定，本公司（联合体）参加</w:t>
      </w:r>
      <w:r>
        <w:rPr>
          <w:szCs w:val="21"/>
          <w:highlight w:val="none"/>
        </w:rPr>
        <w:t>(</w:t>
      </w:r>
      <w:r>
        <w:rPr>
          <w:rFonts w:hint="eastAsia"/>
          <w:szCs w:val="21"/>
          <w:highlight w:val="none"/>
        </w:rPr>
        <w:t>采购单位名称全称</w:t>
      </w:r>
      <w:r>
        <w:rPr>
          <w:szCs w:val="21"/>
          <w:highlight w:val="none"/>
        </w:rPr>
        <w:t>)</w:t>
      </w:r>
      <w:r>
        <w:rPr>
          <w:rFonts w:hint="eastAsia"/>
          <w:szCs w:val="21"/>
          <w:highlight w:val="none"/>
        </w:rPr>
        <w:t>的（项目名称全称）采购活动，</w:t>
      </w:r>
      <w:r>
        <w:rPr>
          <w:szCs w:val="21"/>
          <w:highlight w:val="none"/>
        </w:rPr>
        <w:t>________________________</w:t>
      </w:r>
      <w:r>
        <w:rPr>
          <w:rFonts w:hint="eastAsia"/>
          <w:szCs w:val="21"/>
          <w:highlight w:val="none"/>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jc w:val="left"/>
        <w:rPr>
          <w:szCs w:val="21"/>
          <w:highlight w:val="none"/>
        </w:rPr>
      </w:pPr>
      <w:r>
        <w:rPr>
          <w:szCs w:val="21"/>
          <w:highlight w:val="none"/>
        </w:rPr>
        <w:t>1.</w:t>
      </w:r>
      <w:r>
        <w:rPr>
          <w:rFonts w:hint="eastAsia"/>
          <w:szCs w:val="21"/>
          <w:highlight w:val="none"/>
        </w:rPr>
        <w:t>（标的名称），属于（采购文件中明确的所属行业）；承建（承接）企业为（企业名称），从业人员</w:t>
      </w:r>
      <w:r>
        <w:rPr>
          <w:szCs w:val="21"/>
          <w:highlight w:val="none"/>
        </w:rPr>
        <w:t>____</w:t>
      </w:r>
      <w:r>
        <w:rPr>
          <w:rFonts w:hint="eastAsia"/>
          <w:szCs w:val="21"/>
          <w:highlight w:val="none"/>
        </w:rPr>
        <w:t>人，营业收入为</w:t>
      </w:r>
      <w:r>
        <w:rPr>
          <w:szCs w:val="21"/>
          <w:highlight w:val="none"/>
        </w:rPr>
        <w:t>____</w:t>
      </w:r>
      <w:r>
        <w:rPr>
          <w:rFonts w:hint="eastAsia"/>
          <w:szCs w:val="21"/>
          <w:highlight w:val="none"/>
        </w:rPr>
        <w:t>万元，资产总额为</w:t>
      </w:r>
      <w:r>
        <w:rPr>
          <w:szCs w:val="21"/>
          <w:highlight w:val="none"/>
        </w:rPr>
        <w:t>____</w:t>
      </w:r>
      <w:r>
        <w:rPr>
          <w:rFonts w:hint="eastAsia"/>
          <w:szCs w:val="21"/>
          <w:highlight w:val="none"/>
        </w:rPr>
        <w:t>万元</w:t>
      </w:r>
      <w:r>
        <w:rPr>
          <w:szCs w:val="21"/>
          <w:highlight w:val="none"/>
        </w:rPr>
        <w:t>1</w:t>
      </w:r>
      <w:r>
        <w:rPr>
          <w:rFonts w:hint="eastAsia"/>
          <w:szCs w:val="21"/>
          <w:highlight w:val="none"/>
        </w:rPr>
        <w:t>，属于（中型企业、小型企业、微型企业）；</w:t>
      </w:r>
    </w:p>
    <w:p>
      <w:pPr>
        <w:spacing w:line="240" w:lineRule="auto"/>
        <w:ind w:firstLine="420" w:firstLineChars="200"/>
        <w:jc w:val="left"/>
        <w:rPr>
          <w:szCs w:val="21"/>
          <w:highlight w:val="none"/>
        </w:rPr>
      </w:pPr>
      <w:r>
        <w:rPr>
          <w:szCs w:val="21"/>
          <w:highlight w:val="none"/>
        </w:rPr>
        <w:t>2.</w:t>
      </w:r>
      <w:r>
        <w:rPr>
          <w:rFonts w:hint="eastAsia"/>
          <w:szCs w:val="21"/>
          <w:highlight w:val="none"/>
        </w:rPr>
        <w:t>（标的名称），属于（采购文件中明确的所属行业）；承建（承接）企业为（企业名称），从业人员</w:t>
      </w:r>
      <w:r>
        <w:rPr>
          <w:szCs w:val="21"/>
          <w:highlight w:val="none"/>
        </w:rPr>
        <w:t>____</w:t>
      </w:r>
      <w:r>
        <w:rPr>
          <w:rFonts w:hint="eastAsia"/>
          <w:szCs w:val="21"/>
          <w:highlight w:val="none"/>
        </w:rPr>
        <w:t>人，营业收入为</w:t>
      </w:r>
      <w:r>
        <w:rPr>
          <w:szCs w:val="21"/>
          <w:highlight w:val="none"/>
        </w:rPr>
        <w:t>____</w:t>
      </w:r>
      <w:r>
        <w:rPr>
          <w:rFonts w:hint="eastAsia"/>
          <w:szCs w:val="21"/>
          <w:highlight w:val="none"/>
        </w:rPr>
        <w:t>万元，资产总额为</w:t>
      </w:r>
      <w:r>
        <w:rPr>
          <w:szCs w:val="21"/>
          <w:highlight w:val="none"/>
        </w:rPr>
        <w:t>____</w:t>
      </w:r>
      <w:r>
        <w:rPr>
          <w:rFonts w:hint="eastAsia"/>
          <w:szCs w:val="21"/>
          <w:highlight w:val="none"/>
        </w:rPr>
        <w:t>万元，属于（中型企业、小型企业、微型企业）；</w:t>
      </w:r>
    </w:p>
    <w:p>
      <w:pPr>
        <w:spacing w:line="240" w:lineRule="auto"/>
        <w:ind w:firstLine="420" w:firstLineChars="200"/>
        <w:jc w:val="left"/>
        <w:rPr>
          <w:szCs w:val="21"/>
          <w:highlight w:val="none"/>
        </w:rPr>
      </w:pPr>
      <w:r>
        <w:rPr>
          <w:rFonts w:hint="eastAsia"/>
          <w:szCs w:val="21"/>
          <w:highlight w:val="none"/>
        </w:rPr>
        <w:t>……</w:t>
      </w:r>
    </w:p>
    <w:p>
      <w:pPr>
        <w:spacing w:line="240" w:lineRule="auto"/>
        <w:ind w:firstLine="420" w:firstLineChars="200"/>
        <w:jc w:val="left"/>
        <w:rPr>
          <w:szCs w:val="21"/>
          <w:highlight w:val="none"/>
        </w:rPr>
      </w:pPr>
      <w:r>
        <w:rPr>
          <w:rFonts w:hint="eastAsia"/>
          <w:szCs w:val="21"/>
          <w:highlight w:val="none"/>
        </w:rPr>
        <w:t>以上企业，不属于大企业的分支机构，不存在控股股东为大企业的情形，也不存在与大企业的负责人为同一人的情形。</w:t>
      </w:r>
    </w:p>
    <w:p>
      <w:pPr>
        <w:spacing w:line="240" w:lineRule="auto"/>
        <w:ind w:firstLine="420" w:firstLineChars="200"/>
        <w:jc w:val="left"/>
        <w:rPr>
          <w:szCs w:val="21"/>
          <w:highlight w:val="none"/>
        </w:rPr>
      </w:pPr>
      <w:r>
        <w:rPr>
          <w:rFonts w:hint="eastAsia"/>
          <w:szCs w:val="21"/>
          <w:highlight w:val="none"/>
        </w:rPr>
        <w:t>本企业对上述声明内容的真实性负责。如有虚假，将依法承担相应责任。</w:t>
      </w:r>
    </w:p>
    <w:p>
      <w:pPr>
        <w:spacing w:line="240" w:lineRule="auto"/>
        <w:ind w:firstLine="420" w:firstLineChars="200"/>
        <w:jc w:val="left"/>
        <w:rPr>
          <w:szCs w:val="21"/>
          <w:highlight w:val="none"/>
        </w:rPr>
      </w:pPr>
    </w:p>
    <w:p>
      <w:pPr>
        <w:spacing w:line="240" w:lineRule="auto"/>
        <w:ind w:firstLine="420" w:firstLineChars="200"/>
        <w:jc w:val="left"/>
        <w:rPr>
          <w:szCs w:val="21"/>
          <w:highlight w:val="none"/>
        </w:rPr>
      </w:pPr>
      <w:r>
        <w:rPr>
          <w:rFonts w:hint="eastAsia"/>
          <w:szCs w:val="21"/>
          <w:highlight w:val="none"/>
        </w:rPr>
        <w:t>企业名称（盖章）：</w:t>
      </w:r>
    </w:p>
    <w:p>
      <w:pPr>
        <w:spacing w:line="240" w:lineRule="auto"/>
        <w:ind w:firstLine="420" w:firstLineChars="200"/>
        <w:jc w:val="left"/>
        <w:rPr>
          <w:szCs w:val="21"/>
          <w:highlight w:val="none"/>
        </w:rPr>
      </w:pPr>
      <w:r>
        <w:rPr>
          <w:rFonts w:hint="eastAsia"/>
          <w:szCs w:val="21"/>
          <w:highlight w:val="none"/>
        </w:rPr>
        <w:t>日期：</w:t>
      </w:r>
    </w:p>
    <w:p>
      <w:pPr>
        <w:spacing w:line="240" w:lineRule="auto"/>
        <w:ind w:firstLine="420" w:firstLineChars="200"/>
        <w:jc w:val="left"/>
        <w:rPr>
          <w:szCs w:val="21"/>
          <w:highlight w:val="none"/>
        </w:rPr>
      </w:pPr>
    </w:p>
    <w:p>
      <w:pPr>
        <w:spacing w:line="240" w:lineRule="auto"/>
        <w:ind w:firstLine="420" w:firstLineChars="200"/>
        <w:jc w:val="left"/>
        <w:rPr>
          <w:szCs w:val="21"/>
          <w:highlight w:val="none"/>
        </w:rPr>
      </w:pPr>
      <w:r>
        <w:rPr>
          <w:rFonts w:hint="eastAsia"/>
          <w:szCs w:val="21"/>
          <w:highlight w:val="none"/>
        </w:rPr>
        <w:t>备注：</w:t>
      </w:r>
      <w:r>
        <w:rPr>
          <w:szCs w:val="21"/>
          <w:highlight w:val="none"/>
        </w:rPr>
        <w:t>1</w:t>
      </w:r>
      <w:r>
        <w:rPr>
          <w:rFonts w:hint="eastAsia"/>
          <w:szCs w:val="21"/>
          <w:highlight w:val="none"/>
        </w:rPr>
        <w:t>、从业人员、营业收入、资产总额填报上一年度数据，无上一年度数据的新成立企业可不填报。</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643" w:firstLineChars="200"/>
        <w:jc w:val="center"/>
        <w:rPr>
          <w:b/>
          <w:sz w:val="32"/>
          <w:szCs w:val="32"/>
          <w:highlight w:val="none"/>
        </w:rPr>
      </w:pPr>
    </w:p>
    <w:p>
      <w:pPr>
        <w:spacing w:line="240" w:lineRule="auto"/>
        <w:ind w:firstLine="643" w:firstLineChars="200"/>
        <w:jc w:val="center"/>
        <w:rPr>
          <w:b/>
          <w:sz w:val="32"/>
          <w:szCs w:val="32"/>
          <w:highlight w:val="none"/>
        </w:rPr>
      </w:pPr>
      <w:r>
        <w:rPr>
          <w:rFonts w:hint="eastAsia"/>
          <w:b/>
          <w:sz w:val="32"/>
          <w:szCs w:val="32"/>
          <w:highlight w:val="none"/>
        </w:rPr>
        <w:t>（二）残疾人福利性单位声明函（样表）</w:t>
      </w:r>
    </w:p>
    <w:p>
      <w:pPr>
        <w:spacing w:line="240" w:lineRule="auto"/>
        <w:ind w:firstLine="420" w:firstLineChars="200"/>
        <w:rPr>
          <w:szCs w:val="21"/>
          <w:highlight w:val="none"/>
        </w:rPr>
      </w:pPr>
    </w:p>
    <w:p>
      <w:pPr>
        <w:spacing w:line="240" w:lineRule="auto"/>
        <w:ind w:firstLine="420" w:firstLineChars="200"/>
        <w:rPr>
          <w:szCs w:val="21"/>
          <w:highlight w:val="none"/>
        </w:rPr>
      </w:pPr>
      <w:r>
        <w:rPr>
          <w:rFonts w:hint="eastAsia"/>
          <w:szCs w:val="21"/>
          <w:highlight w:val="none"/>
        </w:rPr>
        <w:t>本单位已知悉《关于促进残疾人就业政府采购政策的通知》（财库〔</w:t>
      </w:r>
      <w:r>
        <w:rPr>
          <w:szCs w:val="21"/>
          <w:highlight w:val="none"/>
        </w:rPr>
        <w:t>2017</w:t>
      </w:r>
      <w:r>
        <w:rPr>
          <w:rFonts w:hint="eastAsia"/>
          <w:szCs w:val="21"/>
          <w:highlight w:val="none"/>
        </w:rPr>
        <w:t>〕</w:t>
      </w:r>
      <w:r>
        <w:rPr>
          <w:szCs w:val="21"/>
          <w:highlight w:val="none"/>
        </w:rPr>
        <w:t>141</w:t>
      </w:r>
      <w:r>
        <w:rPr>
          <w:rFonts w:hint="eastAsia"/>
          <w:szCs w:val="21"/>
          <w:highlight w:val="none"/>
        </w:rPr>
        <w:t>号）的规定，承诺提供的声明函内容是真实的，如提供声明函内容不实，则依法追究相关法律责任。</w:t>
      </w:r>
    </w:p>
    <w:p>
      <w:pPr>
        <w:spacing w:line="240" w:lineRule="auto"/>
        <w:ind w:firstLine="420" w:firstLineChars="200"/>
        <w:rPr>
          <w:szCs w:val="21"/>
          <w:highlight w:val="none"/>
        </w:rPr>
      </w:pPr>
      <w:r>
        <w:rPr>
          <w:rFonts w:hint="eastAsia"/>
          <w:szCs w:val="21"/>
          <w:highlight w:val="none"/>
        </w:rPr>
        <w:t>本单位郑重声明，根据《财政部民政部中国残疾人联合会关于促进残疾人就业政府采购政策的通知》（财库〔</w:t>
      </w:r>
      <w:r>
        <w:rPr>
          <w:szCs w:val="21"/>
          <w:highlight w:val="none"/>
        </w:rPr>
        <w:t>2017</w:t>
      </w:r>
      <w:r>
        <w:rPr>
          <w:rFonts w:hint="eastAsia"/>
          <w:szCs w:val="21"/>
          <w:highlight w:val="none"/>
        </w:rPr>
        <w:t>〕</w:t>
      </w:r>
      <w:r>
        <w:rPr>
          <w:szCs w:val="21"/>
          <w:highlight w:val="none"/>
        </w:rPr>
        <w:t>141</w:t>
      </w:r>
      <w:r>
        <w:rPr>
          <w:szCs w:val="21"/>
          <w:highlight w:val="none"/>
          <w:u w:val="single"/>
        </w:rPr>
        <w:t>_</w:t>
      </w:r>
      <w:r>
        <w:rPr>
          <w:rFonts w:hint="eastAsia"/>
          <w:szCs w:val="21"/>
          <w:highlight w:val="none"/>
        </w:rPr>
        <w:t>号）的规定，本单位为符合条件的残疾人福利性单位，且本单位参加</w:t>
      </w:r>
      <w:r>
        <w:rPr>
          <w:szCs w:val="21"/>
          <w:highlight w:val="none"/>
          <w:u w:val="single"/>
        </w:rPr>
        <w:t>_</w:t>
      </w:r>
      <w:r>
        <w:rPr>
          <w:rFonts w:hint="eastAsia"/>
          <w:szCs w:val="21"/>
          <w:highlight w:val="none"/>
        </w:rPr>
        <w:t>（采购单位名称）</w:t>
      </w:r>
      <w:r>
        <w:rPr>
          <w:szCs w:val="21"/>
          <w:highlight w:val="none"/>
          <w:u w:val="single"/>
        </w:rPr>
        <w:t>_</w:t>
      </w:r>
      <w:r>
        <w:rPr>
          <w:rFonts w:hint="eastAsia"/>
          <w:szCs w:val="21"/>
          <w:highlight w:val="none"/>
        </w:rPr>
        <w:t>单位的</w:t>
      </w:r>
      <w:r>
        <w:rPr>
          <w:szCs w:val="21"/>
          <w:highlight w:val="none"/>
          <w:u w:val="single"/>
        </w:rPr>
        <w:t>_</w:t>
      </w:r>
      <w:r>
        <w:rPr>
          <w:rFonts w:hint="eastAsia"/>
          <w:szCs w:val="21"/>
          <w:highlight w:val="none"/>
        </w:rPr>
        <w:t>（采购项目名称）项目采购活动，并提供：□本单位制造的货物</w:t>
      </w:r>
      <w:r>
        <w:rPr>
          <w:szCs w:val="21"/>
          <w:highlight w:val="none"/>
        </w:rPr>
        <w:t>;</w:t>
      </w:r>
      <w:r>
        <w:rPr>
          <w:rFonts w:hint="eastAsia"/>
          <w:szCs w:val="21"/>
          <w:highlight w:val="none"/>
        </w:rPr>
        <w:t>□由本单位承担的工程、提供服务</w:t>
      </w:r>
      <w:r>
        <w:rPr>
          <w:szCs w:val="21"/>
          <w:highlight w:val="none"/>
        </w:rPr>
        <w:t>;</w:t>
      </w:r>
      <w:r>
        <w:rPr>
          <w:rFonts w:hint="eastAsia"/>
          <w:szCs w:val="21"/>
          <w:highlight w:val="none"/>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szCs w:val="21"/>
          <w:highlight w:val="none"/>
        </w:rPr>
      </w:pPr>
      <w:r>
        <w:rPr>
          <w:rFonts w:hint="eastAsia"/>
          <w:szCs w:val="21"/>
          <w:highlight w:val="none"/>
        </w:rPr>
        <w:t>单位名称（盖章）：</w:t>
      </w:r>
      <w:r>
        <w:rPr>
          <w:szCs w:val="21"/>
          <w:highlight w:val="none"/>
          <w:u w:val="single"/>
        </w:rPr>
        <w:t>__________________</w:t>
      </w:r>
    </w:p>
    <w:p>
      <w:pPr>
        <w:spacing w:line="240" w:lineRule="auto"/>
        <w:ind w:firstLine="420" w:firstLineChars="200"/>
        <w:jc w:val="right"/>
        <w:rPr>
          <w:szCs w:val="21"/>
          <w:highlight w:val="none"/>
        </w:rPr>
      </w:pPr>
      <w:r>
        <w:rPr>
          <w:rFonts w:hint="eastAsia"/>
          <w:szCs w:val="21"/>
          <w:highlight w:val="none"/>
        </w:rPr>
        <w:t>日期：</w:t>
      </w:r>
      <w:r>
        <w:rPr>
          <w:szCs w:val="21"/>
          <w:highlight w:val="none"/>
          <w:u w:val="single"/>
        </w:rPr>
        <w:t>_________________</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rPr>
          <w:b/>
          <w:sz w:val="32"/>
          <w:szCs w:val="32"/>
          <w:highlight w:val="none"/>
        </w:rPr>
      </w:pPr>
      <w:r>
        <w:rPr>
          <w:rFonts w:hint="eastAsia"/>
          <w:b/>
          <w:sz w:val="32"/>
          <w:szCs w:val="32"/>
          <w:highlight w:val="none"/>
        </w:rPr>
        <w:t>（三）省级以上监狱管理局、戒毒管理局（含新疆生产建设兵团）出具的属于监狱企业的证明文件（样表）</w:t>
      </w:r>
    </w:p>
    <w:p>
      <w:pPr>
        <w:spacing w:line="240" w:lineRule="auto"/>
        <w:ind w:firstLine="420" w:firstLineChars="200"/>
        <w:rPr>
          <w:szCs w:val="21"/>
          <w:highlight w:val="none"/>
        </w:rPr>
      </w:pPr>
    </w:p>
    <w:p>
      <w:pPr>
        <w:spacing w:line="240" w:lineRule="auto"/>
        <w:ind w:firstLine="420" w:firstLineChars="200"/>
        <w:rPr>
          <w:szCs w:val="21"/>
          <w:highlight w:val="none"/>
        </w:rPr>
      </w:pPr>
      <w:r>
        <w:rPr>
          <w:rFonts w:hint="eastAsia"/>
          <w:szCs w:val="21"/>
          <w:highlight w:val="none"/>
        </w:rPr>
        <w:t>本单位已知悉《财政部司法部关于政府采购支持监狱企业发展有关问题的通知》（财库〔</w:t>
      </w:r>
      <w:r>
        <w:rPr>
          <w:szCs w:val="21"/>
          <w:highlight w:val="none"/>
        </w:rPr>
        <w:t>2014</w:t>
      </w:r>
      <w:r>
        <w:rPr>
          <w:rFonts w:hint="eastAsia"/>
          <w:szCs w:val="21"/>
          <w:highlight w:val="none"/>
        </w:rPr>
        <w:t>〕</w:t>
      </w:r>
      <w:r>
        <w:rPr>
          <w:szCs w:val="21"/>
          <w:highlight w:val="none"/>
        </w:rPr>
        <w:t>68</w:t>
      </w:r>
      <w:r>
        <w:rPr>
          <w:rFonts w:hint="eastAsia"/>
          <w:szCs w:val="21"/>
          <w:highlight w:val="none"/>
        </w:rPr>
        <w:t>号）的规定，承诺提供的声明函内容是真实的，如提供声明函内容不实，则依法追究相关法律责任。</w:t>
      </w:r>
    </w:p>
    <w:p>
      <w:pPr>
        <w:spacing w:line="240" w:lineRule="auto"/>
        <w:ind w:firstLine="420" w:firstLineChars="200"/>
        <w:rPr>
          <w:szCs w:val="21"/>
          <w:highlight w:val="none"/>
        </w:rPr>
      </w:pPr>
      <w:r>
        <w:rPr>
          <w:rFonts w:hint="eastAsia"/>
          <w:szCs w:val="21"/>
          <w:highlight w:val="none"/>
        </w:rPr>
        <w:t>本单位郑重声明，根据《财政部司法部关于政府采购支持监狱企业发展有关问题的通知》（财库〔</w:t>
      </w:r>
      <w:r>
        <w:rPr>
          <w:szCs w:val="21"/>
          <w:highlight w:val="none"/>
        </w:rPr>
        <w:t>2014</w:t>
      </w:r>
      <w:r>
        <w:rPr>
          <w:rFonts w:hint="eastAsia"/>
          <w:szCs w:val="21"/>
          <w:highlight w:val="none"/>
        </w:rPr>
        <w:t>〕</w:t>
      </w:r>
      <w:r>
        <w:rPr>
          <w:szCs w:val="21"/>
          <w:highlight w:val="none"/>
        </w:rPr>
        <w:t>68</w:t>
      </w:r>
      <w:r>
        <w:rPr>
          <w:rFonts w:hint="eastAsia"/>
          <w:szCs w:val="21"/>
          <w:highlight w:val="none"/>
        </w:rPr>
        <w:t>号）的规定，本单位为符合条件的监狱企业，且本单位参加</w:t>
      </w:r>
      <w:r>
        <w:rPr>
          <w:szCs w:val="21"/>
          <w:highlight w:val="none"/>
          <w:u w:val="single"/>
        </w:rPr>
        <w:t>_</w:t>
      </w:r>
      <w:r>
        <w:rPr>
          <w:rFonts w:hint="eastAsia"/>
          <w:szCs w:val="21"/>
          <w:highlight w:val="none"/>
        </w:rPr>
        <w:t>（采购单位名称）</w:t>
      </w:r>
      <w:r>
        <w:rPr>
          <w:szCs w:val="21"/>
          <w:highlight w:val="none"/>
          <w:u w:val="single"/>
        </w:rPr>
        <w:t>_</w:t>
      </w:r>
      <w:r>
        <w:rPr>
          <w:rFonts w:hint="eastAsia"/>
          <w:szCs w:val="21"/>
          <w:highlight w:val="none"/>
        </w:rPr>
        <w:t>单位的（采购项目名称）项目采购活动，并提供：□本单位制造的货物</w:t>
      </w:r>
      <w:r>
        <w:rPr>
          <w:szCs w:val="21"/>
          <w:highlight w:val="none"/>
        </w:rPr>
        <w:t>;</w:t>
      </w:r>
      <w:r>
        <w:rPr>
          <w:rFonts w:hint="eastAsia"/>
          <w:szCs w:val="21"/>
          <w:highlight w:val="none"/>
        </w:rPr>
        <w:t>□由本单位承担的工程、提供服务</w:t>
      </w:r>
      <w:r>
        <w:rPr>
          <w:szCs w:val="21"/>
          <w:highlight w:val="none"/>
        </w:rPr>
        <w:t>;</w:t>
      </w:r>
      <w:r>
        <w:rPr>
          <w:rFonts w:hint="eastAsia"/>
          <w:szCs w:val="21"/>
          <w:highlight w:val="none"/>
        </w:rPr>
        <w:t>□提供其他监狱企业制造的货物（承诺人在□处打√）。本条所称货物是指单一产品采购项目中的货物，或者非单一产品采购项目中的核心产品（货物）。</w:t>
      </w:r>
    </w:p>
    <w:p>
      <w:pPr>
        <w:spacing w:line="240" w:lineRule="auto"/>
        <w:ind w:firstLine="420" w:firstLineChars="200"/>
        <w:rPr>
          <w:szCs w:val="21"/>
          <w:highlight w:val="none"/>
        </w:rPr>
      </w:pPr>
      <w:r>
        <w:rPr>
          <w:rFonts w:hint="eastAsia"/>
          <w:szCs w:val="21"/>
          <w:highlight w:val="none"/>
        </w:rPr>
        <w:t>本单位对上述声明的真实性负责。如有虚假，将依法承担相应责任。</w:t>
      </w:r>
    </w:p>
    <w:p>
      <w:pPr>
        <w:spacing w:line="240" w:lineRule="auto"/>
        <w:ind w:firstLine="420" w:firstLineChars="200"/>
        <w:rPr>
          <w:szCs w:val="21"/>
          <w:highlight w:val="none"/>
        </w:rPr>
      </w:pPr>
      <w:r>
        <w:rPr>
          <w:rFonts w:hint="eastAsia"/>
          <w:szCs w:val="21"/>
          <w:highlight w:val="none"/>
        </w:rPr>
        <w:t>附：省级以上监狱管理局、戒毒管理局（含新疆生产建设兵团）出具的监狱企业证明文件。</w:t>
      </w:r>
    </w:p>
    <w:p>
      <w:pPr>
        <w:spacing w:line="240" w:lineRule="auto"/>
        <w:ind w:firstLine="420" w:firstLineChars="200"/>
        <w:jc w:val="right"/>
        <w:rPr>
          <w:szCs w:val="21"/>
          <w:highlight w:val="none"/>
        </w:rPr>
      </w:pPr>
      <w:r>
        <w:rPr>
          <w:rFonts w:hint="eastAsia"/>
          <w:szCs w:val="21"/>
          <w:highlight w:val="none"/>
        </w:rPr>
        <w:t>单位名称（盖章）：</w:t>
      </w:r>
      <w:r>
        <w:rPr>
          <w:szCs w:val="21"/>
          <w:highlight w:val="none"/>
          <w:u w:val="single"/>
        </w:rPr>
        <w:t>__________________</w:t>
      </w:r>
    </w:p>
    <w:p>
      <w:pPr>
        <w:spacing w:line="240" w:lineRule="auto"/>
        <w:ind w:firstLine="420" w:firstLineChars="200"/>
        <w:jc w:val="right"/>
        <w:rPr>
          <w:szCs w:val="21"/>
          <w:highlight w:val="none"/>
        </w:rPr>
      </w:pPr>
      <w:r>
        <w:rPr>
          <w:rFonts w:hint="eastAsia"/>
          <w:szCs w:val="21"/>
          <w:highlight w:val="none"/>
        </w:rPr>
        <w:t>日期：</w:t>
      </w:r>
      <w:r>
        <w:rPr>
          <w:szCs w:val="21"/>
          <w:highlight w:val="none"/>
          <w:u w:val="single"/>
        </w:rPr>
        <w:t>_________________</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643" w:firstLineChars="200"/>
        <w:jc w:val="center"/>
        <w:rPr>
          <w:b/>
          <w:sz w:val="32"/>
          <w:szCs w:val="32"/>
          <w:highlight w:val="none"/>
        </w:rPr>
      </w:pPr>
      <w:r>
        <w:rPr>
          <w:rFonts w:hint="eastAsia"/>
          <w:b/>
          <w:sz w:val="32"/>
          <w:szCs w:val="32"/>
          <w:highlight w:val="none"/>
        </w:rPr>
        <w:t>（四）含有小型、微型企业的联合体声明函（样表）</w:t>
      </w:r>
    </w:p>
    <w:p>
      <w:pPr>
        <w:spacing w:line="240" w:lineRule="auto"/>
        <w:ind w:firstLine="420" w:firstLineChars="200"/>
        <w:rPr>
          <w:szCs w:val="21"/>
          <w:highlight w:val="none"/>
        </w:rPr>
      </w:pPr>
    </w:p>
    <w:p>
      <w:pPr>
        <w:spacing w:line="240" w:lineRule="auto"/>
        <w:ind w:firstLine="420" w:firstLineChars="200"/>
        <w:rPr>
          <w:szCs w:val="21"/>
          <w:highlight w:val="none"/>
        </w:rPr>
      </w:pPr>
      <w:r>
        <w:rPr>
          <w:szCs w:val="21"/>
          <w:highlight w:val="none"/>
        </w:rPr>
        <w:t>1.</w:t>
      </w:r>
      <w:r>
        <w:rPr>
          <w:szCs w:val="21"/>
          <w:highlight w:val="none"/>
          <w:u w:val="single"/>
        </w:rPr>
        <w:t>___</w:t>
      </w:r>
      <w:r>
        <w:rPr>
          <w:rFonts w:hint="eastAsia"/>
          <w:szCs w:val="21"/>
          <w:highlight w:val="none"/>
        </w:rPr>
        <w:t>（供应商名称、供应商名称）</w:t>
      </w:r>
      <w:r>
        <w:rPr>
          <w:szCs w:val="21"/>
          <w:highlight w:val="none"/>
          <w:u w:val="single"/>
        </w:rPr>
        <w:t>____</w:t>
      </w:r>
      <w:r>
        <w:rPr>
          <w:rFonts w:hint="eastAsia"/>
          <w:szCs w:val="21"/>
          <w:highlight w:val="none"/>
        </w:rPr>
        <w:t>共同组成联合体（详见联合体协议）。根据《工业和信息化部、国家统计局、国家发展和改革委员会、财政部关于印发中小企业划型标准规定的通知》（工信部联企业〔</w:t>
      </w:r>
      <w:r>
        <w:rPr>
          <w:szCs w:val="21"/>
          <w:highlight w:val="none"/>
        </w:rPr>
        <w:t>2011</w:t>
      </w:r>
      <w:r>
        <w:rPr>
          <w:rFonts w:hint="eastAsia"/>
          <w:szCs w:val="21"/>
          <w:highlight w:val="none"/>
        </w:rPr>
        <w:t>〕</w:t>
      </w:r>
      <w:r>
        <w:rPr>
          <w:szCs w:val="21"/>
          <w:highlight w:val="none"/>
        </w:rPr>
        <w:t>300</w:t>
      </w:r>
      <w:r>
        <w:rPr>
          <w:szCs w:val="21"/>
          <w:highlight w:val="none"/>
          <w:u w:val="single"/>
        </w:rPr>
        <w:t>_</w:t>
      </w:r>
      <w:r>
        <w:rPr>
          <w:rFonts w:hint="eastAsia"/>
          <w:szCs w:val="21"/>
          <w:highlight w:val="none"/>
        </w:rPr>
        <w:t>号）规定的划分标准，本联合体中：□</w:t>
      </w:r>
      <w:r>
        <w:rPr>
          <w:szCs w:val="21"/>
          <w:highlight w:val="none"/>
          <w:u w:val="single"/>
        </w:rPr>
        <w:t>______</w:t>
      </w:r>
      <w:r>
        <w:rPr>
          <w:rFonts w:hint="eastAsia"/>
          <w:szCs w:val="21"/>
          <w:highlight w:val="none"/>
        </w:rPr>
        <w:t>单位为</w:t>
      </w:r>
      <w:r>
        <w:rPr>
          <w:szCs w:val="21"/>
          <w:highlight w:val="none"/>
          <w:u w:val="single"/>
        </w:rPr>
        <w:t>______</w:t>
      </w:r>
      <w:r>
        <w:rPr>
          <w:rFonts w:hint="eastAsia"/>
          <w:szCs w:val="21"/>
          <w:highlight w:val="none"/>
        </w:rPr>
        <w:t>（请填写：中型、小型、微型）企业，</w:t>
      </w:r>
      <w:r>
        <w:rPr>
          <w:szCs w:val="21"/>
          <w:highlight w:val="none"/>
          <w:u w:val="single"/>
        </w:rPr>
        <w:t>______</w:t>
      </w:r>
      <w:r>
        <w:rPr>
          <w:rFonts w:hint="eastAsia"/>
          <w:szCs w:val="21"/>
          <w:highlight w:val="none"/>
        </w:rPr>
        <w:t>单位为</w:t>
      </w:r>
      <w:r>
        <w:rPr>
          <w:szCs w:val="21"/>
          <w:highlight w:val="none"/>
          <w:u w:val="single"/>
        </w:rPr>
        <w:t>______</w:t>
      </w:r>
      <w:r>
        <w:rPr>
          <w:rFonts w:hint="eastAsia"/>
          <w:szCs w:val="21"/>
          <w:highlight w:val="none"/>
        </w:rPr>
        <w:t>（请填写：中型、小型、微型）企业；□联合体各方均为小微企业（承诺人在□处打√）。</w:t>
      </w:r>
    </w:p>
    <w:p>
      <w:pPr>
        <w:spacing w:line="240" w:lineRule="auto"/>
        <w:ind w:firstLine="420" w:firstLineChars="200"/>
        <w:rPr>
          <w:szCs w:val="21"/>
          <w:highlight w:val="none"/>
        </w:rPr>
      </w:pPr>
      <w:r>
        <w:rPr>
          <w:szCs w:val="21"/>
          <w:highlight w:val="none"/>
        </w:rPr>
        <w:t>2.</w:t>
      </w:r>
      <w:r>
        <w:rPr>
          <w:rFonts w:hint="eastAsia"/>
          <w:szCs w:val="21"/>
          <w:highlight w:val="none"/>
        </w:rPr>
        <w:t>本联合体参加</w:t>
      </w:r>
      <w:r>
        <w:rPr>
          <w:szCs w:val="21"/>
          <w:highlight w:val="none"/>
          <w:u w:val="single"/>
        </w:rPr>
        <w:t>_</w:t>
      </w:r>
      <w:r>
        <w:rPr>
          <w:rFonts w:hint="eastAsia"/>
          <w:szCs w:val="21"/>
          <w:highlight w:val="none"/>
        </w:rPr>
        <w:t>（采购单位名称）</w:t>
      </w:r>
      <w:r>
        <w:rPr>
          <w:szCs w:val="21"/>
          <w:highlight w:val="none"/>
          <w:u w:val="single"/>
        </w:rPr>
        <w:t>_</w:t>
      </w:r>
      <w:r>
        <w:rPr>
          <w:rFonts w:hint="eastAsia"/>
          <w:szCs w:val="21"/>
          <w:highlight w:val="none"/>
        </w:rPr>
        <w:t>单位的</w:t>
      </w:r>
      <w:r>
        <w:rPr>
          <w:szCs w:val="21"/>
          <w:highlight w:val="none"/>
          <w:u w:val="single"/>
        </w:rPr>
        <w:t>_</w:t>
      </w:r>
      <w:r>
        <w:rPr>
          <w:rFonts w:hint="eastAsia"/>
          <w:szCs w:val="21"/>
          <w:highlight w:val="none"/>
        </w:rPr>
        <w:t>（采购项目名称）</w:t>
      </w:r>
      <w:r>
        <w:rPr>
          <w:szCs w:val="21"/>
          <w:highlight w:val="none"/>
          <w:u w:val="single"/>
        </w:rPr>
        <w:t>_</w:t>
      </w:r>
      <w:r>
        <w:rPr>
          <w:rFonts w:hint="eastAsia"/>
          <w:szCs w:val="21"/>
          <w:highlight w:val="none"/>
        </w:rPr>
        <w:t>项目采购活动，其中，小型、微型企业协议合同金额占到联合体协议总金额比例为</w:t>
      </w:r>
      <w:r>
        <w:rPr>
          <w:szCs w:val="21"/>
          <w:highlight w:val="none"/>
          <w:u w:val="single"/>
        </w:rPr>
        <w:t>_____</w:t>
      </w:r>
      <w:r>
        <w:rPr>
          <w:szCs w:val="21"/>
          <w:highlight w:val="none"/>
        </w:rPr>
        <w:t>%</w:t>
      </w:r>
      <w:r>
        <w:rPr>
          <w:rFonts w:hint="eastAsia"/>
          <w:szCs w:val="21"/>
          <w:highlight w:val="none"/>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highlight w:val="none"/>
        </w:rPr>
        <w:t>(</w:t>
      </w:r>
      <w:r>
        <w:rPr>
          <w:rFonts w:hint="eastAsia"/>
          <w:szCs w:val="21"/>
          <w:highlight w:val="none"/>
        </w:rPr>
        <w:t>财库〔</w:t>
      </w:r>
      <w:r>
        <w:rPr>
          <w:szCs w:val="21"/>
          <w:highlight w:val="none"/>
        </w:rPr>
        <w:t>2011</w:t>
      </w:r>
      <w:r>
        <w:rPr>
          <w:rFonts w:hint="eastAsia"/>
          <w:szCs w:val="21"/>
          <w:highlight w:val="none"/>
        </w:rPr>
        <w:t>〕</w:t>
      </w:r>
      <w:r>
        <w:rPr>
          <w:szCs w:val="21"/>
          <w:highlight w:val="none"/>
        </w:rPr>
        <w:t>181</w:t>
      </w:r>
      <w:r>
        <w:rPr>
          <w:szCs w:val="21"/>
          <w:highlight w:val="none"/>
          <w:u w:val="single"/>
        </w:rPr>
        <w:t>_</w:t>
      </w:r>
      <w:r>
        <w:rPr>
          <w:rFonts w:hint="eastAsia"/>
          <w:szCs w:val="21"/>
          <w:highlight w:val="none"/>
        </w:rPr>
        <w:t>号</w:t>
      </w:r>
      <w:r>
        <w:rPr>
          <w:szCs w:val="21"/>
          <w:highlight w:val="none"/>
        </w:rPr>
        <w:t>)</w:t>
      </w:r>
      <w:r>
        <w:rPr>
          <w:rFonts w:hint="eastAsia"/>
          <w:szCs w:val="21"/>
          <w:highlight w:val="none"/>
        </w:rPr>
        <w:t>第六条规定的优惠政策。本联合体对上述声明的真实性负责。如有虚假，将依法承担相应责任。</w:t>
      </w:r>
    </w:p>
    <w:p>
      <w:pPr>
        <w:spacing w:line="240" w:lineRule="auto"/>
        <w:ind w:left="424" w:leftChars="202"/>
        <w:jc w:val="left"/>
        <w:rPr>
          <w:szCs w:val="21"/>
          <w:highlight w:val="none"/>
        </w:rPr>
      </w:pPr>
      <w:r>
        <w:rPr>
          <w:rFonts w:hint="eastAsia"/>
          <w:szCs w:val="21"/>
          <w:highlight w:val="none"/>
        </w:rPr>
        <w:t>企业</w:t>
      </w:r>
      <w:r>
        <w:rPr>
          <w:szCs w:val="21"/>
          <w:highlight w:val="none"/>
        </w:rPr>
        <w:t>1</w:t>
      </w:r>
      <w:r>
        <w:rPr>
          <w:rFonts w:hint="eastAsia"/>
          <w:szCs w:val="21"/>
          <w:highlight w:val="none"/>
        </w:rPr>
        <w:t>名称（盖章）：</w:t>
      </w:r>
      <w:r>
        <w:rPr>
          <w:szCs w:val="21"/>
          <w:highlight w:val="none"/>
          <w:u w:val="single"/>
        </w:rPr>
        <w:t>_______________________</w:t>
      </w:r>
      <w:r>
        <w:rPr>
          <w:szCs w:val="21"/>
          <w:highlight w:val="none"/>
        </w:rPr>
        <w:t xml:space="preserve"> </w:t>
      </w:r>
    </w:p>
    <w:p>
      <w:pPr>
        <w:spacing w:line="240" w:lineRule="auto"/>
        <w:ind w:left="424" w:leftChars="202"/>
        <w:jc w:val="left"/>
        <w:rPr>
          <w:szCs w:val="21"/>
          <w:highlight w:val="none"/>
        </w:rPr>
      </w:pPr>
      <w:r>
        <w:rPr>
          <w:rFonts w:hint="eastAsia"/>
          <w:szCs w:val="21"/>
          <w:highlight w:val="none"/>
        </w:rPr>
        <w:t>日期：</w:t>
      </w:r>
      <w:r>
        <w:rPr>
          <w:szCs w:val="21"/>
          <w:highlight w:val="none"/>
          <w:u w:val="single"/>
        </w:rPr>
        <w:t>_____________________________________</w:t>
      </w:r>
      <w:r>
        <w:rPr>
          <w:szCs w:val="21"/>
          <w:highlight w:val="none"/>
        </w:rPr>
        <w:t xml:space="preserve"> </w:t>
      </w:r>
    </w:p>
    <w:p>
      <w:pPr>
        <w:spacing w:line="240" w:lineRule="auto"/>
        <w:ind w:left="424" w:leftChars="202"/>
        <w:jc w:val="left"/>
        <w:rPr>
          <w:szCs w:val="21"/>
          <w:highlight w:val="none"/>
        </w:rPr>
      </w:pPr>
      <w:r>
        <w:rPr>
          <w:rFonts w:hint="eastAsia"/>
          <w:szCs w:val="21"/>
          <w:highlight w:val="none"/>
        </w:rPr>
        <w:t>企业</w:t>
      </w:r>
      <w:r>
        <w:rPr>
          <w:szCs w:val="21"/>
          <w:highlight w:val="none"/>
        </w:rPr>
        <w:t>2</w:t>
      </w:r>
      <w:r>
        <w:rPr>
          <w:rFonts w:hint="eastAsia"/>
          <w:szCs w:val="21"/>
          <w:highlight w:val="none"/>
        </w:rPr>
        <w:t>名称（盖章）：</w:t>
      </w:r>
      <w:r>
        <w:rPr>
          <w:szCs w:val="21"/>
          <w:highlight w:val="none"/>
          <w:u w:val="single"/>
        </w:rPr>
        <w:t>_______________________</w:t>
      </w:r>
    </w:p>
    <w:p>
      <w:pPr>
        <w:tabs>
          <w:tab w:val="clear" w:pos="426"/>
        </w:tabs>
        <w:spacing w:line="240" w:lineRule="auto"/>
        <w:ind w:left="424" w:leftChars="202"/>
        <w:rPr>
          <w:szCs w:val="21"/>
          <w:highlight w:val="none"/>
        </w:rPr>
      </w:pPr>
      <w:r>
        <w:rPr>
          <w:rFonts w:hint="eastAsia"/>
          <w:szCs w:val="21"/>
          <w:highlight w:val="none"/>
        </w:rPr>
        <w:t>日期：</w:t>
      </w:r>
      <w:r>
        <w:rPr>
          <w:szCs w:val="21"/>
          <w:highlight w:val="none"/>
          <w:u w:val="single"/>
        </w:rPr>
        <w:t>_____________________________________</w:t>
      </w:r>
    </w:p>
    <w:p>
      <w:pPr>
        <w:tabs>
          <w:tab w:val="clear" w:pos="426"/>
        </w:tabs>
        <w:spacing w:line="500" w:lineRule="exact"/>
        <w:ind w:left="424" w:leftChars="202" w:firstLine="442"/>
        <w:rPr>
          <w:spacing w:val="4"/>
          <w:highlight w:val="none"/>
        </w:rPr>
      </w:pPr>
    </w:p>
    <w:p>
      <w:pPr>
        <w:tabs>
          <w:tab w:val="clear" w:pos="426"/>
        </w:tabs>
        <w:spacing w:before="231" w:beforeLines="50"/>
        <w:rPr>
          <w:b/>
          <w:highlight w:val="none"/>
        </w:rPr>
      </w:pPr>
      <w:bookmarkStart w:id="127" w:name="_Toc50691038"/>
      <w:bookmarkStart w:id="128" w:name="_Toc170699948"/>
      <w:bookmarkStart w:id="129" w:name="_Toc50736478"/>
      <w:bookmarkStart w:id="130" w:name="_Toc50737298"/>
      <w:bookmarkStart w:id="131" w:name="_Toc435514861"/>
      <w:bookmarkStart w:id="132" w:name="_Toc275865622"/>
      <w:bookmarkStart w:id="133" w:name="_Toc239051894"/>
      <w:bookmarkStart w:id="134" w:name="_Toc26220"/>
      <w:bookmarkStart w:id="135" w:name="_Toc275865623"/>
      <w:bookmarkStart w:id="136" w:name="_Toc87417460"/>
      <w:bookmarkStart w:id="137" w:name="_Toc256000035"/>
      <w:bookmarkStart w:id="138" w:name="_Toc435515302"/>
      <w:bookmarkStart w:id="139" w:name="_Toc275865609"/>
      <w:bookmarkStart w:id="140" w:name="_Toc52165082"/>
      <w:bookmarkStart w:id="141" w:name="_Toc50737330"/>
      <w:bookmarkStart w:id="142" w:name="_Toc435514862"/>
      <w:bookmarkStart w:id="143" w:name="_Toc435515301"/>
      <w:r>
        <w:rPr>
          <w:b/>
          <w:highlight w:val="none"/>
        </w:rPr>
        <w:t>3.</w:t>
      </w:r>
      <w:r>
        <w:rPr>
          <w:rFonts w:hint="eastAsia"/>
          <w:b/>
          <w:highlight w:val="none"/>
        </w:rPr>
        <w:t>分包意向协议书（可选）</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widowControl w:val="0"/>
        <w:shd w:val="clear" w:color="auto" w:fill="auto"/>
        <w:tabs>
          <w:tab w:val="left" w:pos="7740"/>
          <w:tab w:val="clear" w:pos="426"/>
        </w:tabs>
        <w:adjustRightInd/>
        <w:snapToGrid/>
        <w:rPr>
          <w:rFonts w:hAnsi="宋体" w:cs="Times New Roman"/>
          <w:kern w:val="10"/>
          <w:szCs w:val="21"/>
          <w:highlight w:val="none"/>
        </w:rPr>
      </w:pPr>
      <w:r>
        <w:rPr>
          <w:rFonts w:hint="eastAsia" w:hAnsi="宋体" w:cs="Times New Roman"/>
          <w:kern w:val="10"/>
          <w:szCs w:val="21"/>
          <w:highlight w:val="none"/>
        </w:rPr>
        <w:t>立约方：</w:t>
      </w:r>
    </w:p>
    <w:p>
      <w:pPr>
        <w:widowControl w:val="0"/>
        <w:shd w:val="clear" w:color="auto" w:fill="auto"/>
        <w:tabs>
          <w:tab w:val="left" w:pos="7740"/>
          <w:tab w:val="clear" w:pos="426"/>
        </w:tabs>
        <w:adjustRightInd/>
        <w:snapToGrid/>
        <w:rPr>
          <w:rFonts w:hAnsi="宋体" w:cs="Times New Roman"/>
          <w:kern w:val="2"/>
          <w:szCs w:val="21"/>
          <w:highlight w:val="none"/>
          <w:u w:val="single"/>
        </w:rPr>
      </w:pPr>
      <w:r>
        <w:rPr>
          <w:rFonts w:hint="eastAsia" w:hAnsi="宋体" w:cs="Times New Roman"/>
          <w:kern w:val="2"/>
          <w:szCs w:val="21"/>
          <w:highlight w:val="none"/>
          <w:u w:val="single"/>
        </w:rPr>
        <w:t xml:space="preserve">（甲方全称） </w:t>
      </w:r>
      <w:r>
        <w:rPr>
          <w:rFonts w:hAnsi="宋体" w:cs="Times New Roman"/>
          <w:kern w:val="2"/>
          <w:szCs w:val="21"/>
          <w:highlight w:val="none"/>
          <w:u w:val="single"/>
        </w:rPr>
        <w:t xml:space="preserve">          </w:t>
      </w:r>
    </w:p>
    <w:p>
      <w:pPr>
        <w:widowControl w:val="0"/>
        <w:shd w:val="clear" w:color="auto" w:fill="auto"/>
        <w:tabs>
          <w:tab w:val="left" w:pos="7740"/>
          <w:tab w:val="clear" w:pos="426"/>
        </w:tabs>
        <w:adjustRightInd/>
        <w:snapToGrid/>
        <w:rPr>
          <w:rFonts w:hAnsi="宋体" w:cs="Times New Roman"/>
          <w:kern w:val="2"/>
          <w:szCs w:val="21"/>
          <w:highlight w:val="none"/>
          <w:u w:val="single"/>
        </w:rPr>
      </w:pPr>
      <w:r>
        <w:rPr>
          <w:rFonts w:hint="eastAsia" w:hAnsi="宋体" w:cs="Times New Roman"/>
          <w:kern w:val="2"/>
          <w:szCs w:val="21"/>
          <w:highlight w:val="none"/>
          <w:u w:val="single"/>
        </w:rPr>
        <w:t xml:space="preserve">（乙方全称） </w:t>
      </w:r>
      <w:r>
        <w:rPr>
          <w:rFonts w:hAnsi="宋体" w:cs="Times New Roman"/>
          <w:kern w:val="2"/>
          <w:szCs w:val="21"/>
          <w:highlight w:val="none"/>
          <w:u w:val="single"/>
        </w:rPr>
        <w:t xml:space="preserve">          </w:t>
      </w:r>
    </w:p>
    <w:p>
      <w:pPr>
        <w:widowControl w:val="0"/>
        <w:shd w:val="clear" w:color="auto" w:fill="auto"/>
        <w:tabs>
          <w:tab w:val="left" w:pos="7740"/>
          <w:tab w:val="clear" w:pos="426"/>
        </w:tabs>
        <w:adjustRightInd/>
        <w:snapToGrid/>
        <w:rPr>
          <w:rFonts w:hAnsi="宋体" w:cs="Times New Roman"/>
          <w:kern w:val="2"/>
          <w:szCs w:val="21"/>
          <w:highlight w:val="none"/>
          <w:u w:val="single"/>
        </w:rPr>
      </w:pPr>
      <w:r>
        <w:rPr>
          <w:rFonts w:hint="eastAsia" w:hAnsi="宋体" w:cs="Times New Roman"/>
          <w:kern w:val="2"/>
          <w:szCs w:val="21"/>
          <w:highlight w:val="none"/>
          <w:u w:val="single"/>
        </w:rPr>
        <w:t xml:space="preserve">（丙方全称） </w:t>
      </w:r>
      <w:r>
        <w:rPr>
          <w:rFonts w:hAnsi="宋体" w:cs="Times New Roman"/>
          <w:kern w:val="2"/>
          <w:szCs w:val="21"/>
          <w:highlight w:val="none"/>
          <w:u w:val="single"/>
        </w:rPr>
        <w:t xml:space="preserve">          </w:t>
      </w:r>
    </w:p>
    <w:p>
      <w:pPr>
        <w:widowControl w:val="0"/>
        <w:shd w:val="clear" w:color="auto" w:fill="auto"/>
        <w:tabs>
          <w:tab w:val="left" w:pos="7740"/>
          <w:tab w:val="clear" w:pos="426"/>
        </w:tabs>
        <w:adjustRightInd/>
        <w:snapToGrid/>
        <w:rPr>
          <w:rFonts w:hAnsi="宋体" w:cs="Times New Roman"/>
          <w:kern w:val="2"/>
          <w:szCs w:val="21"/>
          <w:highlight w:val="none"/>
          <w:u w:val="single"/>
        </w:rPr>
      </w:pP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p>
    <w:p>
      <w:pPr>
        <w:widowControl w:val="0"/>
        <w:shd w:val="clear" w:color="auto" w:fill="auto"/>
        <w:tabs>
          <w:tab w:val="left" w:pos="7740"/>
          <w:tab w:val="clear" w:pos="426"/>
        </w:tabs>
        <w:adjustRightInd/>
        <w:jc w:val="left"/>
        <w:rPr>
          <w:rFonts w:hAnsi="宋体" w:cs="Times New Roman"/>
          <w:kern w:val="2"/>
          <w:szCs w:val="21"/>
          <w:highlight w:val="none"/>
        </w:rPr>
      </w:pPr>
    </w:p>
    <w:p>
      <w:pPr>
        <w:widowControl w:val="0"/>
        <w:shd w:val="clear" w:color="auto" w:fill="auto"/>
        <w:tabs>
          <w:tab w:val="left" w:pos="7740"/>
          <w:tab w:val="clear" w:pos="426"/>
        </w:tabs>
        <w:adjustRightInd/>
        <w:ind w:firstLine="420" w:firstLineChars="200"/>
        <w:jc w:val="left"/>
        <w:rPr>
          <w:rFonts w:hAnsi="宋体" w:cs="Times New Roman"/>
          <w:kern w:val="2"/>
          <w:szCs w:val="21"/>
          <w:highlight w:val="none"/>
        </w:rPr>
      </w:pPr>
      <w:r>
        <w:rPr>
          <w:rFonts w:hint="eastAsia" w:hAnsi="宋体" w:cs="Times New Roman"/>
          <w:i/>
          <w:kern w:val="2"/>
          <w:szCs w:val="21"/>
          <w:highlight w:val="none"/>
          <w:u w:val="single"/>
        </w:rPr>
        <w:t xml:space="preserve">（甲方全称）  </w:t>
      </w:r>
      <w:r>
        <w:rPr>
          <w:rFonts w:hAnsi="宋体" w:cs="Times New Roman"/>
          <w:i/>
          <w:kern w:val="2"/>
          <w:szCs w:val="21"/>
          <w:highlight w:val="none"/>
          <w:u w:val="single"/>
        </w:rPr>
        <w:t xml:space="preserve">  </w:t>
      </w:r>
      <w:r>
        <w:rPr>
          <w:rFonts w:hint="eastAsia" w:hAnsi="宋体" w:cs="Times New Roman"/>
          <w:kern w:val="2"/>
          <w:szCs w:val="21"/>
          <w:highlight w:val="none"/>
        </w:rPr>
        <w:t>为</w:t>
      </w:r>
      <w:r>
        <w:rPr>
          <w:rFonts w:hAnsi="宋体" w:cs="Times New Roman"/>
          <w:kern w:val="2"/>
          <w:szCs w:val="21"/>
          <w:highlight w:val="none"/>
        </w:rPr>
        <w:t>投标方（</w:t>
      </w:r>
      <w:r>
        <w:rPr>
          <w:rFonts w:hint="eastAsia" w:hAnsi="宋体" w:cs="Times New Roman"/>
          <w:kern w:val="2"/>
          <w:szCs w:val="21"/>
          <w:highlight w:val="none"/>
        </w:rPr>
        <w:t>分包方</w:t>
      </w:r>
      <w:r>
        <w:rPr>
          <w:rFonts w:hAnsi="宋体" w:cs="Times New Roman"/>
          <w:kern w:val="2"/>
          <w:szCs w:val="21"/>
          <w:highlight w:val="none"/>
        </w:rPr>
        <w:t>），</w:t>
      </w:r>
      <w:r>
        <w:rPr>
          <w:rFonts w:hint="eastAsia" w:hAnsi="宋体" w:cs="Times New Roman"/>
          <w:kern w:val="2"/>
          <w:szCs w:val="21"/>
          <w:highlight w:val="none"/>
        </w:rPr>
        <w:t>就项目编号为:</w:t>
      </w:r>
      <w:r>
        <w:rPr>
          <w:rFonts w:hAnsi="宋体" w:cs="Times New Roman"/>
          <w:i/>
          <w:kern w:val="2"/>
          <w:szCs w:val="21"/>
          <w:highlight w:val="none"/>
          <w:u w:val="single"/>
        </w:rPr>
        <w:t xml:space="preserve">        </w:t>
      </w:r>
      <w:r>
        <w:rPr>
          <w:rFonts w:hAnsi="宋体" w:cs="Times New Roman"/>
          <w:kern w:val="2"/>
          <w:szCs w:val="21"/>
          <w:highlight w:val="none"/>
        </w:rPr>
        <w:t>项目名称为</w:t>
      </w:r>
      <w:r>
        <w:rPr>
          <w:rFonts w:hint="eastAsia" w:hAnsi="宋体" w:cs="Times New Roman"/>
          <w:kern w:val="2"/>
          <w:szCs w:val="21"/>
          <w:highlight w:val="none"/>
        </w:rPr>
        <w:t>:</w:t>
      </w:r>
      <w:r>
        <w:rPr>
          <w:rFonts w:hAnsi="宋体" w:cs="Times New Roman"/>
          <w:i/>
          <w:kern w:val="2"/>
          <w:szCs w:val="21"/>
          <w:highlight w:val="none"/>
          <w:u w:val="single"/>
        </w:rPr>
        <w:t xml:space="preserve">           </w:t>
      </w:r>
      <w:r>
        <w:rPr>
          <w:rFonts w:hint="eastAsia" w:hAnsi="宋体" w:cs="Times New Roman"/>
          <w:kern w:val="2"/>
          <w:szCs w:val="21"/>
          <w:highlight w:val="none"/>
        </w:rPr>
        <w:t>的项目投标事宜，与</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（乙方全称）</w:t>
      </w:r>
      <w:r>
        <w:rPr>
          <w:rFonts w:hint="eastAsia" w:hAnsi="宋体" w:cs="Times New Roman"/>
          <w:i/>
          <w:kern w:val="2"/>
          <w:szCs w:val="21"/>
          <w:highlight w:val="none"/>
        </w:rPr>
        <w:t>、</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（丙方全称）</w:t>
      </w:r>
      <w:r>
        <w:rPr>
          <w:rFonts w:hint="eastAsia" w:hAnsi="宋体" w:cs="Times New Roman"/>
          <w:i/>
          <w:kern w:val="2"/>
          <w:szCs w:val="21"/>
          <w:highlight w:val="none"/>
        </w:rPr>
        <w:t>、</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w:t>
      </w:r>
      <w:r>
        <w:rPr>
          <w:rFonts w:hAnsi="宋体" w:cs="Times New Roman"/>
          <w:i/>
          <w:kern w:val="2"/>
          <w:szCs w:val="21"/>
          <w:highlight w:val="none"/>
          <w:u w:val="single"/>
        </w:rPr>
        <w:t>…</w:t>
      </w:r>
      <w:r>
        <w:rPr>
          <w:rFonts w:hint="eastAsia" w:hAnsi="宋体" w:cs="Times New Roman"/>
          <w:i/>
          <w:kern w:val="2"/>
          <w:szCs w:val="21"/>
          <w:highlight w:val="none"/>
          <w:u w:val="single"/>
        </w:rPr>
        <w:t>）</w:t>
      </w:r>
      <w:r>
        <w:rPr>
          <w:rFonts w:hint="eastAsia" w:hAnsi="宋体" w:cs="Times New Roman"/>
          <w:kern w:val="2"/>
          <w:szCs w:val="21"/>
          <w:highlight w:val="none"/>
        </w:rPr>
        <w:t>通过友好协商达成以下协议：</w:t>
      </w:r>
    </w:p>
    <w:p>
      <w:pPr>
        <w:widowControl w:val="0"/>
        <w:shd w:val="clear" w:color="auto" w:fill="auto"/>
        <w:tabs>
          <w:tab w:val="left" w:pos="7740"/>
          <w:tab w:val="clear" w:pos="426"/>
        </w:tabs>
        <w:adjustRightInd/>
        <w:ind w:firstLine="420" w:firstLineChars="200"/>
        <w:jc w:val="left"/>
        <w:rPr>
          <w:rFonts w:hAnsi="宋体" w:cs="Times New Roman"/>
          <w:kern w:val="2"/>
          <w:szCs w:val="21"/>
          <w:highlight w:val="none"/>
        </w:rPr>
      </w:pPr>
      <w:r>
        <w:rPr>
          <w:rFonts w:hint="eastAsia" w:hAnsi="宋体" w:cs="Times New Roman"/>
          <w:bCs/>
          <w:kern w:val="2"/>
          <w:szCs w:val="21"/>
          <w:highlight w:val="none"/>
        </w:rPr>
        <w:t>一、在本次投标有效期内，</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（乙方全称）</w:t>
      </w:r>
      <w:r>
        <w:rPr>
          <w:rFonts w:hint="eastAsia" w:hAnsi="宋体" w:cs="Times New Roman"/>
          <w:i/>
          <w:kern w:val="2"/>
          <w:szCs w:val="21"/>
          <w:highlight w:val="none"/>
        </w:rPr>
        <w:t>、</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（丙方全称）</w:t>
      </w:r>
      <w:r>
        <w:rPr>
          <w:rFonts w:hint="eastAsia" w:hAnsi="宋体" w:cs="Times New Roman"/>
          <w:i/>
          <w:kern w:val="2"/>
          <w:szCs w:val="21"/>
          <w:highlight w:val="none"/>
        </w:rPr>
        <w:t>、</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w:t>
      </w:r>
      <w:r>
        <w:rPr>
          <w:rFonts w:hAnsi="宋体" w:cs="Times New Roman"/>
          <w:i/>
          <w:kern w:val="2"/>
          <w:szCs w:val="21"/>
          <w:highlight w:val="none"/>
          <w:u w:val="single"/>
        </w:rPr>
        <w:t>…</w:t>
      </w:r>
      <w:r>
        <w:rPr>
          <w:rFonts w:hint="eastAsia" w:hAnsi="宋体" w:cs="Times New Roman"/>
          <w:i/>
          <w:kern w:val="2"/>
          <w:szCs w:val="21"/>
          <w:highlight w:val="none"/>
          <w:u w:val="single"/>
        </w:rPr>
        <w:t>）</w:t>
      </w:r>
      <w:r>
        <w:rPr>
          <w:rFonts w:hint="eastAsia" w:hAnsi="宋体" w:cs="Times New Roman"/>
          <w:kern w:val="2"/>
          <w:szCs w:val="21"/>
          <w:highlight w:val="none"/>
        </w:rPr>
        <w:t>同意</w:t>
      </w:r>
      <w:r>
        <w:rPr>
          <w:rFonts w:hint="eastAsia" w:hAnsi="宋体" w:cs="Times New Roman"/>
          <w:i/>
          <w:kern w:val="2"/>
          <w:szCs w:val="21"/>
          <w:highlight w:val="none"/>
          <w:u w:val="single"/>
        </w:rPr>
        <w:t xml:space="preserve">（甲方全称）  </w:t>
      </w:r>
      <w:r>
        <w:rPr>
          <w:rFonts w:hAnsi="宋体" w:cs="Times New Roman"/>
          <w:i/>
          <w:kern w:val="2"/>
          <w:szCs w:val="21"/>
          <w:highlight w:val="none"/>
          <w:u w:val="single"/>
        </w:rPr>
        <w:t xml:space="preserve">   </w:t>
      </w:r>
      <w:r>
        <w:rPr>
          <w:rFonts w:hAnsi="宋体" w:cs="Times New Roman"/>
          <w:kern w:val="2"/>
          <w:szCs w:val="21"/>
          <w:highlight w:val="none"/>
        </w:rPr>
        <w:t>参加</w:t>
      </w:r>
      <w:r>
        <w:rPr>
          <w:rFonts w:hint="eastAsia" w:hAnsi="宋体" w:cs="Times New Roman"/>
          <w:kern w:val="2"/>
          <w:szCs w:val="21"/>
          <w:highlight w:val="none"/>
        </w:rPr>
        <w:t>上述项目投标事宜。若中标，各方按照本协议中约定的分工事项，完成各方对应的工作。</w:t>
      </w:r>
    </w:p>
    <w:p>
      <w:pPr>
        <w:widowControl w:val="0"/>
        <w:shd w:val="clear" w:color="auto" w:fill="auto"/>
        <w:tabs>
          <w:tab w:val="left" w:pos="7740"/>
          <w:tab w:val="clear" w:pos="426"/>
        </w:tabs>
        <w:adjustRightInd/>
        <w:ind w:firstLine="420" w:firstLineChars="200"/>
        <w:jc w:val="left"/>
        <w:rPr>
          <w:rFonts w:hAnsi="宋体" w:cs="Times New Roman"/>
          <w:bCs/>
          <w:kern w:val="2"/>
          <w:szCs w:val="21"/>
          <w:highlight w:val="none"/>
        </w:rPr>
      </w:pPr>
      <w:r>
        <w:rPr>
          <w:rFonts w:hint="eastAsia" w:hAnsi="宋体" w:cs="Times New Roman"/>
          <w:bCs/>
          <w:kern w:val="2"/>
          <w:szCs w:val="21"/>
          <w:highlight w:val="none"/>
        </w:rPr>
        <w:t>二、各方分工：</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kern w:val="2"/>
          <w:szCs w:val="21"/>
          <w:highlight w:val="none"/>
        </w:rPr>
        <w:t>本项目投标工作由</w:t>
      </w:r>
      <w:r>
        <w:rPr>
          <w:rFonts w:hint="eastAsia" w:hAnsi="宋体" w:cs="Times New Roman"/>
          <w:i/>
          <w:kern w:val="2"/>
          <w:szCs w:val="21"/>
          <w:highlight w:val="none"/>
          <w:u w:val="single"/>
        </w:rPr>
        <w:t xml:space="preserve">（甲方全称） </w:t>
      </w:r>
      <w:r>
        <w:rPr>
          <w:rFonts w:hAnsi="宋体" w:cs="Times New Roman"/>
          <w:i/>
          <w:kern w:val="2"/>
          <w:szCs w:val="21"/>
          <w:highlight w:val="none"/>
          <w:u w:val="single"/>
        </w:rPr>
        <w:t xml:space="preserve">     </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kern w:val="2"/>
          <w:szCs w:val="21"/>
          <w:highlight w:val="none"/>
        </w:rPr>
        <w:t>负责。</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kern w:val="2"/>
          <w:szCs w:val="21"/>
          <w:highlight w:val="none"/>
        </w:rPr>
        <w:t>本项目由</w:t>
      </w:r>
      <w:r>
        <w:rPr>
          <w:rFonts w:hint="eastAsia" w:hAnsi="宋体" w:cs="Times New Roman"/>
          <w:i/>
          <w:kern w:val="2"/>
          <w:szCs w:val="21"/>
          <w:highlight w:val="none"/>
          <w:u w:val="single"/>
        </w:rPr>
        <w:t xml:space="preserve">（甲方全称） </w:t>
      </w:r>
      <w:r>
        <w:rPr>
          <w:rFonts w:hAnsi="宋体" w:cs="Times New Roman"/>
          <w:i/>
          <w:kern w:val="2"/>
          <w:szCs w:val="21"/>
          <w:highlight w:val="none"/>
          <w:u w:val="single"/>
        </w:rPr>
        <w:t xml:space="preserve">  </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kern w:val="2"/>
          <w:szCs w:val="21"/>
          <w:highlight w:val="none"/>
        </w:rPr>
        <w:t>授权人员负责与采购人联系。</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i/>
          <w:kern w:val="2"/>
          <w:szCs w:val="21"/>
          <w:highlight w:val="none"/>
          <w:u w:val="single"/>
        </w:rPr>
        <w:t xml:space="preserve">（甲方全称） </w:t>
      </w:r>
      <w:r>
        <w:rPr>
          <w:rFonts w:hAnsi="宋体" w:cs="Times New Roman"/>
          <w:i/>
          <w:kern w:val="2"/>
          <w:szCs w:val="21"/>
          <w:highlight w:val="none"/>
          <w:u w:val="single"/>
        </w:rPr>
        <w:t xml:space="preserve">    </w:t>
      </w:r>
      <w:r>
        <w:rPr>
          <w:rFonts w:hint="eastAsia" w:hAnsi="宋体" w:cs="Times New Roman"/>
          <w:kern w:val="2"/>
          <w:szCs w:val="21"/>
          <w:highlight w:val="none"/>
        </w:rPr>
        <w:t>为分包方，属于</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（中型企业、小型企业、微型企业）</w:t>
      </w:r>
      <w:r>
        <w:rPr>
          <w:rFonts w:hint="eastAsia" w:hAnsi="宋体" w:cs="Times New Roman"/>
          <w:kern w:val="2"/>
          <w:szCs w:val="21"/>
          <w:highlight w:val="none"/>
        </w:rPr>
        <w:t>，拟承担的工作为:</w:t>
      </w:r>
      <w:r>
        <w:rPr>
          <w:rFonts w:hint="eastAsia" w:hAnsi="宋体" w:cs="Times New Roman"/>
          <w:i/>
          <w:kern w:val="2"/>
          <w:szCs w:val="21"/>
          <w:highlight w:val="none"/>
        </w:rPr>
        <w:t xml:space="preserve"> </w:t>
      </w:r>
      <w:r>
        <w:rPr>
          <w:rFonts w:hint="eastAsia" w:hAnsi="宋体" w:cs="Times New Roman"/>
          <w:i/>
          <w:kern w:val="2"/>
          <w:szCs w:val="21"/>
          <w:highlight w:val="none"/>
          <w:u w:val="single"/>
        </w:rPr>
        <w:t xml:space="preserve">              </w:t>
      </w:r>
      <w:r>
        <w:rPr>
          <w:rFonts w:hint="eastAsia" w:hAnsi="宋体" w:cs="Times New Roman"/>
          <w:kern w:val="2"/>
          <w:szCs w:val="21"/>
          <w:highlight w:val="none"/>
        </w:rPr>
        <w:t>。</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i/>
          <w:kern w:val="2"/>
          <w:szCs w:val="21"/>
          <w:highlight w:val="none"/>
          <w:u w:val="single"/>
        </w:rPr>
        <w:t xml:space="preserve">（乙方全称） </w:t>
      </w:r>
      <w:r>
        <w:rPr>
          <w:rFonts w:hAnsi="宋体" w:cs="Times New Roman"/>
          <w:i/>
          <w:kern w:val="2"/>
          <w:szCs w:val="21"/>
          <w:highlight w:val="none"/>
          <w:u w:val="single"/>
        </w:rPr>
        <w:t xml:space="preserve">    </w:t>
      </w:r>
      <w:r>
        <w:rPr>
          <w:rFonts w:hint="eastAsia" w:hAnsi="宋体" w:cs="Times New Roman"/>
          <w:kern w:val="2"/>
          <w:szCs w:val="21"/>
          <w:highlight w:val="none"/>
        </w:rPr>
        <w:t>为接受分包合同的分包承担方，属于</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（中型企业、小型企业、微型企业）</w:t>
      </w:r>
      <w:r>
        <w:rPr>
          <w:rFonts w:hint="eastAsia" w:hAnsi="宋体" w:cs="Times New Roman"/>
          <w:i/>
          <w:kern w:val="2"/>
          <w:szCs w:val="21"/>
          <w:highlight w:val="none"/>
        </w:rPr>
        <w:t>，</w:t>
      </w:r>
      <w:r>
        <w:rPr>
          <w:rFonts w:hint="eastAsia" w:hAnsi="宋体" w:cs="Times New Roman"/>
          <w:kern w:val="2"/>
          <w:szCs w:val="21"/>
          <w:highlight w:val="none"/>
        </w:rPr>
        <w:t xml:space="preserve">拟承担的工作为: </w:t>
      </w:r>
      <w:r>
        <w:rPr>
          <w:rFonts w:hint="eastAsia" w:hAnsi="宋体" w:cs="Times New Roman"/>
          <w:i/>
          <w:kern w:val="2"/>
          <w:szCs w:val="21"/>
          <w:highlight w:val="none"/>
          <w:u w:val="single"/>
        </w:rPr>
        <w:t xml:space="preserve">              </w:t>
      </w:r>
      <w:r>
        <w:rPr>
          <w:rFonts w:hint="eastAsia" w:hAnsi="宋体" w:cs="Times New Roman"/>
          <w:kern w:val="2"/>
          <w:szCs w:val="21"/>
          <w:highlight w:val="none"/>
        </w:rPr>
        <w:t>，其分包合同金额所占合同总金额比例为</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kern w:val="2"/>
          <w:szCs w:val="21"/>
          <w:highlight w:val="none"/>
        </w:rPr>
        <w:t>。</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i/>
          <w:kern w:val="2"/>
          <w:szCs w:val="21"/>
          <w:highlight w:val="none"/>
          <w:u w:val="single"/>
        </w:rPr>
        <w:t xml:space="preserve">（丙方全称） </w:t>
      </w:r>
      <w:r>
        <w:rPr>
          <w:rFonts w:hAnsi="宋体" w:cs="Times New Roman"/>
          <w:i/>
          <w:kern w:val="2"/>
          <w:szCs w:val="21"/>
          <w:highlight w:val="none"/>
          <w:u w:val="single"/>
        </w:rPr>
        <w:t xml:space="preserve">    </w:t>
      </w:r>
      <w:r>
        <w:rPr>
          <w:rFonts w:hint="eastAsia" w:hAnsi="宋体" w:cs="Times New Roman"/>
          <w:kern w:val="2"/>
          <w:szCs w:val="21"/>
          <w:highlight w:val="none"/>
        </w:rPr>
        <w:t>为接受分包合同的分包承担方，属于</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i/>
          <w:kern w:val="2"/>
          <w:szCs w:val="21"/>
          <w:highlight w:val="none"/>
          <w:u w:val="single"/>
        </w:rPr>
        <w:t>（中型企业、小型企业、微型企业）</w:t>
      </w:r>
      <w:r>
        <w:rPr>
          <w:rFonts w:hint="eastAsia" w:hAnsi="宋体" w:cs="Times New Roman"/>
          <w:i/>
          <w:kern w:val="2"/>
          <w:szCs w:val="21"/>
          <w:highlight w:val="none"/>
        </w:rPr>
        <w:t>，</w:t>
      </w:r>
      <w:r>
        <w:rPr>
          <w:rFonts w:hint="eastAsia" w:hAnsi="宋体" w:cs="Times New Roman"/>
          <w:kern w:val="2"/>
          <w:szCs w:val="21"/>
          <w:highlight w:val="none"/>
        </w:rPr>
        <w:t xml:space="preserve">拟承担的工作为: </w:t>
      </w:r>
      <w:r>
        <w:rPr>
          <w:rFonts w:hint="eastAsia" w:hAnsi="宋体" w:cs="Times New Roman"/>
          <w:i/>
          <w:kern w:val="2"/>
          <w:szCs w:val="21"/>
          <w:highlight w:val="none"/>
          <w:u w:val="single"/>
        </w:rPr>
        <w:t xml:space="preserve">              </w:t>
      </w:r>
      <w:r>
        <w:rPr>
          <w:rFonts w:hint="eastAsia" w:hAnsi="宋体" w:cs="Times New Roman"/>
          <w:kern w:val="2"/>
          <w:szCs w:val="21"/>
          <w:highlight w:val="none"/>
        </w:rPr>
        <w:t>，其分包合同金额所占合同总金额比例为</w:t>
      </w:r>
      <w:r>
        <w:rPr>
          <w:rFonts w:hint="eastAsia" w:hAnsi="宋体" w:cs="Times New Roman"/>
          <w:i/>
          <w:kern w:val="2"/>
          <w:szCs w:val="21"/>
          <w:highlight w:val="none"/>
          <w:u w:val="single"/>
        </w:rPr>
        <w:t xml:space="preserve"> </w:t>
      </w:r>
      <w:r>
        <w:rPr>
          <w:rFonts w:hAnsi="宋体" w:cs="Times New Roman"/>
          <w:i/>
          <w:kern w:val="2"/>
          <w:szCs w:val="21"/>
          <w:highlight w:val="none"/>
          <w:u w:val="single"/>
        </w:rPr>
        <w:t xml:space="preserve">      </w:t>
      </w:r>
      <w:r>
        <w:rPr>
          <w:rFonts w:hint="eastAsia" w:hAnsi="宋体" w:cs="Times New Roman"/>
          <w:kern w:val="2"/>
          <w:szCs w:val="21"/>
          <w:highlight w:val="none"/>
        </w:rPr>
        <w:t>。</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bCs/>
          <w:kern w:val="2"/>
          <w:szCs w:val="21"/>
          <w:highlight w:val="none"/>
        </w:rPr>
        <w:t>接受分包合同的中小企业与分包企业之间不存在直接控股、管理关系。</w:t>
      </w:r>
    </w:p>
    <w:p>
      <w:pPr>
        <w:widowControl w:val="0"/>
        <w:numPr>
          <w:ilvl w:val="0"/>
          <w:numId w:val="40"/>
        </w:numPr>
        <w:shd w:val="clear" w:color="auto" w:fill="auto"/>
        <w:tabs>
          <w:tab w:val="clear" w:pos="426"/>
        </w:tabs>
        <w:adjustRightInd/>
        <w:snapToGrid/>
        <w:spacing w:line="240" w:lineRule="auto"/>
        <w:ind w:firstLine="426"/>
        <w:jc w:val="left"/>
        <w:rPr>
          <w:rFonts w:hAnsi="宋体" w:cs="Times New Roman"/>
          <w:kern w:val="2"/>
          <w:szCs w:val="21"/>
          <w:highlight w:val="none"/>
        </w:rPr>
      </w:pPr>
      <w:r>
        <w:rPr>
          <w:rFonts w:hint="eastAsia" w:hAnsi="宋体" w:cs="Times New Roman"/>
          <w:kern w:val="2"/>
          <w:szCs w:val="21"/>
          <w:highlight w:val="none"/>
        </w:rPr>
        <w:t>如中标，各方应按照招标文件的各项要求和内部职责的划分，承担自身所负的责任和风险。</w:t>
      </w:r>
    </w:p>
    <w:p>
      <w:pPr>
        <w:widowControl w:val="0"/>
        <w:shd w:val="clear" w:color="auto" w:fill="auto"/>
        <w:tabs>
          <w:tab w:val="left" w:pos="7740"/>
          <w:tab w:val="clear" w:pos="426"/>
        </w:tabs>
        <w:adjustRightInd/>
        <w:ind w:firstLine="420" w:firstLineChars="200"/>
        <w:jc w:val="left"/>
        <w:rPr>
          <w:rFonts w:hint="eastAsia" w:ascii="宋体" w:hAnsi="宋体" w:eastAsia="宋体" w:cs="Times New Roman"/>
          <w:bCs/>
          <w:kern w:val="2"/>
          <w:szCs w:val="21"/>
          <w:highlight w:val="none"/>
        </w:rPr>
      </w:pPr>
      <w:r>
        <w:rPr>
          <w:rFonts w:hint="eastAsia" w:ascii="宋体" w:hAnsi="宋体" w:eastAsia="宋体" w:cs="Times New Roman"/>
          <w:bCs/>
          <w:kern w:val="2"/>
          <w:szCs w:val="21"/>
          <w:highlight w:val="none"/>
          <w:lang w:val="en-US" w:eastAsia="zh-CN"/>
        </w:rPr>
        <w:t>三、</w:t>
      </w:r>
      <w:r>
        <w:rPr>
          <w:rFonts w:hint="eastAsia" w:ascii="宋体" w:hAnsi="宋体" w:eastAsia="宋体" w:cs="Times New Roman"/>
          <w:bCs/>
          <w:kern w:val="2"/>
          <w:szCs w:val="21"/>
          <w:highlight w:val="none"/>
        </w:rPr>
        <w:t>本协议在自签署之日起生效，投标有效期内有效，如获中标资格，合同有效期延续至合同履行完毕之日。</w:t>
      </w:r>
    </w:p>
    <w:p>
      <w:pPr>
        <w:widowControl w:val="0"/>
        <w:shd w:val="clear" w:color="auto" w:fill="auto"/>
        <w:tabs>
          <w:tab w:val="left" w:pos="7740"/>
          <w:tab w:val="clear" w:pos="426"/>
        </w:tabs>
        <w:adjustRightInd/>
        <w:ind w:firstLine="420" w:firstLineChars="200"/>
        <w:jc w:val="left"/>
        <w:rPr>
          <w:rFonts w:hint="eastAsia" w:ascii="宋体" w:hAnsi="宋体" w:eastAsia="宋体" w:cs="Times New Roman"/>
          <w:bCs/>
          <w:kern w:val="2"/>
          <w:szCs w:val="21"/>
          <w:highlight w:val="none"/>
        </w:rPr>
      </w:pPr>
      <w:r>
        <w:rPr>
          <w:rFonts w:hint="eastAsia" w:ascii="宋体" w:hAnsi="宋体" w:eastAsia="宋体" w:cs="Times New Roman"/>
          <w:bCs/>
          <w:kern w:val="2"/>
          <w:szCs w:val="21"/>
          <w:highlight w:val="none"/>
          <w:lang w:val="en-US" w:eastAsia="zh-CN"/>
        </w:rPr>
        <w:t>四、</w:t>
      </w:r>
      <w:r>
        <w:rPr>
          <w:rFonts w:hint="eastAsia" w:ascii="宋体" w:hAnsi="宋体" w:eastAsia="宋体" w:cs="Times New Roman"/>
          <w:bCs/>
          <w:kern w:val="2"/>
          <w:szCs w:val="21"/>
          <w:highlight w:val="none"/>
        </w:rPr>
        <w:t>本协议书正本一式</w:t>
      </w:r>
      <w:r>
        <w:rPr>
          <w:rFonts w:hint="eastAsia" w:ascii="宋体" w:hAnsi="宋体" w:eastAsia="宋体" w:cs="Times New Roman"/>
          <w:bCs/>
          <w:kern w:val="2"/>
          <w:szCs w:val="21"/>
          <w:highlight w:val="none"/>
          <w:u w:val="single"/>
        </w:rPr>
        <w:t xml:space="preserve">   </w:t>
      </w:r>
      <w:r>
        <w:rPr>
          <w:rFonts w:hint="eastAsia" w:ascii="宋体" w:hAnsi="宋体" w:eastAsia="宋体" w:cs="Times New Roman"/>
          <w:bCs/>
          <w:kern w:val="2"/>
          <w:szCs w:val="21"/>
          <w:highlight w:val="none"/>
        </w:rPr>
        <w:t>份，随投标文件装订</w:t>
      </w:r>
      <w:r>
        <w:rPr>
          <w:rFonts w:hint="eastAsia" w:ascii="宋体" w:hAnsi="宋体" w:eastAsia="宋体" w:cs="Times New Roman"/>
          <w:bCs/>
          <w:kern w:val="2"/>
          <w:szCs w:val="21"/>
          <w:highlight w:val="none"/>
          <w:u w:val="single"/>
        </w:rPr>
        <w:t xml:space="preserve">   </w:t>
      </w:r>
      <w:r>
        <w:rPr>
          <w:rFonts w:hint="eastAsia" w:ascii="宋体" w:hAnsi="宋体" w:eastAsia="宋体" w:cs="Times New Roman"/>
          <w:bCs/>
          <w:kern w:val="2"/>
          <w:szCs w:val="21"/>
          <w:highlight w:val="none"/>
        </w:rPr>
        <w:t>份，送采购人</w:t>
      </w:r>
      <w:r>
        <w:rPr>
          <w:rFonts w:hint="eastAsia" w:ascii="宋体" w:hAnsi="宋体" w:eastAsia="宋体" w:cs="Times New Roman"/>
          <w:bCs/>
          <w:kern w:val="2"/>
          <w:szCs w:val="21"/>
          <w:highlight w:val="none"/>
          <w:u w:val="single"/>
        </w:rPr>
        <w:t xml:space="preserve">   </w:t>
      </w:r>
      <w:r>
        <w:rPr>
          <w:rFonts w:hint="eastAsia" w:ascii="宋体" w:hAnsi="宋体" w:eastAsia="宋体" w:cs="Times New Roman"/>
          <w:bCs/>
          <w:kern w:val="2"/>
          <w:szCs w:val="21"/>
          <w:highlight w:val="none"/>
        </w:rPr>
        <w:t>份，分包意向协议成员各一份；副本一式</w:t>
      </w:r>
      <w:r>
        <w:rPr>
          <w:rFonts w:hint="eastAsia" w:ascii="宋体" w:hAnsi="宋体" w:eastAsia="宋体" w:cs="Times New Roman"/>
          <w:bCs/>
          <w:kern w:val="2"/>
          <w:szCs w:val="21"/>
          <w:highlight w:val="none"/>
          <w:u w:val="single"/>
        </w:rPr>
        <w:t xml:space="preserve">   </w:t>
      </w:r>
      <w:r>
        <w:rPr>
          <w:rFonts w:hint="eastAsia" w:ascii="宋体" w:hAnsi="宋体" w:eastAsia="宋体" w:cs="Times New Roman"/>
          <w:bCs/>
          <w:kern w:val="2"/>
          <w:szCs w:val="21"/>
          <w:highlight w:val="none"/>
        </w:rPr>
        <w:t>份，分包意向协议成员各执</w:t>
      </w:r>
      <w:r>
        <w:rPr>
          <w:rFonts w:hint="eastAsia" w:ascii="宋体" w:hAnsi="宋体" w:eastAsia="宋体" w:cs="Times New Roman"/>
          <w:bCs/>
          <w:kern w:val="2"/>
          <w:szCs w:val="21"/>
          <w:highlight w:val="none"/>
          <w:u w:val="single"/>
        </w:rPr>
        <w:t xml:space="preserve">   </w:t>
      </w:r>
      <w:r>
        <w:rPr>
          <w:rFonts w:hint="eastAsia" w:ascii="宋体" w:hAnsi="宋体" w:eastAsia="宋体" w:cs="Times New Roman"/>
          <w:bCs/>
          <w:kern w:val="2"/>
          <w:szCs w:val="21"/>
          <w:highlight w:val="none"/>
        </w:rPr>
        <w:t>份。</w:t>
      </w:r>
    </w:p>
    <w:p>
      <w:pPr>
        <w:widowControl w:val="0"/>
        <w:shd w:val="clear" w:color="auto" w:fill="auto"/>
        <w:tabs>
          <w:tab w:val="clear" w:pos="426"/>
        </w:tabs>
        <w:adjustRightInd/>
        <w:snapToGrid/>
        <w:spacing w:line="240" w:lineRule="auto"/>
        <w:rPr>
          <w:rFonts w:hAnsi="宋体" w:cs="Courier New"/>
          <w:kern w:val="2"/>
          <w:szCs w:val="21"/>
          <w:highlight w:val="none"/>
        </w:rPr>
      </w:pPr>
    </w:p>
    <w:p>
      <w:pPr>
        <w:shd w:val="clear" w:color="auto" w:fill="auto"/>
        <w:tabs>
          <w:tab w:val="left" w:pos="7740"/>
          <w:tab w:val="clear" w:pos="426"/>
        </w:tabs>
        <w:adjustRightInd/>
        <w:snapToGrid/>
        <w:jc w:val="left"/>
        <w:rPr>
          <w:rFonts w:hAnsi="宋体" w:cs="Times New Roman"/>
          <w:kern w:val="2"/>
          <w:szCs w:val="21"/>
          <w:highlight w:val="none"/>
        </w:rPr>
      </w:pP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rPr>
        <w:t>甲方全称（盖章）：</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u w:val="single"/>
        </w:rPr>
      </w:pPr>
      <w:r>
        <w:rPr>
          <w:rFonts w:hint="eastAsia" w:hAnsi="宋体" w:cs="Times New Roman"/>
          <w:kern w:val="2"/>
          <w:szCs w:val="21"/>
          <w:highlight w:val="none"/>
        </w:rPr>
        <w:t>法定代表人（签字）：</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年</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月</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日</w:t>
      </w:r>
    </w:p>
    <w:p>
      <w:pPr>
        <w:shd w:val="clear" w:color="auto" w:fill="auto"/>
        <w:tabs>
          <w:tab w:val="left" w:pos="7740"/>
          <w:tab w:val="clear" w:pos="426"/>
        </w:tabs>
        <w:adjustRightInd/>
        <w:snapToGrid/>
        <w:jc w:val="left"/>
        <w:rPr>
          <w:rFonts w:hAnsi="宋体" w:cs="Times New Roman"/>
          <w:kern w:val="2"/>
          <w:szCs w:val="21"/>
          <w:highlight w:val="none"/>
        </w:rPr>
      </w:pP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rPr>
        <w:t>乙方全称（盖章）：</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u w:val="single"/>
        </w:rPr>
      </w:pPr>
      <w:r>
        <w:rPr>
          <w:rFonts w:hint="eastAsia" w:hAnsi="宋体" w:cs="Times New Roman"/>
          <w:kern w:val="2"/>
          <w:szCs w:val="21"/>
          <w:highlight w:val="none"/>
        </w:rPr>
        <w:t>法定代表人（签字）：</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年</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月</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日</w:t>
      </w:r>
    </w:p>
    <w:p>
      <w:pPr>
        <w:shd w:val="clear" w:color="auto" w:fill="auto"/>
        <w:tabs>
          <w:tab w:val="left" w:pos="7740"/>
          <w:tab w:val="clear" w:pos="426"/>
        </w:tabs>
        <w:adjustRightInd/>
        <w:snapToGrid/>
        <w:jc w:val="left"/>
        <w:rPr>
          <w:rFonts w:hAnsi="宋体" w:cs="Times New Roman"/>
          <w:kern w:val="2"/>
          <w:szCs w:val="21"/>
          <w:highlight w:val="none"/>
        </w:rPr>
      </w:pP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rPr>
        <w:t>丙方全称（盖章）：</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u w:val="single"/>
        </w:rPr>
      </w:pPr>
      <w:r>
        <w:rPr>
          <w:rFonts w:hint="eastAsia" w:hAnsi="宋体" w:cs="Times New Roman"/>
          <w:kern w:val="2"/>
          <w:szCs w:val="21"/>
          <w:highlight w:val="none"/>
        </w:rPr>
        <w:t>法定代表人（签字）：</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年</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月</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日</w:t>
      </w:r>
    </w:p>
    <w:p>
      <w:pPr>
        <w:shd w:val="clear" w:color="auto" w:fill="auto"/>
        <w:tabs>
          <w:tab w:val="left" w:pos="7740"/>
          <w:tab w:val="clear" w:pos="426"/>
        </w:tabs>
        <w:adjustRightInd/>
        <w:snapToGrid/>
        <w:jc w:val="left"/>
        <w:rPr>
          <w:rFonts w:hAnsi="宋体" w:cs="Times New Roman"/>
          <w:kern w:val="2"/>
          <w:szCs w:val="21"/>
          <w:highlight w:val="none"/>
        </w:rPr>
      </w:pP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rPr>
        <w:t>……方全称（盖章）：</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u w:val="single"/>
        </w:rPr>
      </w:pPr>
      <w:r>
        <w:rPr>
          <w:rFonts w:hint="eastAsia" w:hAnsi="宋体" w:cs="Times New Roman"/>
          <w:kern w:val="2"/>
          <w:szCs w:val="21"/>
          <w:highlight w:val="none"/>
        </w:rPr>
        <w:t>法定代表人（签字）：</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p>
    <w:p>
      <w:pPr>
        <w:shd w:val="clear" w:color="auto" w:fill="auto"/>
        <w:tabs>
          <w:tab w:val="left" w:pos="7740"/>
          <w:tab w:val="clear" w:pos="426"/>
        </w:tabs>
        <w:adjustRightInd/>
        <w:snapToGrid/>
        <w:jc w:val="left"/>
        <w:rPr>
          <w:rFonts w:hAnsi="宋体" w:cs="Times New Roman"/>
          <w:kern w:val="2"/>
          <w:szCs w:val="21"/>
          <w:highlight w:val="none"/>
        </w:rPr>
      </w:pP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年</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月</w:t>
      </w:r>
      <w:r>
        <w:rPr>
          <w:rFonts w:hint="eastAsia" w:hAnsi="宋体" w:cs="Times New Roman"/>
          <w:kern w:val="2"/>
          <w:szCs w:val="21"/>
          <w:highlight w:val="none"/>
          <w:u w:val="single"/>
        </w:rPr>
        <w:t xml:space="preserve">  </w:t>
      </w:r>
      <w:r>
        <w:rPr>
          <w:rFonts w:hAnsi="宋体" w:cs="Times New Roman"/>
          <w:kern w:val="2"/>
          <w:szCs w:val="21"/>
          <w:highlight w:val="none"/>
          <w:u w:val="single"/>
        </w:rPr>
        <w:t xml:space="preserve">  </w:t>
      </w:r>
      <w:r>
        <w:rPr>
          <w:rFonts w:hint="eastAsia" w:hAnsi="宋体" w:cs="Times New Roman"/>
          <w:kern w:val="2"/>
          <w:szCs w:val="21"/>
          <w:highlight w:val="none"/>
          <w:u w:val="single"/>
        </w:rPr>
        <w:t xml:space="preserve"> </w:t>
      </w:r>
      <w:r>
        <w:rPr>
          <w:rFonts w:hint="eastAsia" w:hAnsi="宋体" w:cs="Times New Roman"/>
          <w:kern w:val="2"/>
          <w:szCs w:val="21"/>
          <w:highlight w:val="none"/>
        </w:rPr>
        <w:t>日</w:t>
      </w:r>
    </w:p>
    <w:p>
      <w:pPr>
        <w:shd w:val="clear" w:color="auto" w:fill="auto"/>
        <w:tabs>
          <w:tab w:val="left" w:pos="7740"/>
          <w:tab w:val="clear" w:pos="426"/>
        </w:tabs>
        <w:adjustRightInd/>
        <w:snapToGrid/>
        <w:jc w:val="left"/>
        <w:rPr>
          <w:rFonts w:hAnsi="宋体" w:cs="Times New Roman"/>
          <w:kern w:val="2"/>
          <w:szCs w:val="21"/>
          <w:highlight w:val="none"/>
        </w:rPr>
      </w:pPr>
    </w:p>
    <w:p>
      <w:pPr>
        <w:widowControl w:val="0"/>
        <w:shd w:val="clear" w:color="auto" w:fill="auto"/>
        <w:tabs>
          <w:tab w:val="left" w:pos="7740"/>
          <w:tab w:val="clear" w:pos="426"/>
        </w:tabs>
        <w:adjustRightInd/>
        <w:snapToGrid/>
        <w:ind w:left="617" w:hanging="617" w:hangingChars="294"/>
        <w:rPr>
          <w:rFonts w:hAnsi="宋体" w:cs="Times New Roman"/>
          <w:kern w:val="2"/>
          <w:szCs w:val="21"/>
          <w:highlight w:val="none"/>
        </w:rPr>
      </w:pPr>
      <w:r>
        <w:rPr>
          <w:rFonts w:hint="eastAsia" w:hAnsi="宋体" w:cs="Times New Roman"/>
          <w:kern w:val="2"/>
          <w:szCs w:val="21"/>
          <w:highlight w:val="none"/>
        </w:rPr>
        <w:t>注：</w:t>
      </w:r>
    </w:p>
    <w:p>
      <w:pPr>
        <w:widowControl w:val="0"/>
        <w:shd w:val="clear" w:color="auto" w:fill="auto"/>
        <w:tabs>
          <w:tab w:val="left" w:pos="7740"/>
          <w:tab w:val="clear" w:pos="426"/>
        </w:tabs>
        <w:adjustRightInd/>
        <w:snapToGrid/>
        <w:ind w:left="617" w:hanging="617" w:hangingChars="294"/>
        <w:rPr>
          <w:rFonts w:hAnsi="宋体" w:cs="Times New Roman"/>
          <w:kern w:val="2"/>
          <w:szCs w:val="21"/>
          <w:highlight w:val="none"/>
        </w:rPr>
      </w:pPr>
      <w:r>
        <w:rPr>
          <w:rFonts w:hint="eastAsia" w:hAnsi="宋体" w:cs="Times New Roman"/>
          <w:kern w:val="2"/>
          <w:szCs w:val="21"/>
          <w:highlight w:val="none"/>
        </w:rPr>
        <w:t>1.投标人投标时应签订本协议，协议各方成员应在本协议上共同盖章确认。</w:t>
      </w:r>
    </w:p>
    <w:p>
      <w:pPr>
        <w:widowControl w:val="0"/>
        <w:shd w:val="clear" w:color="auto" w:fill="auto"/>
        <w:tabs>
          <w:tab w:val="clear" w:pos="426"/>
        </w:tabs>
        <w:adjustRightInd/>
        <w:snapToGrid/>
        <w:rPr>
          <w:rFonts w:hAnsi="宋体" w:cs="Times New Roman"/>
          <w:kern w:val="2"/>
          <w:szCs w:val="21"/>
          <w:highlight w:val="none"/>
        </w:rPr>
      </w:pPr>
      <w:r>
        <w:rPr>
          <w:rFonts w:hint="eastAsia" w:hAnsi="宋体" w:cs="Times New Roman"/>
          <w:kern w:val="2"/>
          <w:szCs w:val="21"/>
          <w:highlight w:val="none"/>
        </w:rPr>
        <w:t>2.本协议内容</w:t>
      </w:r>
      <w:r>
        <w:rPr>
          <w:rFonts w:hint="eastAsia" w:hAnsi="宋体" w:cs="Times New Roman"/>
          <w:kern w:val="2"/>
          <w:szCs w:val="21"/>
          <w:highlight w:val="none"/>
          <w:lang w:val="en-US" w:eastAsia="zh-CN"/>
        </w:rPr>
        <w:t>仅供参考，</w:t>
      </w:r>
      <w:r>
        <w:rPr>
          <w:rFonts w:hint="eastAsia" w:hAnsi="宋体" w:cs="Times New Roman"/>
          <w:kern w:val="2"/>
          <w:szCs w:val="21"/>
          <w:highlight w:val="none"/>
        </w:rPr>
        <w:t>可依据项目实际情况进行修改。此协议将作为签订合同的附件之一。</w:t>
      </w:r>
    </w:p>
    <w:p>
      <w:pPr>
        <w:tabs>
          <w:tab w:val="clear" w:pos="426"/>
        </w:tabs>
        <w:spacing w:before="231" w:beforeLines="50"/>
        <w:ind w:firstLine="424" w:firstLineChars="201"/>
        <w:rPr>
          <w:rFonts w:hint="eastAsia"/>
          <w:b/>
          <w:highlight w:val="none"/>
        </w:rPr>
      </w:pPr>
    </w:p>
    <w:p>
      <w:pPr>
        <w:shd w:val="clear" w:color="auto" w:fill="auto"/>
        <w:tabs>
          <w:tab w:val="clear" w:pos="426"/>
        </w:tabs>
        <w:adjustRightInd/>
        <w:snapToGrid/>
        <w:spacing w:line="240" w:lineRule="auto"/>
        <w:jc w:val="left"/>
        <w:rPr>
          <w:b/>
          <w:highlight w:val="none"/>
        </w:rPr>
      </w:pPr>
      <w:r>
        <w:rPr>
          <w:b/>
          <w:highlight w:val="none"/>
        </w:rPr>
        <w:br w:type="page"/>
      </w:r>
    </w:p>
    <w:p>
      <w:pPr>
        <w:pStyle w:val="4"/>
        <w:numPr>
          <w:ilvl w:val="0"/>
          <w:numId w:val="38"/>
        </w:numPr>
        <w:tabs>
          <w:tab w:val="clear" w:pos="1680"/>
        </w:tabs>
        <w:jc w:val="left"/>
        <w:rPr>
          <w:highlight w:val="none"/>
        </w:rPr>
      </w:pPr>
      <w:r>
        <w:rPr>
          <w:rFonts w:hint="eastAsia"/>
          <w:highlight w:val="none"/>
        </w:rPr>
        <w:t>、开标一览表</w:t>
      </w:r>
      <w:r>
        <w:rPr>
          <w:highlight w:val="none"/>
        </w:rPr>
        <w:t>(</w:t>
      </w:r>
      <w:r>
        <w:rPr>
          <w:rFonts w:hint="eastAsia"/>
          <w:highlight w:val="none"/>
        </w:rPr>
        <w:t>报价表</w:t>
      </w:r>
      <w:r>
        <w:rPr>
          <w:highlight w:val="none"/>
        </w:rPr>
        <w:t>)</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开标一览表</w:t>
      </w:r>
      <w:r>
        <w:rPr>
          <w:rFonts w:cs="Times New Roman"/>
          <w:bCs/>
          <w:kern w:val="2"/>
          <w:sz w:val="32"/>
          <w:szCs w:val="32"/>
          <w:highlight w:val="none"/>
        </w:rPr>
        <w:t>(</w:t>
      </w:r>
      <w:r>
        <w:rPr>
          <w:rFonts w:hint="eastAsia" w:cs="Times New Roman"/>
          <w:bCs/>
          <w:kern w:val="2"/>
          <w:sz w:val="32"/>
          <w:szCs w:val="32"/>
          <w:highlight w:val="none"/>
        </w:rPr>
        <w:t>报价表</w:t>
      </w:r>
      <w:r>
        <w:rPr>
          <w:rFonts w:cs="Times New Roman"/>
          <w:bCs/>
          <w:kern w:val="2"/>
          <w:sz w:val="32"/>
          <w:szCs w:val="32"/>
          <w:highlight w:val="none"/>
        </w:rPr>
        <w:t>)</w:t>
      </w:r>
    </w:p>
    <w:p>
      <w:pPr>
        <w:tabs>
          <w:tab w:val="clear" w:pos="426"/>
        </w:tabs>
        <w:jc w:val="left"/>
        <w:rPr>
          <w:highlight w:val="none"/>
        </w:rPr>
      </w:pPr>
    </w:p>
    <w:p>
      <w:pPr>
        <w:tabs>
          <w:tab w:val="clear" w:pos="426"/>
        </w:tabs>
        <w:jc w:val="left"/>
        <w:rPr>
          <w:szCs w:val="21"/>
          <w:highlight w:val="none"/>
          <w:u w:val="single"/>
        </w:rPr>
      </w:pPr>
      <w:r>
        <w:rPr>
          <w:rFonts w:hint="eastAsia"/>
          <w:highlight w:val="none"/>
        </w:rPr>
        <w:t>项目名称：</w:t>
      </w:r>
      <w:r>
        <w:rPr>
          <w:szCs w:val="21"/>
          <w:highlight w:val="none"/>
          <w:u w:val="single"/>
        </w:rPr>
        <w:t>______________________</w:t>
      </w:r>
      <w:r>
        <w:rPr>
          <w:rFonts w:hint="eastAsia"/>
          <w:highlight w:val="none"/>
        </w:rPr>
        <w:t>项目编号：</w:t>
      </w:r>
      <w:r>
        <w:rPr>
          <w:szCs w:val="21"/>
          <w:highlight w:val="none"/>
          <w:u w:val="single"/>
        </w:rPr>
        <w:t>______________________</w:t>
      </w:r>
    </w:p>
    <w:tbl>
      <w:tblPr>
        <w:tblStyle w:val="8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3073"/>
        <w:gridCol w:w="338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48" w:type="pct"/>
            <w:vAlign w:val="center"/>
          </w:tcPr>
          <w:p>
            <w:pPr>
              <w:tabs>
                <w:tab w:val="clear" w:pos="426"/>
              </w:tabs>
              <w:spacing w:line="240" w:lineRule="auto"/>
              <w:jc w:val="center"/>
              <w:rPr>
                <w:rFonts w:hAnsi="宋体"/>
                <w:b/>
                <w:szCs w:val="21"/>
                <w:highlight w:val="none"/>
              </w:rPr>
            </w:pPr>
            <w:r>
              <w:rPr>
                <w:rFonts w:hint="eastAsia" w:hAnsi="宋体"/>
                <w:b/>
                <w:szCs w:val="21"/>
                <w:highlight w:val="none"/>
              </w:rPr>
              <w:t>序号</w:t>
            </w:r>
          </w:p>
        </w:tc>
        <w:tc>
          <w:tcPr>
            <w:tcW w:w="1648" w:type="pct"/>
            <w:vAlign w:val="center"/>
          </w:tcPr>
          <w:p>
            <w:pPr>
              <w:tabs>
                <w:tab w:val="clear" w:pos="426"/>
              </w:tabs>
              <w:spacing w:line="240" w:lineRule="auto"/>
              <w:jc w:val="center"/>
              <w:rPr>
                <w:rFonts w:hAnsi="宋体"/>
                <w:b/>
                <w:szCs w:val="21"/>
                <w:highlight w:val="none"/>
              </w:rPr>
            </w:pPr>
            <w:r>
              <w:rPr>
                <w:rFonts w:hint="eastAsia" w:hAnsi="宋体"/>
                <w:b/>
                <w:szCs w:val="21"/>
                <w:highlight w:val="none"/>
              </w:rPr>
              <w:t>项目名称</w:t>
            </w:r>
          </w:p>
        </w:tc>
        <w:tc>
          <w:tcPr>
            <w:tcW w:w="1816" w:type="pct"/>
            <w:vAlign w:val="center"/>
          </w:tcPr>
          <w:p>
            <w:pPr>
              <w:tabs>
                <w:tab w:val="clear" w:pos="426"/>
              </w:tabs>
              <w:spacing w:line="240" w:lineRule="auto"/>
              <w:jc w:val="center"/>
              <w:rPr>
                <w:rFonts w:hAnsi="宋体"/>
                <w:b/>
                <w:szCs w:val="21"/>
                <w:highlight w:val="none"/>
              </w:rPr>
            </w:pPr>
            <w:r>
              <w:rPr>
                <w:rFonts w:hint="eastAsia" w:hAnsi="宋体"/>
                <w:b/>
                <w:szCs w:val="21"/>
                <w:highlight w:val="none"/>
              </w:rPr>
              <w:t>折扣率（1-下浮率）</w:t>
            </w:r>
          </w:p>
        </w:tc>
        <w:tc>
          <w:tcPr>
            <w:tcW w:w="987" w:type="pct"/>
            <w:vAlign w:val="center"/>
          </w:tcPr>
          <w:p>
            <w:pPr>
              <w:tabs>
                <w:tab w:val="clear" w:pos="426"/>
              </w:tabs>
              <w:spacing w:line="240" w:lineRule="auto"/>
              <w:jc w:val="center"/>
              <w:rPr>
                <w:rFonts w:hAnsi="宋体"/>
                <w:b/>
                <w:szCs w:val="21"/>
                <w:highlight w:val="none"/>
              </w:rPr>
            </w:pPr>
            <w:r>
              <w:rPr>
                <w:rFonts w:hint="eastAsia" w:hAnsi="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48" w:type="pct"/>
            <w:vAlign w:val="center"/>
          </w:tcPr>
          <w:p>
            <w:pPr>
              <w:tabs>
                <w:tab w:val="clear" w:pos="426"/>
              </w:tabs>
              <w:jc w:val="center"/>
              <w:rPr>
                <w:rFonts w:hAnsi="宋体"/>
                <w:bCs/>
                <w:szCs w:val="21"/>
                <w:highlight w:val="none"/>
              </w:rPr>
            </w:pPr>
          </w:p>
        </w:tc>
        <w:tc>
          <w:tcPr>
            <w:tcW w:w="1648" w:type="pct"/>
            <w:vAlign w:val="center"/>
          </w:tcPr>
          <w:p>
            <w:pPr>
              <w:tabs>
                <w:tab w:val="clear" w:pos="426"/>
              </w:tabs>
              <w:ind w:firstLine="424"/>
              <w:jc w:val="center"/>
              <w:rPr>
                <w:rFonts w:hAnsi="宋体"/>
                <w:b/>
                <w:szCs w:val="21"/>
                <w:highlight w:val="none"/>
              </w:rPr>
            </w:pPr>
          </w:p>
        </w:tc>
        <w:tc>
          <w:tcPr>
            <w:tcW w:w="1816" w:type="pct"/>
            <w:vAlign w:val="center"/>
          </w:tcPr>
          <w:p>
            <w:pPr>
              <w:tabs>
                <w:tab w:val="clear" w:pos="426"/>
              </w:tabs>
              <w:ind w:firstLine="424"/>
              <w:jc w:val="center"/>
              <w:rPr>
                <w:rFonts w:hAnsi="宋体"/>
                <w:b/>
                <w:szCs w:val="21"/>
                <w:highlight w:val="none"/>
              </w:rPr>
            </w:pPr>
          </w:p>
        </w:tc>
        <w:tc>
          <w:tcPr>
            <w:tcW w:w="987" w:type="pct"/>
            <w:vAlign w:val="center"/>
          </w:tcPr>
          <w:p>
            <w:pPr>
              <w:tabs>
                <w:tab w:val="clear" w:pos="426"/>
              </w:tabs>
              <w:ind w:firstLine="424"/>
              <w:jc w:val="center"/>
              <w:rPr>
                <w:rFonts w:hAnsi="宋体"/>
                <w:b/>
                <w:szCs w:val="21"/>
                <w:highlight w:val="none"/>
              </w:rPr>
            </w:pPr>
          </w:p>
        </w:tc>
      </w:tr>
    </w:tbl>
    <w:p>
      <w:pPr>
        <w:tabs>
          <w:tab w:val="clear" w:pos="426"/>
        </w:tabs>
        <w:spacing w:line="500" w:lineRule="exact"/>
        <w:jc w:val="left"/>
        <w:rPr>
          <w:spacing w:val="4"/>
          <w:highlight w:val="none"/>
        </w:rPr>
      </w:pPr>
    </w:p>
    <w:p>
      <w:pPr>
        <w:tabs>
          <w:tab w:val="clear" w:pos="426"/>
        </w:tabs>
        <w:spacing w:line="500" w:lineRule="exact"/>
        <w:jc w:val="left"/>
        <w:rPr>
          <w:highlight w:val="none"/>
          <w:u w:val="single"/>
        </w:rPr>
      </w:pPr>
      <w:r>
        <w:rPr>
          <w:rFonts w:hint="eastAsia"/>
          <w:spacing w:val="4"/>
          <w:highlight w:val="none"/>
        </w:rPr>
        <w:t>投标供应商名称（</w:t>
      </w:r>
      <w:r>
        <w:rPr>
          <w:rFonts w:hint="eastAsia"/>
          <w:highlight w:val="none"/>
        </w:rPr>
        <w:t>单位盖</w:t>
      </w:r>
      <w:r>
        <w:rPr>
          <w:rFonts w:hint="eastAsia"/>
          <w:spacing w:val="4"/>
          <w:highlight w:val="none"/>
        </w:rPr>
        <w:t>公章）：</w:t>
      </w:r>
      <w:r>
        <w:rPr>
          <w:spacing w:val="4"/>
          <w:highlight w:val="none"/>
          <w:u w:val="single"/>
        </w:rPr>
        <w:t>__________________________</w:t>
      </w:r>
    </w:p>
    <w:p>
      <w:pPr>
        <w:tabs>
          <w:tab w:val="clear" w:pos="426"/>
        </w:tabs>
        <w:spacing w:line="520" w:lineRule="exact"/>
        <w:jc w:val="left"/>
        <w:rPr>
          <w:highlight w:val="none"/>
        </w:rPr>
      </w:pPr>
    </w:p>
    <w:p>
      <w:pPr>
        <w:tabs>
          <w:tab w:val="clear" w:pos="426"/>
        </w:tabs>
        <w:spacing w:line="520" w:lineRule="exact"/>
        <w:jc w:val="left"/>
        <w:rPr>
          <w:spacing w:val="4"/>
          <w:highlight w:val="none"/>
        </w:rPr>
      </w:pPr>
      <w:r>
        <w:rPr>
          <w:rFonts w:hint="eastAsia"/>
          <w:highlight w:val="none"/>
        </w:rPr>
        <w:t>法定代表人或投标供应商授权代表（签名或盖章）：</w:t>
      </w:r>
      <w:r>
        <w:rPr>
          <w:highlight w:val="none"/>
          <w:u w:val="single"/>
        </w:rPr>
        <w:t>_____________</w:t>
      </w:r>
      <w:r>
        <w:rPr>
          <w:rFonts w:hint="eastAsia"/>
          <w:spacing w:val="4"/>
          <w:highlight w:val="none"/>
        </w:rPr>
        <w:t>职务：</w:t>
      </w:r>
      <w:r>
        <w:rPr>
          <w:spacing w:val="4"/>
          <w:highlight w:val="none"/>
          <w:u w:val="single"/>
        </w:rPr>
        <w:t>_________</w:t>
      </w:r>
      <w:r>
        <w:rPr>
          <w:rFonts w:hint="eastAsia"/>
          <w:spacing w:val="4"/>
          <w:highlight w:val="none"/>
        </w:rPr>
        <w:t>日期：</w:t>
      </w:r>
      <w:r>
        <w:rPr>
          <w:spacing w:val="4"/>
          <w:highlight w:val="none"/>
          <w:u w:val="single"/>
        </w:rPr>
        <w:t>__________</w:t>
      </w:r>
    </w:p>
    <w:p>
      <w:pPr>
        <w:tabs>
          <w:tab w:val="clear" w:pos="426"/>
        </w:tabs>
        <w:spacing w:line="400" w:lineRule="exact"/>
        <w:jc w:val="left"/>
        <w:rPr>
          <w:b/>
          <w:bCs/>
          <w:szCs w:val="21"/>
          <w:highlight w:val="none"/>
        </w:rPr>
      </w:pPr>
      <w:r>
        <w:rPr>
          <w:rFonts w:hint="eastAsia"/>
          <w:b/>
          <w:bCs/>
          <w:szCs w:val="21"/>
          <w:highlight w:val="none"/>
        </w:rPr>
        <w:t>备注：</w:t>
      </w:r>
    </w:p>
    <w:p>
      <w:pPr>
        <w:widowControl w:val="0"/>
        <w:numPr>
          <w:ilvl w:val="1"/>
          <w:numId w:val="41"/>
        </w:numPr>
        <w:shd w:val="clear" w:color="auto" w:fill="auto"/>
        <w:tabs>
          <w:tab w:val="clear" w:pos="426"/>
        </w:tabs>
        <w:adjustRightInd/>
        <w:ind w:left="0" w:firstLine="424" w:firstLineChars="201"/>
        <w:rPr>
          <w:b/>
          <w:bCs/>
          <w:szCs w:val="21"/>
          <w:highlight w:val="none"/>
        </w:rPr>
      </w:pPr>
      <w:r>
        <w:rPr>
          <w:rFonts w:hint="eastAsia"/>
          <w:b/>
          <w:highlight w:val="none"/>
        </w:rPr>
        <w:t>此表为投标文件的组成部分，须附在正、副本的投标文件中，并另封装一份于开标信封中（信封中须同时提供法定代表人证明书、法定代表人授权委托书、被授权人身份证复印件）。</w:t>
      </w:r>
    </w:p>
    <w:p>
      <w:pPr>
        <w:widowControl w:val="0"/>
        <w:numPr>
          <w:ilvl w:val="1"/>
          <w:numId w:val="41"/>
        </w:numPr>
        <w:shd w:val="clear" w:color="auto" w:fill="auto"/>
        <w:tabs>
          <w:tab w:val="clear" w:pos="426"/>
        </w:tabs>
        <w:adjustRightInd/>
        <w:ind w:left="0" w:firstLine="424" w:firstLineChars="201"/>
        <w:rPr>
          <w:b/>
          <w:bCs/>
          <w:szCs w:val="21"/>
          <w:highlight w:val="none"/>
        </w:rPr>
      </w:pPr>
      <w:r>
        <w:rPr>
          <w:rFonts w:hint="eastAsia"/>
          <w:b/>
          <w:highlight w:val="none"/>
        </w:rPr>
        <w:t>此表内投标报价为最终价，开标信封及投标文件内不得含有任何对本报价进行修改的其他说明或资料，否则为无效投标</w:t>
      </w:r>
      <w:r>
        <w:rPr>
          <w:rFonts w:hint="eastAsia"/>
          <w:b/>
          <w:bCs/>
          <w:szCs w:val="21"/>
          <w:highlight w:val="none"/>
        </w:rPr>
        <w:t>。</w:t>
      </w:r>
    </w:p>
    <w:p>
      <w:pPr>
        <w:widowControl w:val="0"/>
        <w:numPr>
          <w:ilvl w:val="1"/>
          <w:numId w:val="41"/>
        </w:numPr>
        <w:shd w:val="clear" w:color="auto" w:fill="auto"/>
        <w:tabs>
          <w:tab w:val="clear" w:pos="426"/>
        </w:tabs>
        <w:adjustRightInd/>
        <w:ind w:left="0" w:firstLine="424" w:firstLineChars="201"/>
        <w:rPr>
          <w:b/>
          <w:highlight w:val="none"/>
        </w:rPr>
      </w:pPr>
      <w:r>
        <w:rPr>
          <w:rFonts w:hint="eastAsia"/>
          <w:b/>
          <w:highlight w:val="none"/>
        </w:rPr>
        <w:t>报价要求详见招标文件第三章项目需求-商务需求-4.报价方式及说明。</w:t>
      </w:r>
    </w:p>
    <w:p>
      <w:pPr>
        <w:widowControl w:val="0"/>
        <w:numPr>
          <w:ilvl w:val="1"/>
          <w:numId w:val="41"/>
        </w:numPr>
        <w:shd w:val="clear" w:color="auto" w:fill="auto"/>
        <w:tabs>
          <w:tab w:val="clear" w:pos="426"/>
        </w:tabs>
        <w:adjustRightInd/>
        <w:ind w:left="0" w:firstLine="422" w:firstLineChars="201"/>
        <w:rPr>
          <w:b/>
          <w:highlight w:val="none"/>
        </w:rPr>
      </w:pPr>
      <w:r>
        <w:rPr>
          <w:rFonts w:hint="eastAsia" w:hAnsi="宋体" w:cs="Times New Roman"/>
          <w:kern w:val="2"/>
          <w:szCs w:val="21"/>
          <w:highlight w:val="none"/>
        </w:rPr>
        <w:t>投标折扣率不能大于1.00，也不能为负数或零，且是固定唯一值的，投标折扣率在服务期限内保持不变。折扣率最多保留小数点后两位，超过两位小数点的，四舍五入。</w:t>
      </w:r>
    </w:p>
    <w:p>
      <w:pPr>
        <w:widowControl w:val="0"/>
        <w:numPr>
          <w:ilvl w:val="1"/>
          <w:numId w:val="41"/>
        </w:numPr>
        <w:shd w:val="clear" w:color="auto" w:fill="auto"/>
        <w:tabs>
          <w:tab w:val="clear" w:pos="426"/>
        </w:tabs>
        <w:adjustRightInd/>
        <w:ind w:left="0" w:firstLine="424" w:firstLineChars="201"/>
        <w:rPr>
          <w:b/>
          <w:highlight w:val="none"/>
        </w:rPr>
      </w:pPr>
      <w:r>
        <w:rPr>
          <w:rFonts w:hint="eastAsia"/>
          <w:b/>
          <w:highlight w:val="none"/>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shd w:val="clear" w:color="auto" w:fill="auto"/>
        <w:tabs>
          <w:tab w:val="clear" w:pos="426"/>
        </w:tabs>
        <w:adjustRightInd/>
        <w:snapToGrid/>
        <w:spacing w:line="240" w:lineRule="auto"/>
        <w:jc w:val="left"/>
        <w:rPr>
          <w:b/>
          <w:highlight w:val="none"/>
        </w:rPr>
      </w:pPr>
      <w:r>
        <w:rPr>
          <w:b/>
          <w:highlight w:val="none"/>
        </w:rPr>
        <w:br w:type="page"/>
      </w:r>
    </w:p>
    <w:p>
      <w:pPr>
        <w:pStyle w:val="4"/>
        <w:numPr>
          <w:ilvl w:val="0"/>
          <w:numId w:val="38"/>
        </w:numPr>
        <w:tabs>
          <w:tab w:val="clear" w:pos="1680"/>
        </w:tabs>
        <w:jc w:val="left"/>
        <w:rPr>
          <w:highlight w:val="none"/>
        </w:rPr>
      </w:pPr>
      <w:bookmarkStart w:id="144" w:name="_Toc14427251"/>
      <w:bookmarkStart w:id="145" w:name="_Toc11165666"/>
      <w:bookmarkStart w:id="146" w:name="_Toc4943774"/>
      <w:bookmarkStart w:id="147" w:name="_Toc36822692"/>
      <w:bookmarkStart w:id="148" w:name="_Toc480789480"/>
      <w:bookmarkStart w:id="149" w:name="_Toc480754209"/>
      <w:bookmarkStart w:id="150" w:name="_Toc480755930"/>
      <w:bookmarkStart w:id="151" w:name="_Toc480756076"/>
      <w:bookmarkStart w:id="152" w:name="_Toc192662843"/>
      <w:bookmarkStart w:id="153" w:name="_Toc275865611"/>
      <w:r>
        <w:rPr>
          <w:rFonts w:hint="eastAsia"/>
          <w:highlight w:val="none"/>
        </w:rPr>
        <w:t>、实质性响应条款偏离表</w:t>
      </w:r>
      <w:bookmarkEnd w:id="144"/>
      <w:bookmarkEnd w:id="145"/>
      <w:bookmarkEnd w:id="146"/>
      <w:bookmarkEnd w:id="147"/>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实质性响应条款偏离表</w:t>
      </w:r>
    </w:p>
    <w:p>
      <w:pPr>
        <w:tabs>
          <w:tab w:val="clear" w:pos="426"/>
        </w:tabs>
        <w:jc w:val="left"/>
        <w:rPr>
          <w:highlight w:val="none"/>
        </w:rPr>
      </w:pPr>
    </w:p>
    <w:p>
      <w:pPr>
        <w:tabs>
          <w:tab w:val="clear" w:pos="426"/>
        </w:tabs>
        <w:jc w:val="left"/>
        <w:rPr>
          <w:szCs w:val="21"/>
          <w:highlight w:val="none"/>
          <w:u w:val="single"/>
        </w:rPr>
      </w:pPr>
      <w:r>
        <w:rPr>
          <w:rFonts w:hint="eastAsia"/>
          <w:highlight w:val="none"/>
        </w:rPr>
        <w:t>项目名称：</w:t>
      </w:r>
      <w:r>
        <w:rPr>
          <w:szCs w:val="21"/>
          <w:highlight w:val="none"/>
          <w:u w:val="single"/>
        </w:rPr>
        <w:t>______________________</w:t>
      </w:r>
      <w:r>
        <w:rPr>
          <w:rFonts w:hint="eastAsia"/>
          <w:highlight w:val="none"/>
        </w:rPr>
        <w:t>项目编号：</w:t>
      </w:r>
      <w:r>
        <w:rPr>
          <w:szCs w:val="21"/>
          <w:highlight w:val="none"/>
          <w:u w:val="single"/>
        </w:rPr>
        <w:t>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4021"/>
        <w:gridCol w:w="402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rFonts w:hAnsi="宋体"/>
                <w:szCs w:val="21"/>
                <w:highlight w:val="none"/>
              </w:rPr>
            </w:pPr>
            <w:r>
              <w:rPr>
                <w:rFonts w:hint="eastAsia" w:hAnsi="宋体"/>
                <w:szCs w:val="21"/>
                <w:highlight w:val="none"/>
              </w:rPr>
              <w:t>序号</w:t>
            </w:r>
          </w:p>
        </w:tc>
        <w:tc>
          <w:tcPr>
            <w:tcW w:w="2101" w:type="pct"/>
            <w:vAlign w:val="center"/>
          </w:tcPr>
          <w:p>
            <w:pPr>
              <w:spacing w:line="240" w:lineRule="auto"/>
              <w:jc w:val="center"/>
              <w:rPr>
                <w:rFonts w:hAnsi="宋体"/>
                <w:szCs w:val="21"/>
                <w:highlight w:val="none"/>
              </w:rPr>
            </w:pPr>
            <w:r>
              <w:rPr>
                <w:rFonts w:hint="eastAsia" w:hAnsi="宋体"/>
                <w:szCs w:val="21"/>
                <w:highlight w:val="none"/>
              </w:rPr>
              <w:t>采购人要求内容</w:t>
            </w:r>
          </w:p>
        </w:tc>
        <w:tc>
          <w:tcPr>
            <w:tcW w:w="2101" w:type="pct"/>
            <w:vAlign w:val="center"/>
          </w:tcPr>
          <w:p>
            <w:pPr>
              <w:spacing w:line="240" w:lineRule="auto"/>
              <w:jc w:val="center"/>
              <w:rPr>
                <w:rFonts w:hAnsi="宋体"/>
                <w:szCs w:val="21"/>
                <w:highlight w:val="none"/>
              </w:rPr>
            </w:pPr>
            <w:r>
              <w:rPr>
                <w:rFonts w:hint="eastAsia" w:hAnsi="宋体"/>
                <w:szCs w:val="21"/>
                <w:highlight w:val="none"/>
              </w:rPr>
              <w:t>供应商响应情况</w:t>
            </w:r>
          </w:p>
        </w:tc>
        <w:tc>
          <w:tcPr>
            <w:tcW w:w="574" w:type="pct"/>
            <w:vAlign w:val="center"/>
          </w:tcPr>
          <w:p>
            <w:pPr>
              <w:spacing w:line="240" w:lineRule="auto"/>
              <w:jc w:val="center"/>
              <w:rPr>
                <w:rFonts w:hAnsi="宋体"/>
                <w:szCs w:val="21"/>
                <w:highlight w:val="none"/>
              </w:rPr>
            </w:pPr>
            <w:r>
              <w:rPr>
                <w:rFonts w:hint="eastAsia"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Align w:val="center"/>
          </w:tcPr>
          <w:p>
            <w:pPr>
              <w:spacing w:line="240" w:lineRule="auto"/>
              <w:jc w:val="center"/>
              <w:rPr>
                <w:rFonts w:hAnsi="宋体"/>
                <w:szCs w:val="21"/>
                <w:highlight w:val="none"/>
              </w:rPr>
            </w:pPr>
            <w:r>
              <w:rPr>
                <w:rFonts w:hAnsi="宋体"/>
                <w:szCs w:val="21"/>
                <w:highlight w:val="none"/>
              </w:rPr>
              <w:t>1</w:t>
            </w:r>
          </w:p>
        </w:tc>
        <w:tc>
          <w:tcPr>
            <w:tcW w:w="2101" w:type="pct"/>
            <w:vAlign w:val="center"/>
          </w:tcPr>
          <w:p>
            <w:pPr>
              <w:widowControl w:val="0"/>
              <w:shd w:val="clear" w:color="auto" w:fill="auto"/>
              <w:tabs>
                <w:tab w:val="clear" w:pos="426"/>
              </w:tabs>
              <w:spacing w:line="240" w:lineRule="auto"/>
              <w:ind w:firstLine="420" w:firstLineChars="200"/>
              <w:rPr>
                <w:rFonts w:hAnsi="宋体" w:cs="Times New Roman"/>
                <w:szCs w:val="21"/>
                <w:highlight w:val="none"/>
              </w:rPr>
            </w:pPr>
            <w:r>
              <w:rPr>
                <w:rFonts w:hint="eastAsia"/>
                <w:szCs w:val="21"/>
                <w:highlight w:val="none"/>
              </w:rPr>
              <w:t>凡出现《资格性审查表》及《符合性审查表》中情形之一的，将导致投标无效。以评审现场结论为准。</w:t>
            </w:r>
          </w:p>
        </w:tc>
        <w:tc>
          <w:tcPr>
            <w:tcW w:w="2101" w:type="pct"/>
            <w:vAlign w:val="center"/>
          </w:tcPr>
          <w:p>
            <w:pPr>
              <w:widowControl w:val="0"/>
              <w:shd w:val="clear" w:color="auto" w:fill="auto"/>
              <w:tabs>
                <w:tab w:val="clear" w:pos="426"/>
              </w:tabs>
              <w:spacing w:line="240" w:lineRule="auto"/>
              <w:ind w:firstLine="420" w:firstLineChars="200"/>
              <w:jc w:val="left"/>
              <w:rPr>
                <w:rFonts w:hAnsi="宋体" w:cs="Times New Roman"/>
                <w:szCs w:val="21"/>
                <w:highlight w:val="none"/>
              </w:rPr>
            </w:pPr>
          </w:p>
        </w:tc>
        <w:tc>
          <w:tcPr>
            <w:tcW w:w="574" w:type="pct"/>
            <w:vAlign w:val="center"/>
          </w:tcPr>
          <w:p>
            <w:pPr>
              <w:spacing w:line="240" w:lineRule="auto"/>
              <w:jc w:val="center"/>
              <w:rPr>
                <w:rFonts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rFonts w:hAnsi="宋体"/>
                <w:szCs w:val="21"/>
                <w:highlight w:val="none"/>
              </w:rPr>
            </w:pPr>
            <w:r>
              <w:rPr>
                <w:rFonts w:hAnsi="宋体"/>
                <w:szCs w:val="21"/>
                <w:highlight w:val="none"/>
              </w:rPr>
              <w:t>2</w:t>
            </w:r>
          </w:p>
        </w:tc>
        <w:tc>
          <w:tcPr>
            <w:tcW w:w="2101" w:type="pct"/>
            <w:vAlign w:val="center"/>
          </w:tcPr>
          <w:p>
            <w:pPr>
              <w:widowControl w:val="0"/>
              <w:shd w:val="clear" w:color="auto" w:fill="auto"/>
              <w:tabs>
                <w:tab w:val="clear" w:pos="426"/>
              </w:tabs>
              <w:spacing w:line="240" w:lineRule="auto"/>
              <w:ind w:firstLine="420" w:firstLineChars="200"/>
              <w:jc w:val="left"/>
              <w:rPr>
                <w:szCs w:val="21"/>
                <w:highlight w:val="none"/>
              </w:rPr>
            </w:pPr>
          </w:p>
        </w:tc>
        <w:tc>
          <w:tcPr>
            <w:tcW w:w="2101" w:type="pct"/>
            <w:vAlign w:val="center"/>
          </w:tcPr>
          <w:p>
            <w:pPr>
              <w:widowControl w:val="0"/>
              <w:shd w:val="clear" w:color="auto" w:fill="auto"/>
              <w:tabs>
                <w:tab w:val="clear" w:pos="426"/>
              </w:tabs>
              <w:spacing w:line="240" w:lineRule="auto"/>
              <w:ind w:firstLine="420" w:firstLineChars="200"/>
              <w:jc w:val="left"/>
              <w:rPr>
                <w:szCs w:val="21"/>
                <w:highlight w:val="none"/>
              </w:rPr>
            </w:pPr>
          </w:p>
        </w:tc>
        <w:tc>
          <w:tcPr>
            <w:tcW w:w="574" w:type="pct"/>
            <w:vAlign w:val="center"/>
          </w:tcPr>
          <w:p>
            <w:pPr>
              <w:spacing w:line="240" w:lineRule="auto"/>
              <w:jc w:val="center"/>
              <w:rPr>
                <w:rFonts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rFonts w:hAnsi="宋体"/>
                <w:szCs w:val="21"/>
                <w:highlight w:val="none"/>
              </w:rPr>
            </w:pPr>
            <w:r>
              <w:rPr>
                <w:rFonts w:hint="eastAsia" w:hAnsi="宋体"/>
                <w:szCs w:val="21"/>
                <w:highlight w:val="none"/>
              </w:rPr>
              <w:t>3</w:t>
            </w:r>
          </w:p>
        </w:tc>
        <w:tc>
          <w:tcPr>
            <w:tcW w:w="2101" w:type="pct"/>
            <w:vAlign w:val="center"/>
          </w:tcPr>
          <w:p>
            <w:pPr>
              <w:widowControl w:val="0"/>
              <w:shd w:val="clear" w:color="auto" w:fill="auto"/>
              <w:tabs>
                <w:tab w:val="clear" w:pos="426"/>
              </w:tabs>
              <w:spacing w:line="240" w:lineRule="auto"/>
              <w:ind w:firstLine="420" w:firstLineChars="200"/>
              <w:jc w:val="left"/>
              <w:rPr>
                <w:rFonts w:hAnsi="宋体" w:cs="仿宋"/>
                <w:kern w:val="2"/>
                <w:szCs w:val="21"/>
                <w:highlight w:val="none"/>
              </w:rPr>
            </w:pPr>
          </w:p>
        </w:tc>
        <w:tc>
          <w:tcPr>
            <w:tcW w:w="2101" w:type="pct"/>
            <w:vAlign w:val="center"/>
          </w:tcPr>
          <w:p>
            <w:pPr>
              <w:widowControl w:val="0"/>
              <w:shd w:val="clear" w:color="auto" w:fill="auto"/>
              <w:tabs>
                <w:tab w:val="clear" w:pos="426"/>
              </w:tabs>
              <w:spacing w:line="240" w:lineRule="auto"/>
              <w:ind w:firstLine="420" w:firstLineChars="200"/>
              <w:jc w:val="left"/>
              <w:rPr>
                <w:szCs w:val="21"/>
                <w:highlight w:val="none"/>
              </w:rPr>
            </w:pPr>
          </w:p>
        </w:tc>
        <w:tc>
          <w:tcPr>
            <w:tcW w:w="574" w:type="pct"/>
            <w:vAlign w:val="center"/>
          </w:tcPr>
          <w:p>
            <w:pPr>
              <w:spacing w:line="240" w:lineRule="auto"/>
              <w:jc w:val="center"/>
              <w:rPr>
                <w:rFonts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4" w:type="pct"/>
            <w:vAlign w:val="center"/>
          </w:tcPr>
          <w:p>
            <w:pPr>
              <w:spacing w:line="240" w:lineRule="auto"/>
              <w:jc w:val="center"/>
              <w:rPr>
                <w:rFonts w:hAnsi="宋体"/>
                <w:szCs w:val="21"/>
                <w:highlight w:val="none"/>
              </w:rPr>
            </w:pPr>
            <w:r>
              <w:rPr>
                <w:rFonts w:hint="eastAsia" w:hAnsi="宋体"/>
                <w:szCs w:val="21"/>
                <w:highlight w:val="none"/>
              </w:rPr>
              <w:t>4</w:t>
            </w:r>
          </w:p>
        </w:tc>
        <w:tc>
          <w:tcPr>
            <w:tcW w:w="2101" w:type="pct"/>
            <w:vAlign w:val="center"/>
          </w:tcPr>
          <w:p>
            <w:pPr>
              <w:widowControl w:val="0"/>
              <w:shd w:val="clear" w:color="auto" w:fill="auto"/>
              <w:tabs>
                <w:tab w:val="clear" w:pos="426"/>
              </w:tabs>
              <w:spacing w:line="240" w:lineRule="auto"/>
              <w:ind w:firstLine="420" w:firstLineChars="200"/>
              <w:jc w:val="left"/>
              <w:rPr>
                <w:rFonts w:hAnsi="宋体" w:cs="仿宋"/>
                <w:kern w:val="2"/>
                <w:szCs w:val="21"/>
                <w:highlight w:val="none"/>
              </w:rPr>
            </w:pPr>
          </w:p>
        </w:tc>
        <w:tc>
          <w:tcPr>
            <w:tcW w:w="2101" w:type="pct"/>
            <w:vAlign w:val="center"/>
          </w:tcPr>
          <w:p>
            <w:pPr>
              <w:widowControl w:val="0"/>
              <w:shd w:val="clear" w:color="auto" w:fill="auto"/>
              <w:tabs>
                <w:tab w:val="clear" w:pos="426"/>
              </w:tabs>
              <w:spacing w:line="240" w:lineRule="auto"/>
              <w:ind w:firstLine="420" w:firstLineChars="200"/>
              <w:jc w:val="left"/>
              <w:rPr>
                <w:szCs w:val="21"/>
                <w:highlight w:val="none"/>
              </w:rPr>
            </w:pPr>
          </w:p>
        </w:tc>
        <w:tc>
          <w:tcPr>
            <w:tcW w:w="574" w:type="pct"/>
            <w:vAlign w:val="center"/>
          </w:tcPr>
          <w:p>
            <w:pPr>
              <w:spacing w:line="240" w:lineRule="auto"/>
              <w:jc w:val="center"/>
              <w:rPr>
                <w:rFonts w:hAnsi="宋体"/>
                <w:b/>
                <w:szCs w:val="21"/>
                <w:highlight w:val="none"/>
              </w:rPr>
            </w:pPr>
          </w:p>
        </w:tc>
      </w:tr>
    </w:tbl>
    <w:p>
      <w:pPr>
        <w:pStyle w:val="143"/>
        <w:ind w:firstLine="0" w:firstLineChars="0"/>
        <w:jc w:val="left"/>
        <w:rPr>
          <w:highlight w:val="none"/>
        </w:rPr>
      </w:pPr>
      <w:r>
        <w:rPr>
          <w:rFonts w:hint="eastAsia"/>
          <w:highlight w:val="none"/>
        </w:rPr>
        <w:t>注：</w:t>
      </w:r>
      <w:r>
        <w:rPr>
          <w:highlight w:val="none"/>
        </w:rPr>
        <w:t>1.</w:t>
      </w:r>
      <w:r>
        <w:rPr>
          <w:rFonts w:hint="eastAsia"/>
          <w:highlight w:val="none"/>
        </w:rPr>
        <w:t>上表所列内容为不可负偏离条款，如投标供应商该部分内容出现负偏离或未对该部分内容进行响应，将按照符合性检查表作无效标处理；</w:t>
      </w:r>
    </w:p>
    <w:p>
      <w:pPr>
        <w:ind w:firstLine="411" w:firstLineChars="195"/>
        <w:jc w:val="left"/>
        <w:rPr>
          <w:b/>
          <w:highlight w:val="none"/>
        </w:rPr>
      </w:pPr>
      <w:r>
        <w:rPr>
          <w:b/>
          <w:highlight w:val="none"/>
        </w:rPr>
        <w:t>2.</w:t>
      </w:r>
      <w:r>
        <w:rPr>
          <w:rFonts w:hint="eastAsia"/>
          <w:b/>
          <w:highlight w:val="none"/>
        </w:rPr>
        <w:t>“偏离情况”一栏应如实填写“正偏离”、“负偏离”或“无偏离”。</w:t>
      </w:r>
    </w:p>
    <w:p>
      <w:pPr>
        <w:tabs>
          <w:tab w:val="clear" w:pos="426"/>
        </w:tabs>
        <w:ind w:firstLine="420"/>
        <w:rPr>
          <w:highlight w:val="none"/>
          <w:u w:val="single"/>
        </w:rPr>
      </w:pPr>
      <w:r>
        <w:rPr>
          <w:rFonts w:hint="eastAsia"/>
          <w:highlight w:val="none"/>
        </w:rPr>
        <w:t>单位名称：</w:t>
      </w:r>
      <w:r>
        <w:rPr>
          <w:szCs w:val="21"/>
          <w:highlight w:val="none"/>
          <w:u w:val="single"/>
        </w:rPr>
        <w:t>____________________________________________</w:t>
      </w:r>
    </w:p>
    <w:p>
      <w:pPr>
        <w:tabs>
          <w:tab w:val="clear" w:pos="426"/>
        </w:tabs>
        <w:ind w:firstLine="420"/>
        <w:rPr>
          <w:highlight w:val="none"/>
          <w:u w:val="single"/>
        </w:rPr>
      </w:pPr>
      <w:r>
        <w:rPr>
          <w:rFonts w:hint="eastAsia"/>
          <w:highlight w:val="none"/>
        </w:rPr>
        <w:t>法定代表人或投标供应商授权代表（签名或盖章）：</w:t>
      </w:r>
      <w:r>
        <w:rPr>
          <w:szCs w:val="21"/>
          <w:highlight w:val="none"/>
          <w:u w:val="single"/>
        </w:rPr>
        <w:t>______________________</w:t>
      </w:r>
    </w:p>
    <w:p>
      <w:pPr>
        <w:tabs>
          <w:tab w:val="clear" w:pos="426"/>
        </w:tabs>
        <w:ind w:firstLine="420"/>
        <w:rPr>
          <w:highlight w:val="none"/>
          <w:u w:val="single"/>
        </w:rPr>
      </w:pPr>
      <w:r>
        <w:rPr>
          <w:rFonts w:hint="eastAsia"/>
          <w:highlight w:val="none"/>
        </w:rPr>
        <w:t>单位地址：</w:t>
      </w:r>
      <w:r>
        <w:rPr>
          <w:szCs w:val="21"/>
          <w:highlight w:val="none"/>
          <w:u w:val="single"/>
        </w:rPr>
        <w:t>______________________</w:t>
      </w:r>
    </w:p>
    <w:p>
      <w:pPr>
        <w:tabs>
          <w:tab w:val="clear" w:pos="426"/>
        </w:tabs>
        <w:ind w:firstLine="420"/>
        <w:rPr>
          <w:highlight w:val="none"/>
          <w:u w:val="single"/>
        </w:rPr>
      </w:pPr>
      <w:r>
        <w:rPr>
          <w:rFonts w:hint="eastAsia"/>
          <w:highlight w:val="none"/>
        </w:rPr>
        <w:t>单位公章：</w:t>
      </w:r>
      <w:r>
        <w:rPr>
          <w:szCs w:val="21"/>
          <w:highlight w:val="none"/>
          <w:u w:val="single"/>
        </w:rPr>
        <w:t>______________________</w:t>
      </w:r>
    </w:p>
    <w:p>
      <w:pPr>
        <w:tabs>
          <w:tab w:val="clear" w:pos="426"/>
        </w:tabs>
        <w:ind w:firstLine="420"/>
        <w:rPr>
          <w:highlight w:val="none"/>
          <w:u w:val="single"/>
        </w:rPr>
      </w:pPr>
      <w:r>
        <w:rPr>
          <w:rFonts w:hint="eastAsia"/>
          <w:highlight w:val="none"/>
        </w:rPr>
        <w:t>邮政编码：</w:t>
      </w:r>
      <w:r>
        <w:rPr>
          <w:szCs w:val="21"/>
          <w:highlight w:val="none"/>
          <w:u w:val="single"/>
        </w:rPr>
        <w:t>______________________</w:t>
      </w:r>
      <w:r>
        <w:rPr>
          <w:rFonts w:hint="eastAsia"/>
          <w:highlight w:val="none"/>
        </w:rPr>
        <w:t>日期：</w:t>
      </w:r>
      <w:r>
        <w:rPr>
          <w:szCs w:val="21"/>
          <w:highlight w:val="none"/>
          <w:u w:val="single"/>
        </w:rPr>
        <w:t>______________________</w:t>
      </w:r>
    </w:p>
    <w:p>
      <w:pPr>
        <w:tabs>
          <w:tab w:val="clear" w:pos="426"/>
        </w:tabs>
        <w:ind w:firstLine="420"/>
        <w:rPr>
          <w:szCs w:val="21"/>
          <w:highlight w:val="none"/>
          <w:u w:val="single"/>
        </w:rPr>
      </w:pPr>
      <w:r>
        <w:rPr>
          <w:rFonts w:hint="eastAsia"/>
          <w:highlight w:val="none"/>
        </w:rPr>
        <w:t>联系电话：</w:t>
      </w:r>
      <w:r>
        <w:rPr>
          <w:szCs w:val="21"/>
          <w:highlight w:val="none"/>
          <w:u w:val="single"/>
        </w:rPr>
        <w:t>______________________</w:t>
      </w:r>
    </w:p>
    <w:p>
      <w:pPr>
        <w:shd w:val="clear" w:color="auto" w:fill="auto"/>
        <w:tabs>
          <w:tab w:val="clear" w:pos="426"/>
        </w:tabs>
        <w:adjustRightInd/>
        <w:snapToGrid/>
        <w:spacing w:line="240" w:lineRule="auto"/>
        <w:jc w:val="left"/>
        <w:rPr>
          <w:szCs w:val="21"/>
          <w:highlight w:val="none"/>
          <w:u w:val="single"/>
        </w:rPr>
      </w:pPr>
      <w:r>
        <w:rPr>
          <w:szCs w:val="21"/>
          <w:highlight w:val="none"/>
          <w:u w:val="single"/>
        </w:rPr>
        <w:br w:type="page"/>
      </w:r>
    </w:p>
    <w:bookmarkEnd w:id="148"/>
    <w:bookmarkEnd w:id="149"/>
    <w:bookmarkEnd w:id="150"/>
    <w:bookmarkEnd w:id="151"/>
    <w:bookmarkEnd w:id="152"/>
    <w:bookmarkEnd w:id="153"/>
    <w:p>
      <w:pPr>
        <w:pStyle w:val="4"/>
        <w:numPr>
          <w:ilvl w:val="0"/>
          <w:numId w:val="38"/>
        </w:numPr>
        <w:tabs>
          <w:tab w:val="clear" w:pos="1680"/>
        </w:tabs>
        <w:jc w:val="left"/>
        <w:rPr>
          <w:highlight w:val="none"/>
        </w:rPr>
      </w:pPr>
      <w:bookmarkStart w:id="154" w:name="_Toc50691037"/>
      <w:bookmarkStart w:id="155" w:name="_Toc43264518"/>
      <w:bookmarkStart w:id="156" w:name="_Toc43264525"/>
      <w:bookmarkStart w:id="157" w:name="_Toc50703730"/>
      <w:r>
        <w:rPr>
          <w:rFonts w:hint="eastAsia"/>
          <w:highlight w:val="none"/>
        </w:rPr>
        <w:t>、项目需求响应表（实质性条款除外）</w:t>
      </w:r>
    </w:p>
    <w:p>
      <w:pPr>
        <w:widowControl w:val="0"/>
        <w:shd w:val="clear" w:color="auto" w:fill="auto"/>
        <w:tabs>
          <w:tab w:val="clear" w:pos="426"/>
        </w:tabs>
        <w:adjustRightInd/>
        <w:snapToGrid/>
        <w:spacing w:line="300" w:lineRule="auto"/>
        <w:jc w:val="center"/>
        <w:rPr>
          <w:rFonts w:hAnsi="宋体" w:cs="Times New Roman"/>
          <w:bCs/>
          <w:kern w:val="2"/>
          <w:sz w:val="32"/>
          <w:szCs w:val="32"/>
          <w:highlight w:val="none"/>
        </w:rPr>
      </w:pPr>
      <w:r>
        <w:rPr>
          <w:rFonts w:hint="eastAsia" w:hAnsi="宋体" w:cs="Times New Roman"/>
          <w:bCs/>
          <w:kern w:val="2"/>
          <w:sz w:val="32"/>
          <w:szCs w:val="32"/>
          <w:highlight w:val="none"/>
        </w:rPr>
        <w:t>项目需求响应表（实质性条款除外）</w:t>
      </w:r>
    </w:p>
    <w:p>
      <w:pPr>
        <w:tabs>
          <w:tab w:val="clear" w:pos="426"/>
        </w:tabs>
        <w:wordWrap w:val="0"/>
        <w:rPr>
          <w:rFonts w:hAnsi="宋体"/>
          <w:highlight w:val="none"/>
        </w:rPr>
      </w:pPr>
    </w:p>
    <w:p>
      <w:pPr>
        <w:tabs>
          <w:tab w:val="clear" w:pos="426"/>
        </w:tabs>
        <w:wordWrap w:val="0"/>
        <w:rPr>
          <w:rFonts w:hAnsi="宋体"/>
          <w:highlight w:val="none"/>
        </w:rPr>
      </w:pPr>
      <w:r>
        <w:rPr>
          <w:rFonts w:hint="eastAsia" w:hAnsi="宋体"/>
          <w:highlight w:val="none"/>
        </w:rPr>
        <w:t>项目名称：项目编号：</w:t>
      </w:r>
    </w:p>
    <w:p>
      <w:pPr>
        <w:rPr>
          <w:rFonts w:hAnsi="宋体" w:cs="Arial"/>
          <w:bCs/>
          <w:highlight w:val="none"/>
        </w:rPr>
      </w:pPr>
      <w:r>
        <w:rPr>
          <w:rFonts w:hint="eastAsia" w:hAnsi="宋体" w:cs="Arial"/>
          <w:bCs/>
          <w:highlight w:val="none"/>
        </w:rPr>
        <w:t>（一）据招标文件要求，我公司承诺响应如下：</w:t>
      </w:r>
    </w:p>
    <w:tbl>
      <w:tblPr>
        <w:tblStyle w:val="85"/>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481"/>
        <w:gridCol w:w="269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spacing w:line="240" w:lineRule="auto"/>
              <w:jc w:val="center"/>
              <w:rPr>
                <w:rFonts w:hAnsi="宋体" w:cs="Arial"/>
                <w:szCs w:val="21"/>
                <w:highlight w:val="none"/>
              </w:rPr>
            </w:pPr>
            <w:r>
              <w:rPr>
                <w:rFonts w:hint="eastAsia" w:hAnsi="宋体" w:cs="Arial"/>
                <w:szCs w:val="21"/>
                <w:highlight w:val="none"/>
              </w:rPr>
              <w:t>序号</w:t>
            </w:r>
          </w:p>
        </w:tc>
        <w:tc>
          <w:tcPr>
            <w:tcW w:w="4481" w:type="dxa"/>
            <w:vAlign w:val="center"/>
          </w:tcPr>
          <w:p>
            <w:pPr>
              <w:spacing w:line="240" w:lineRule="auto"/>
              <w:jc w:val="center"/>
              <w:rPr>
                <w:rFonts w:hAnsi="宋体" w:cs="Arial"/>
                <w:szCs w:val="21"/>
                <w:highlight w:val="none"/>
              </w:rPr>
            </w:pPr>
            <w:r>
              <w:rPr>
                <w:rFonts w:hint="eastAsia" w:hAnsi="宋体" w:cs="Arial"/>
                <w:szCs w:val="21"/>
                <w:highlight w:val="none"/>
              </w:rPr>
              <w:t>招标文件要求</w:t>
            </w:r>
          </w:p>
        </w:tc>
        <w:tc>
          <w:tcPr>
            <w:tcW w:w="2693" w:type="dxa"/>
            <w:vAlign w:val="center"/>
          </w:tcPr>
          <w:p>
            <w:pPr>
              <w:spacing w:line="240" w:lineRule="auto"/>
              <w:jc w:val="center"/>
              <w:rPr>
                <w:rFonts w:hAnsi="宋体" w:cs="Arial"/>
                <w:szCs w:val="21"/>
                <w:highlight w:val="none"/>
              </w:rPr>
            </w:pPr>
            <w:r>
              <w:rPr>
                <w:rFonts w:hint="eastAsia" w:hAnsi="宋体" w:cs="Arial"/>
                <w:szCs w:val="21"/>
                <w:highlight w:val="none"/>
              </w:rPr>
              <w:t>投标文件响应</w:t>
            </w:r>
          </w:p>
        </w:tc>
        <w:tc>
          <w:tcPr>
            <w:tcW w:w="1820" w:type="dxa"/>
            <w:vAlign w:val="center"/>
          </w:tcPr>
          <w:p>
            <w:pPr>
              <w:spacing w:line="240" w:lineRule="auto"/>
              <w:jc w:val="center"/>
              <w:rPr>
                <w:rFonts w:hAnsi="宋体" w:cs="Arial"/>
                <w:szCs w:val="21"/>
                <w:highlight w:val="none"/>
              </w:rPr>
            </w:pPr>
            <w:r>
              <w:rPr>
                <w:rFonts w:hint="eastAsia" w:hAnsi="宋体" w:cs="Arial"/>
                <w:szCs w:val="21"/>
                <w:highlight w:val="none"/>
              </w:rPr>
              <w:t>偏离说明（符合/正偏离/负偏离）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2" w:type="dxa"/>
            <w:vAlign w:val="center"/>
          </w:tcPr>
          <w:p>
            <w:pPr>
              <w:spacing w:line="240" w:lineRule="auto"/>
              <w:jc w:val="center"/>
              <w:rPr>
                <w:rFonts w:hAnsi="宋体" w:cs="Arial"/>
                <w:szCs w:val="21"/>
                <w:highlight w:val="none"/>
              </w:rPr>
            </w:pPr>
            <w:r>
              <w:rPr>
                <w:rFonts w:hint="eastAsia" w:hAnsi="宋体" w:cs="Arial"/>
                <w:szCs w:val="21"/>
                <w:highlight w:val="none"/>
              </w:rPr>
              <w:t>1</w:t>
            </w:r>
          </w:p>
        </w:tc>
        <w:tc>
          <w:tcPr>
            <w:tcW w:w="4481" w:type="dxa"/>
            <w:vAlign w:val="center"/>
          </w:tcPr>
          <w:p>
            <w:pPr>
              <w:spacing w:line="240" w:lineRule="auto"/>
              <w:jc w:val="center"/>
              <w:rPr>
                <w:rFonts w:hAnsi="宋体"/>
                <w:bCs/>
                <w:highlight w:val="none"/>
              </w:rPr>
            </w:pPr>
            <w:r>
              <w:rPr>
                <w:rFonts w:hint="eastAsia" w:hAnsi="宋体" w:cs="Arial"/>
                <w:highlight w:val="none"/>
              </w:rPr>
              <w:t>招标文件第三章</w:t>
            </w:r>
            <w:r>
              <w:rPr>
                <w:rFonts w:hint="eastAsia" w:hAnsi="宋体"/>
                <w:bCs/>
                <w:highlight w:val="none"/>
              </w:rPr>
              <w:t>项目</w:t>
            </w:r>
            <w:r>
              <w:rPr>
                <w:rFonts w:hint="eastAsia" w:hAnsi="宋体"/>
                <w:highlight w:val="none"/>
              </w:rPr>
              <w:t>需求</w:t>
            </w:r>
            <w:r>
              <w:rPr>
                <w:rFonts w:hint="eastAsia" w:hAnsi="宋体"/>
                <w:bCs/>
                <w:highlight w:val="none"/>
              </w:rPr>
              <w:t>（实质性条款除外）</w:t>
            </w:r>
            <w:r>
              <w:rPr>
                <w:rFonts w:hint="eastAsia" w:hAnsi="宋体"/>
                <w:highlight w:val="none"/>
              </w:rPr>
              <w:t>的全部内容</w:t>
            </w:r>
          </w:p>
        </w:tc>
        <w:tc>
          <w:tcPr>
            <w:tcW w:w="2693" w:type="dxa"/>
            <w:vAlign w:val="center"/>
          </w:tcPr>
          <w:p>
            <w:pPr>
              <w:spacing w:line="240" w:lineRule="auto"/>
              <w:jc w:val="center"/>
              <w:rPr>
                <w:rFonts w:hAnsi="宋体" w:cs="Arial"/>
                <w:highlight w:val="none"/>
              </w:rPr>
            </w:pPr>
          </w:p>
        </w:tc>
        <w:tc>
          <w:tcPr>
            <w:tcW w:w="1820" w:type="dxa"/>
            <w:vAlign w:val="center"/>
          </w:tcPr>
          <w:p>
            <w:pPr>
              <w:spacing w:line="240" w:lineRule="auto"/>
              <w:jc w:val="center"/>
              <w:rPr>
                <w:rFonts w:hAnsi="宋体"/>
                <w:szCs w:val="21"/>
                <w:highlight w:val="none"/>
              </w:rPr>
            </w:pPr>
          </w:p>
        </w:tc>
      </w:tr>
    </w:tbl>
    <w:p>
      <w:pPr>
        <w:rPr>
          <w:rFonts w:hAnsi="宋体"/>
          <w:bCs/>
          <w:highlight w:val="none"/>
        </w:rPr>
      </w:pPr>
    </w:p>
    <w:p>
      <w:pPr>
        <w:rPr>
          <w:rFonts w:hAnsi="宋体"/>
          <w:bCs/>
          <w:highlight w:val="none"/>
        </w:rPr>
      </w:pPr>
      <w:r>
        <w:rPr>
          <w:rFonts w:hint="eastAsia" w:hAnsi="宋体"/>
          <w:bCs/>
          <w:highlight w:val="none"/>
        </w:rPr>
        <w:t>（二）对《项目需求响应表》的补充说明</w:t>
      </w:r>
    </w:p>
    <w:p>
      <w:pPr>
        <w:tabs>
          <w:tab w:val="clear" w:pos="426"/>
        </w:tabs>
        <w:ind w:firstLine="424" w:firstLineChars="202"/>
        <w:rPr>
          <w:rFonts w:hAnsi="宋体"/>
          <w:bCs/>
          <w:highlight w:val="none"/>
        </w:rPr>
      </w:pPr>
      <w:r>
        <w:rPr>
          <w:rFonts w:hint="eastAsia" w:hAnsi="宋体"/>
          <w:bCs/>
          <w:highlight w:val="none"/>
        </w:rPr>
        <w:t>填写表中“偏离说明”一栏的未尽内容（例如：偏离原因、解决方案等）及投标人认为需要补充说明的其他内容，格式自定。</w:t>
      </w:r>
    </w:p>
    <w:p>
      <w:pPr>
        <w:rPr>
          <w:rFonts w:hAnsi="宋体"/>
          <w:bCs/>
          <w:highlight w:val="none"/>
        </w:rPr>
      </w:pPr>
    </w:p>
    <w:p>
      <w:pPr>
        <w:rPr>
          <w:rFonts w:hAnsi="宋体"/>
          <w:bCs/>
          <w:highlight w:val="none"/>
        </w:rPr>
      </w:pPr>
    </w:p>
    <w:p>
      <w:pPr>
        <w:tabs>
          <w:tab w:val="clear" w:pos="426"/>
        </w:tabs>
        <w:ind w:firstLine="420"/>
        <w:rPr>
          <w:highlight w:val="none"/>
          <w:u w:val="single"/>
        </w:rPr>
      </w:pPr>
      <w:r>
        <w:rPr>
          <w:rFonts w:hint="eastAsia"/>
          <w:highlight w:val="none"/>
        </w:rPr>
        <w:t>单位名称：</w:t>
      </w:r>
      <w:r>
        <w:rPr>
          <w:szCs w:val="21"/>
          <w:highlight w:val="none"/>
          <w:u w:val="single"/>
        </w:rPr>
        <w:t>____________________________________________</w:t>
      </w:r>
    </w:p>
    <w:p>
      <w:pPr>
        <w:tabs>
          <w:tab w:val="clear" w:pos="426"/>
        </w:tabs>
        <w:ind w:firstLine="420"/>
        <w:rPr>
          <w:highlight w:val="none"/>
          <w:u w:val="single"/>
        </w:rPr>
      </w:pPr>
      <w:r>
        <w:rPr>
          <w:rFonts w:hint="eastAsia"/>
          <w:highlight w:val="none"/>
        </w:rPr>
        <w:t>法定代表人或投标供应商授权代表（签名或盖章）：</w:t>
      </w:r>
      <w:r>
        <w:rPr>
          <w:szCs w:val="21"/>
          <w:highlight w:val="none"/>
          <w:u w:val="single"/>
        </w:rPr>
        <w:t>______________________</w:t>
      </w:r>
    </w:p>
    <w:p>
      <w:pPr>
        <w:tabs>
          <w:tab w:val="clear" w:pos="426"/>
        </w:tabs>
        <w:ind w:firstLine="420"/>
        <w:rPr>
          <w:highlight w:val="none"/>
          <w:u w:val="single"/>
        </w:rPr>
      </w:pPr>
      <w:r>
        <w:rPr>
          <w:rFonts w:hint="eastAsia"/>
          <w:highlight w:val="none"/>
        </w:rPr>
        <w:t>单位地址：</w:t>
      </w:r>
      <w:r>
        <w:rPr>
          <w:szCs w:val="21"/>
          <w:highlight w:val="none"/>
          <w:u w:val="single"/>
        </w:rPr>
        <w:t>______________________</w:t>
      </w:r>
    </w:p>
    <w:p>
      <w:pPr>
        <w:tabs>
          <w:tab w:val="clear" w:pos="426"/>
        </w:tabs>
        <w:ind w:firstLine="420"/>
        <w:rPr>
          <w:highlight w:val="none"/>
          <w:u w:val="single"/>
        </w:rPr>
      </w:pPr>
      <w:r>
        <w:rPr>
          <w:rFonts w:hint="eastAsia"/>
          <w:highlight w:val="none"/>
        </w:rPr>
        <w:t>单位公章：</w:t>
      </w:r>
      <w:r>
        <w:rPr>
          <w:szCs w:val="21"/>
          <w:highlight w:val="none"/>
          <w:u w:val="single"/>
        </w:rPr>
        <w:t>______________________</w:t>
      </w:r>
    </w:p>
    <w:p>
      <w:pPr>
        <w:tabs>
          <w:tab w:val="clear" w:pos="426"/>
        </w:tabs>
        <w:ind w:firstLine="420"/>
        <w:rPr>
          <w:highlight w:val="none"/>
          <w:u w:val="single"/>
        </w:rPr>
      </w:pPr>
      <w:r>
        <w:rPr>
          <w:rFonts w:hint="eastAsia"/>
          <w:highlight w:val="none"/>
        </w:rPr>
        <w:t>邮政编码：</w:t>
      </w:r>
      <w:r>
        <w:rPr>
          <w:szCs w:val="21"/>
          <w:highlight w:val="none"/>
          <w:u w:val="single"/>
        </w:rPr>
        <w:t>______________________</w:t>
      </w:r>
      <w:r>
        <w:rPr>
          <w:rFonts w:hint="eastAsia"/>
          <w:highlight w:val="none"/>
        </w:rPr>
        <w:t>日期：</w:t>
      </w:r>
      <w:r>
        <w:rPr>
          <w:szCs w:val="21"/>
          <w:highlight w:val="none"/>
          <w:u w:val="single"/>
        </w:rPr>
        <w:t>______________________</w:t>
      </w:r>
    </w:p>
    <w:p>
      <w:pPr>
        <w:tabs>
          <w:tab w:val="clear" w:pos="426"/>
        </w:tabs>
        <w:ind w:firstLine="420"/>
        <w:rPr>
          <w:szCs w:val="21"/>
          <w:highlight w:val="none"/>
          <w:u w:val="single"/>
        </w:rPr>
      </w:pPr>
      <w:r>
        <w:rPr>
          <w:rFonts w:hint="eastAsia"/>
          <w:highlight w:val="none"/>
        </w:rPr>
        <w:t>联系电话：</w:t>
      </w:r>
      <w:r>
        <w:rPr>
          <w:szCs w:val="21"/>
          <w:highlight w:val="none"/>
          <w:u w:val="single"/>
        </w:rPr>
        <w:t>______________________</w:t>
      </w:r>
    </w:p>
    <w:p>
      <w:pPr>
        <w:rPr>
          <w:rFonts w:hAnsi="宋体"/>
          <w:bCs/>
          <w:highlight w:val="none"/>
        </w:rPr>
      </w:pPr>
    </w:p>
    <w:p>
      <w:pPr>
        <w:rPr>
          <w:rFonts w:hAnsi="宋体"/>
          <w:bCs/>
          <w:highlight w:val="none"/>
        </w:rPr>
      </w:pPr>
      <w:r>
        <w:rPr>
          <w:rFonts w:hint="eastAsia" w:hAnsi="宋体"/>
          <w:bCs/>
          <w:highlight w:val="none"/>
        </w:rPr>
        <w:t>填写说明：</w:t>
      </w:r>
    </w:p>
    <w:p>
      <w:pPr>
        <w:ind w:firstLine="420" w:firstLineChars="200"/>
        <w:rPr>
          <w:rFonts w:hAnsi="宋体"/>
          <w:bCs/>
          <w:highlight w:val="none"/>
        </w:rPr>
      </w:pPr>
      <w:r>
        <w:rPr>
          <w:rFonts w:hint="eastAsia" w:hAnsi="宋体"/>
          <w:bCs/>
          <w:highlight w:val="none"/>
        </w:rPr>
        <w:t>1.上述表格，若投标人项目需求商务条款无偏离，“招标文件要求”栏填写“</w:t>
      </w:r>
      <w:r>
        <w:rPr>
          <w:rFonts w:hint="eastAsia" w:hAnsi="宋体" w:cs="Arial"/>
          <w:highlight w:val="none"/>
        </w:rPr>
        <w:t>招标文件第三章</w:t>
      </w:r>
      <w:r>
        <w:rPr>
          <w:rFonts w:hint="eastAsia" w:hAnsi="宋体"/>
          <w:bCs/>
          <w:highlight w:val="none"/>
        </w:rPr>
        <w:t>项目</w:t>
      </w:r>
      <w:r>
        <w:rPr>
          <w:rFonts w:hint="eastAsia" w:hAnsi="宋体"/>
          <w:highlight w:val="none"/>
        </w:rPr>
        <w:t>需求</w:t>
      </w:r>
      <w:r>
        <w:rPr>
          <w:rFonts w:hint="eastAsia" w:hAnsi="宋体"/>
          <w:bCs/>
          <w:highlight w:val="none"/>
        </w:rPr>
        <w:t>（实质性条款除外）</w:t>
      </w:r>
      <w:r>
        <w:rPr>
          <w:rFonts w:hint="eastAsia" w:hAnsi="宋体"/>
          <w:highlight w:val="none"/>
        </w:rPr>
        <w:t>的全部内容</w:t>
      </w:r>
      <w:r>
        <w:rPr>
          <w:rFonts w:hint="eastAsia" w:hAnsi="宋体"/>
          <w:bCs/>
          <w:highlight w:val="none"/>
        </w:rPr>
        <w:t>”、“投标文件响应”栏填写“</w:t>
      </w:r>
      <w:r>
        <w:rPr>
          <w:rFonts w:hint="eastAsia" w:hAnsi="宋体" w:cs="Arial"/>
          <w:highlight w:val="none"/>
        </w:rPr>
        <w:t>完全满足招标文件第三章</w:t>
      </w:r>
      <w:r>
        <w:rPr>
          <w:rFonts w:hint="eastAsia" w:hAnsi="宋体"/>
          <w:bCs/>
          <w:highlight w:val="none"/>
        </w:rPr>
        <w:t>项目</w:t>
      </w:r>
      <w:r>
        <w:rPr>
          <w:rFonts w:hint="eastAsia" w:hAnsi="宋体"/>
          <w:highlight w:val="none"/>
        </w:rPr>
        <w:t>需求</w:t>
      </w:r>
      <w:r>
        <w:rPr>
          <w:rFonts w:hint="eastAsia" w:hAnsi="宋体"/>
          <w:bCs/>
          <w:highlight w:val="none"/>
        </w:rPr>
        <w:t>（实质性条款除外）</w:t>
      </w:r>
      <w:r>
        <w:rPr>
          <w:rFonts w:hint="eastAsia" w:hAnsi="宋体"/>
          <w:highlight w:val="none"/>
        </w:rPr>
        <w:t>的全部内容</w:t>
      </w:r>
      <w:r>
        <w:rPr>
          <w:rFonts w:hint="eastAsia" w:hAnsi="宋体"/>
          <w:bCs/>
          <w:highlight w:val="none"/>
        </w:rPr>
        <w:t>”即可。</w:t>
      </w:r>
    </w:p>
    <w:p>
      <w:pPr>
        <w:ind w:firstLine="420" w:firstLineChars="200"/>
        <w:rPr>
          <w:rFonts w:hAnsi="宋体"/>
          <w:bCs/>
          <w:highlight w:val="none"/>
        </w:rPr>
      </w:pPr>
      <w:r>
        <w:rPr>
          <w:rFonts w:hint="eastAsia" w:hAnsi="宋体"/>
          <w:bCs/>
          <w:highlight w:val="none"/>
        </w:rPr>
        <w:t>2.若响应情况优于招标要求，应作详细说明。“偏离情况”栏中根据响应情况填写，达到要求的填“</w:t>
      </w:r>
      <w:r>
        <w:rPr>
          <w:rFonts w:hint="eastAsia" w:hAnsi="宋体" w:cs="Arial"/>
          <w:bCs/>
          <w:highlight w:val="none"/>
        </w:rPr>
        <w:t>符合</w:t>
      </w:r>
      <w:r>
        <w:rPr>
          <w:rFonts w:hint="eastAsia" w:hAnsi="宋体"/>
          <w:bCs/>
          <w:highlight w:val="none"/>
        </w:rPr>
        <w:t>”，优于要求的填“</w:t>
      </w:r>
      <w:r>
        <w:rPr>
          <w:rFonts w:hint="eastAsia" w:hAnsi="宋体" w:cs="Arial"/>
          <w:bCs/>
          <w:highlight w:val="none"/>
        </w:rPr>
        <w:t>正偏离</w:t>
      </w:r>
      <w:r>
        <w:rPr>
          <w:rFonts w:hint="eastAsia" w:hAnsi="宋体"/>
          <w:bCs/>
          <w:highlight w:val="none"/>
        </w:rPr>
        <w:t>”没有达到要求的填“</w:t>
      </w:r>
      <w:r>
        <w:rPr>
          <w:rFonts w:hint="eastAsia" w:hAnsi="宋体" w:cs="Arial"/>
          <w:bCs/>
          <w:highlight w:val="none"/>
        </w:rPr>
        <w:t>负偏离</w:t>
      </w:r>
      <w:r>
        <w:rPr>
          <w:rFonts w:hint="eastAsia" w:hAnsi="宋体"/>
          <w:bCs/>
          <w:highlight w:val="none"/>
        </w:rPr>
        <w:t>”。</w:t>
      </w:r>
    </w:p>
    <w:p>
      <w:pPr>
        <w:ind w:right="84" w:rightChars="40" w:firstLine="422" w:firstLineChars="200"/>
        <w:rPr>
          <w:rFonts w:hAnsi="宋体"/>
          <w:b/>
          <w:highlight w:val="none"/>
        </w:rPr>
      </w:pPr>
      <w:r>
        <w:rPr>
          <w:rFonts w:hint="eastAsia" w:hAnsi="宋体"/>
          <w:b/>
          <w:highlight w:val="none"/>
        </w:rPr>
        <w:t>3.若招标文件项目需求要求提供证明材料 投标人必须按招标文件要求附相关证明文件，如未提供相关证明文件的视为负偏离。</w:t>
      </w:r>
    </w:p>
    <w:p>
      <w:pPr>
        <w:ind w:right="84" w:rightChars="40" w:firstLine="420" w:firstLineChars="200"/>
        <w:rPr>
          <w:rFonts w:hAnsi="宋体"/>
          <w:bCs/>
          <w:highlight w:val="none"/>
        </w:rPr>
      </w:pPr>
      <w:r>
        <w:rPr>
          <w:rFonts w:hint="eastAsia" w:hAnsi="宋体"/>
          <w:bCs/>
          <w:highlight w:val="none"/>
        </w:rPr>
        <w:t>4、本偏离表负偏离不得导致无效标。</w:t>
      </w:r>
    </w:p>
    <w:p>
      <w:pPr>
        <w:pStyle w:val="4"/>
        <w:numPr>
          <w:ilvl w:val="0"/>
          <w:numId w:val="38"/>
        </w:numPr>
        <w:jc w:val="left"/>
        <w:rPr>
          <w:highlight w:val="none"/>
        </w:rPr>
      </w:pPr>
      <w:bookmarkStart w:id="158" w:name="_Toc36822701"/>
      <w:r>
        <w:rPr>
          <w:rFonts w:hint="eastAsia"/>
          <w:highlight w:val="none"/>
        </w:rPr>
        <w:t>、配送实施方案（格式自拟）</w:t>
      </w:r>
    </w:p>
    <w:p>
      <w:pPr>
        <w:pStyle w:val="4"/>
        <w:numPr>
          <w:ilvl w:val="0"/>
          <w:numId w:val="38"/>
        </w:numPr>
        <w:jc w:val="left"/>
        <w:rPr>
          <w:highlight w:val="none"/>
        </w:rPr>
      </w:pPr>
      <w:r>
        <w:rPr>
          <w:rFonts w:hint="eastAsia"/>
          <w:highlight w:val="none"/>
        </w:rPr>
        <w:t>、体系认证情况（格式自拟）</w:t>
      </w:r>
    </w:p>
    <w:p>
      <w:pPr>
        <w:pStyle w:val="4"/>
        <w:numPr>
          <w:ilvl w:val="0"/>
          <w:numId w:val="38"/>
        </w:numPr>
        <w:jc w:val="left"/>
        <w:rPr>
          <w:highlight w:val="none"/>
        </w:rPr>
      </w:pPr>
      <w:r>
        <w:rPr>
          <w:rFonts w:hint="eastAsia"/>
          <w:highlight w:val="none"/>
        </w:rPr>
        <w:t>、同类业绩（格式自拟）</w:t>
      </w:r>
    </w:p>
    <w:p>
      <w:pPr>
        <w:pStyle w:val="4"/>
        <w:numPr>
          <w:ilvl w:val="0"/>
          <w:numId w:val="38"/>
        </w:numPr>
        <w:jc w:val="left"/>
        <w:rPr>
          <w:highlight w:val="none"/>
        </w:rPr>
      </w:pPr>
      <w:r>
        <w:rPr>
          <w:rFonts w:hint="eastAsia"/>
          <w:highlight w:val="none"/>
        </w:rPr>
        <w:t>、配送场所情况（格式自拟）</w:t>
      </w:r>
    </w:p>
    <w:p>
      <w:pPr>
        <w:pStyle w:val="4"/>
        <w:numPr>
          <w:ilvl w:val="0"/>
          <w:numId w:val="38"/>
        </w:numPr>
        <w:jc w:val="left"/>
        <w:rPr>
          <w:highlight w:val="none"/>
        </w:rPr>
      </w:pPr>
      <w:r>
        <w:rPr>
          <w:rFonts w:hint="eastAsia"/>
          <w:highlight w:val="none"/>
        </w:rPr>
        <w:t>、基地建设情况（格式自拟）</w:t>
      </w:r>
    </w:p>
    <w:p>
      <w:pPr>
        <w:pStyle w:val="4"/>
        <w:numPr>
          <w:ilvl w:val="0"/>
          <w:numId w:val="38"/>
        </w:numPr>
        <w:jc w:val="left"/>
        <w:rPr>
          <w:highlight w:val="none"/>
        </w:rPr>
      </w:pPr>
      <w:r>
        <w:rPr>
          <w:rFonts w:hint="eastAsia"/>
          <w:bCs w:val="0"/>
          <w:highlight w:val="none"/>
        </w:rPr>
        <w:t>、</w:t>
      </w:r>
      <w:r>
        <w:rPr>
          <w:rFonts w:hint="eastAsia"/>
          <w:highlight w:val="none"/>
        </w:rPr>
        <w:t>食材检测（格式自拟）</w:t>
      </w:r>
    </w:p>
    <w:p>
      <w:pPr>
        <w:pStyle w:val="4"/>
        <w:numPr>
          <w:ilvl w:val="0"/>
          <w:numId w:val="38"/>
        </w:numPr>
        <w:jc w:val="left"/>
        <w:rPr>
          <w:highlight w:val="none"/>
        </w:rPr>
      </w:pPr>
      <w:r>
        <w:rPr>
          <w:rFonts w:hint="eastAsia"/>
          <w:bCs w:val="0"/>
          <w:highlight w:val="none"/>
        </w:rPr>
        <w:t>、</w:t>
      </w:r>
      <w:r>
        <w:rPr>
          <w:rFonts w:hint="eastAsia"/>
          <w:highlight w:val="none"/>
        </w:rPr>
        <w:t>冷库情况（格式自拟）</w:t>
      </w:r>
    </w:p>
    <w:p>
      <w:pPr>
        <w:pStyle w:val="4"/>
        <w:numPr>
          <w:ilvl w:val="0"/>
          <w:numId w:val="38"/>
        </w:numPr>
        <w:jc w:val="left"/>
        <w:rPr>
          <w:highlight w:val="none"/>
        </w:rPr>
      </w:pPr>
      <w:r>
        <w:rPr>
          <w:rFonts w:hint="eastAsia"/>
          <w:highlight w:val="none"/>
        </w:rPr>
        <w:t>、配送车辆（格式自拟）</w:t>
      </w:r>
    </w:p>
    <w:p>
      <w:pPr>
        <w:pStyle w:val="4"/>
        <w:numPr>
          <w:ilvl w:val="0"/>
          <w:numId w:val="38"/>
        </w:numPr>
        <w:jc w:val="left"/>
        <w:rPr>
          <w:highlight w:val="none"/>
        </w:rPr>
      </w:pPr>
      <w:r>
        <w:rPr>
          <w:rFonts w:hint="eastAsia"/>
          <w:highlight w:val="none"/>
        </w:rPr>
        <w:t>、项目负责人情况（格式自拟）</w:t>
      </w:r>
    </w:p>
    <w:p>
      <w:pPr>
        <w:pStyle w:val="4"/>
        <w:numPr>
          <w:ilvl w:val="0"/>
          <w:numId w:val="38"/>
        </w:numPr>
        <w:jc w:val="left"/>
        <w:rPr>
          <w:highlight w:val="none"/>
        </w:rPr>
      </w:pPr>
      <w:r>
        <w:rPr>
          <w:rFonts w:hint="eastAsia"/>
          <w:bCs w:val="0"/>
          <w:highlight w:val="none"/>
        </w:rPr>
        <w:t>、</w:t>
      </w:r>
      <w:r>
        <w:rPr>
          <w:rFonts w:hint="eastAsia"/>
          <w:highlight w:val="none"/>
        </w:rPr>
        <w:t>配备专业服务人员情况（项目负责人除外）（格式自拟）</w:t>
      </w:r>
    </w:p>
    <w:p>
      <w:pPr>
        <w:pStyle w:val="4"/>
        <w:numPr>
          <w:ilvl w:val="0"/>
          <w:numId w:val="38"/>
        </w:numPr>
        <w:jc w:val="left"/>
        <w:rPr>
          <w:highlight w:val="none"/>
        </w:rPr>
      </w:pPr>
      <w:r>
        <w:rPr>
          <w:rFonts w:hint="eastAsia"/>
          <w:highlight w:val="none"/>
        </w:rPr>
        <w:t>、食品安全保险（格式自拟）</w:t>
      </w:r>
    </w:p>
    <w:p>
      <w:pPr>
        <w:pStyle w:val="4"/>
        <w:numPr>
          <w:ilvl w:val="0"/>
          <w:numId w:val="38"/>
        </w:numPr>
        <w:jc w:val="left"/>
        <w:rPr>
          <w:highlight w:val="none"/>
        </w:rPr>
      </w:pPr>
      <w:r>
        <w:rPr>
          <w:rFonts w:hint="eastAsia"/>
          <w:highlight w:val="none"/>
        </w:rPr>
        <w:t>、产品认证情况（格式自拟）</w:t>
      </w:r>
    </w:p>
    <w:p>
      <w:pPr>
        <w:pStyle w:val="4"/>
        <w:numPr>
          <w:ilvl w:val="0"/>
          <w:numId w:val="38"/>
        </w:numPr>
        <w:jc w:val="left"/>
        <w:rPr>
          <w:highlight w:val="none"/>
        </w:rPr>
      </w:pPr>
      <w:r>
        <w:rPr>
          <w:rFonts w:hint="eastAsia"/>
          <w:highlight w:val="none"/>
        </w:rPr>
        <w:t>、企业荣誉（格式自拟）</w:t>
      </w:r>
    </w:p>
    <w:p>
      <w:pPr>
        <w:pStyle w:val="4"/>
        <w:numPr>
          <w:ilvl w:val="0"/>
          <w:numId w:val="38"/>
        </w:numPr>
        <w:jc w:val="left"/>
        <w:rPr>
          <w:highlight w:val="none"/>
        </w:rPr>
      </w:pPr>
      <w:r>
        <w:rPr>
          <w:rFonts w:hint="eastAsia"/>
          <w:highlight w:val="none"/>
        </w:rPr>
        <w:t>、配套设备情况（格式自拟）</w:t>
      </w:r>
    </w:p>
    <w:p>
      <w:pPr>
        <w:rPr>
          <w:highlight w:val="none"/>
        </w:rPr>
      </w:pPr>
      <w:r>
        <w:rPr>
          <w:rFonts w:hint="eastAsia"/>
          <w:highlight w:val="none"/>
        </w:rPr>
        <w:br w:type="page"/>
      </w:r>
    </w:p>
    <w:p>
      <w:pPr>
        <w:pStyle w:val="4"/>
        <w:numPr>
          <w:ilvl w:val="0"/>
          <w:numId w:val="38"/>
        </w:numPr>
        <w:jc w:val="left"/>
        <w:rPr>
          <w:highlight w:val="none"/>
        </w:rPr>
      </w:pPr>
      <w:r>
        <w:rPr>
          <w:rFonts w:hint="eastAsia"/>
          <w:highlight w:val="none"/>
        </w:rPr>
        <w:t>、诚信情况</w:t>
      </w:r>
    </w:p>
    <w:p>
      <w:pPr>
        <w:jc w:val="center"/>
        <w:rPr>
          <w:rFonts w:hAnsi="宋体"/>
          <w:b/>
          <w:bCs/>
          <w:sz w:val="32"/>
          <w:szCs w:val="32"/>
          <w:highlight w:val="none"/>
        </w:rPr>
      </w:pPr>
      <w:r>
        <w:rPr>
          <w:rFonts w:hint="eastAsia" w:hAnsi="宋体"/>
          <w:b/>
          <w:bCs/>
          <w:sz w:val="32"/>
          <w:szCs w:val="32"/>
          <w:highlight w:val="none"/>
        </w:rPr>
        <w:t>诚信情况承诺函</w:t>
      </w:r>
    </w:p>
    <w:p>
      <w:pPr>
        <w:rPr>
          <w:rFonts w:hAnsi="宋体"/>
          <w:sz w:val="24"/>
          <w:highlight w:val="none"/>
        </w:rPr>
      </w:pPr>
      <w:r>
        <w:rPr>
          <w:rFonts w:hint="eastAsia" w:hAnsi="宋体"/>
          <w:sz w:val="24"/>
          <w:highlight w:val="none"/>
        </w:rPr>
        <w:t>致深圳市消防救援支队：</w:t>
      </w:r>
    </w:p>
    <w:p>
      <w:pPr>
        <w:ind w:firstLine="480" w:firstLineChars="200"/>
        <w:rPr>
          <w:rFonts w:hAnsi="宋体"/>
          <w:sz w:val="24"/>
          <w:highlight w:val="none"/>
        </w:rPr>
      </w:pPr>
      <w:r>
        <w:rPr>
          <w:rFonts w:hint="eastAsia" w:hAnsi="宋体"/>
          <w:sz w:val="24"/>
          <w:highlight w:val="none"/>
        </w:rPr>
        <w:t>我公司承诺在采购招标投标活动中，未出现“被行政主管部门禁止参与政府采购活动或未被禁止参与政府采购活动，但受过警告、罚款、没收违法所得等行政处罚以及不正当理由放弃中标资格”的情形，若受过行政处罚，修正行政处罚期已满，可参与政府采购投标活动。</w:t>
      </w:r>
    </w:p>
    <w:p>
      <w:pPr>
        <w:ind w:firstLine="480" w:firstLineChars="200"/>
        <w:rPr>
          <w:rFonts w:hAnsi="宋体"/>
          <w:sz w:val="24"/>
          <w:highlight w:val="none"/>
        </w:rPr>
      </w:pPr>
      <w:r>
        <w:rPr>
          <w:rFonts w:hint="eastAsia" w:hAnsi="宋体"/>
          <w:sz w:val="24"/>
          <w:highlight w:val="none"/>
        </w:rPr>
        <w:t>特此承诺。</w:t>
      </w:r>
    </w:p>
    <w:p>
      <w:pPr>
        <w:ind w:firstLine="480" w:firstLineChars="200"/>
        <w:jc w:val="right"/>
        <w:rPr>
          <w:rFonts w:hAnsi="宋体"/>
          <w:bCs/>
          <w:sz w:val="24"/>
          <w:highlight w:val="none"/>
        </w:rPr>
      </w:pPr>
      <w:r>
        <w:rPr>
          <w:rFonts w:hint="eastAsia" w:hAnsi="宋体"/>
          <w:bCs/>
          <w:sz w:val="24"/>
          <w:highlight w:val="none"/>
        </w:rPr>
        <w:t>投标人名称（加盖公章）：</w:t>
      </w:r>
    </w:p>
    <w:p>
      <w:pPr>
        <w:ind w:firstLine="480" w:firstLineChars="200"/>
        <w:jc w:val="right"/>
        <w:rPr>
          <w:rFonts w:hAnsi="宋体"/>
          <w:bCs/>
          <w:sz w:val="24"/>
          <w:highlight w:val="none"/>
        </w:rPr>
      </w:pPr>
      <w:r>
        <w:rPr>
          <w:rFonts w:hint="eastAsia" w:hAnsi="宋体"/>
          <w:bCs/>
          <w:sz w:val="24"/>
          <w:highlight w:val="none"/>
        </w:rPr>
        <w:t>投标人法定代表人或其委托人签名或印鉴：</w:t>
      </w:r>
    </w:p>
    <w:p>
      <w:pPr>
        <w:jc w:val="right"/>
        <w:rPr>
          <w:rFonts w:hint="eastAsia" w:hAnsi="宋体"/>
          <w:bCs/>
          <w:sz w:val="24"/>
          <w:highlight w:val="none"/>
        </w:rPr>
      </w:pPr>
      <w:r>
        <w:rPr>
          <w:rFonts w:hint="eastAsia" w:hAnsi="宋体"/>
          <w:bCs/>
          <w:sz w:val="24"/>
          <w:highlight w:val="none"/>
        </w:rPr>
        <w:t>日期：   年   月   日</w:t>
      </w:r>
    </w:p>
    <w:p>
      <w:pPr>
        <w:rPr>
          <w:rFonts w:hint="eastAsia" w:hAnsi="宋体"/>
          <w:bCs/>
          <w:sz w:val="24"/>
          <w:highlight w:val="none"/>
          <w:lang w:eastAsia="zh-Hans"/>
        </w:rPr>
      </w:pPr>
      <w:r>
        <w:rPr>
          <w:rFonts w:hint="eastAsia" w:hAnsi="宋体"/>
          <w:bCs/>
          <w:sz w:val="24"/>
          <w:highlight w:val="none"/>
        </w:rPr>
        <w:br w:type="page"/>
      </w:r>
    </w:p>
    <w:p>
      <w:pPr>
        <w:pStyle w:val="4"/>
        <w:numPr>
          <w:ilvl w:val="0"/>
          <w:numId w:val="38"/>
        </w:numPr>
        <w:tabs>
          <w:tab w:val="clear" w:pos="1680"/>
        </w:tabs>
        <w:jc w:val="left"/>
        <w:rPr>
          <w:highlight w:val="none"/>
        </w:rPr>
      </w:pPr>
      <w:r>
        <w:rPr>
          <w:rFonts w:hint="eastAsia"/>
          <w:highlight w:val="none"/>
        </w:rPr>
        <w:t>、招标代理服务费承诺书</w:t>
      </w:r>
      <w:bookmarkEnd w:id="158"/>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招标代理服务费承诺书</w:t>
      </w:r>
    </w:p>
    <w:p>
      <w:pPr>
        <w:tabs>
          <w:tab w:val="clear" w:pos="426"/>
        </w:tabs>
        <w:adjustRightInd/>
        <w:snapToGrid/>
        <w:rPr>
          <w:b/>
          <w:highlight w:val="none"/>
        </w:rPr>
      </w:pPr>
    </w:p>
    <w:p>
      <w:pPr>
        <w:tabs>
          <w:tab w:val="clear" w:pos="426"/>
        </w:tabs>
        <w:adjustRightInd/>
        <w:snapToGrid/>
        <w:rPr>
          <w:b/>
          <w:highlight w:val="none"/>
        </w:rPr>
      </w:pPr>
      <w:r>
        <w:rPr>
          <w:rFonts w:hint="eastAsia"/>
          <w:b/>
          <w:highlight w:val="none"/>
        </w:rPr>
        <w:t>深圳市深水水务咨询有限公司：</w:t>
      </w:r>
    </w:p>
    <w:p>
      <w:pPr>
        <w:tabs>
          <w:tab w:val="clear" w:pos="426"/>
        </w:tabs>
        <w:adjustRightInd/>
        <w:snapToGrid/>
        <w:ind w:firstLine="420" w:firstLineChars="200"/>
        <w:rPr>
          <w:szCs w:val="21"/>
          <w:highlight w:val="none"/>
        </w:rPr>
      </w:pPr>
      <w:r>
        <w:rPr>
          <w:rFonts w:hint="eastAsia"/>
          <w:highlight w:val="none"/>
        </w:rPr>
        <w:t>本公司</w:t>
      </w:r>
      <w:r>
        <w:rPr>
          <w:highlight w:val="none"/>
          <w:u w:val="single"/>
        </w:rPr>
        <w:t>__(</w:t>
      </w:r>
      <w:r>
        <w:rPr>
          <w:rFonts w:hint="eastAsia"/>
          <w:highlight w:val="none"/>
          <w:u w:val="single"/>
        </w:rPr>
        <w:t>投标供应商名称</w:t>
      </w:r>
      <w:r>
        <w:rPr>
          <w:highlight w:val="none"/>
          <w:u w:val="single"/>
        </w:rPr>
        <w:t>)__</w:t>
      </w:r>
      <w:r>
        <w:rPr>
          <w:rFonts w:hint="eastAsia"/>
          <w:highlight w:val="none"/>
        </w:rPr>
        <w:t>在参加</w:t>
      </w:r>
      <w:r>
        <w:rPr>
          <w:rFonts w:hint="eastAsia"/>
          <w:highlight w:val="none"/>
          <w:u w:val="single"/>
        </w:rPr>
        <w:t>（项目名称）</w:t>
      </w:r>
      <w:r>
        <w:rPr>
          <w:highlight w:val="none"/>
          <w:u w:val="single"/>
        </w:rPr>
        <w:t>_</w:t>
      </w:r>
      <w:r>
        <w:rPr>
          <w:highlight w:val="none"/>
        </w:rPr>
        <w:t>(</w:t>
      </w:r>
      <w:r>
        <w:rPr>
          <w:rFonts w:hint="eastAsia"/>
          <w:highlight w:val="none"/>
        </w:rPr>
        <w:t>项目编号：</w:t>
      </w:r>
      <w:r>
        <w:rPr>
          <w:highlight w:val="none"/>
          <w:u w:val="single"/>
        </w:rPr>
        <w:t>__</w:t>
      </w:r>
      <w:r>
        <w:rPr>
          <w:rFonts w:hint="eastAsia"/>
          <w:highlight w:val="none"/>
          <w:u w:val="single"/>
        </w:rPr>
        <w:t>（项目编号）</w:t>
      </w:r>
      <w:r>
        <w:rPr>
          <w:highlight w:val="none"/>
          <w:u w:val="single"/>
        </w:rPr>
        <w:t>__</w:t>
      </w:r>
      <w:r>
        <w:rPr>
          <w:highlight w:val="none"/>
        </w:rPr>
        <w:t>)</w:t>
      </w:r>
      <w:r>
        <w:rPr>
          <w:rFonts w:hint="eastAsia"/>
          <w:highlight w:val="none"/>
        </w:rPr>
        <w:t>的招标中如获中标</w:t>
      </w:r>
      <w:r>
        <w:rPr>
          <w:rFonts w:hint="eastAsia"/>
          <w:szCs w:val="21"/>
          <w:highlight w:val="none"/>
        </w:rPr>
        <w:t>，我公司保证按照招标文件</w:t>
      </w:r>
      <w:r>
        <w:rPr>
          <w:rFonts w:hint="eastAsia"/>
          <w:highlight w:val="none"/>
        </w:rPr>
        <w:t>的</w:t>
      </w:r>
      <w:r>
        <w:rPr>
          <w:rFonts w:hint="eastAsia"/>
          <w:szCs w:val="21"/>
          <w:highlight w:val="none"/>
        </w:rPr>
        <w:t>规定缴纳“招标代理服务费”后，凭领取人身份证复印件并加盖公章领取《中标通知书》。如采用电汇或银行转账，我</w:t>
      </w:r>
      <w:r>
        <w:rPr>
          <w:rFonts w:hint="eastAsia"/>
          <w:highlight w:val="none"/>
        </w:rPr>
        <w:t>公</w:t>
      </w:r>
      <w:r>
        <w:rPr>
          <w:rFonts w:hint="eastAsia"/>
          <w:szCs w:val="21"/>
          <w:highlight w:val="none"/>
        </w:rPr>
        <w:t>司将同时递交招标代理服务费缴费凭证复印件并加盖公章。</w:t>
      </w:r>
    </w:p>
    <w:p>
      <w:pPr>
        <w:tabs>
          <w:tab w:val="clear" w:pos="426"/>
        </w:tabs>
        <w:adjustRightInd/>
        <w:snapToGrid/>
        <w:ind w:firstLine="420" w:firstLineChars="200"/>
        <w:rPr>
          <w:highlight w:val="none"/>
        </w:rPr>
      </w:pPr>
      <w:r>
        <w:rPr>
          <w:rFonts w:hint="eastAsia"/>
          <w:highlight w:val="none"/>
        </w:rPr>
        <w:t>如我公司违反上款承诺，愿凭贵公司开出的相关通知，同意（采购代理机构名称）办理支付手续，愿承担由此引起的一切法律责任。</w:t>
      </w:r>
    </w:p>
    <w:p>
      <w:pPr>
        <w:tabs>
          <w:tab w:val="clear" w:pos="426"/>
        </w:tabs>
        <w:adjustRightInd/>
        <w:snapToGrid/>
        <w:ind w:firstLine="420" w:firstLineChars="200"/>
        <w:rPr>
          <w:highlight w:val="none"/>
        </w:rPr>
      </w:pPr>
      <w:r>
        <w:rPr>
          <w:rFonts w:hint="eastAsia"/>
          <w:highlight w:val="none"/>
        </w:rPr>
        <w:t>特此承诺</w:t>
      </w:r>
      <w:r>
        <w:rPr>
          <w:highlight w:val="none"/>
        </w:rPr>
        <w:t>!</w:t>
      </w:r>
    </w:p>
    <w:p>
      <w:pPr>
        <w:tabs>
          <w:tab w:val="clear" w:pos="426"/>
        </w:tabs>
        <w:adjustRightInd/>
        <w:snapToGrid/>
        <w:ind w:firstLine="420" w:firstLineChars="200"/>
        <w:rPr>
          <w:highlight w:val="none"/>
        </w:rPr>
      </w:pPr>
    </w:p>
    <w:p>
      <w:pPr>
        <w:tabs>
          <w:tab w:val="clear" w:pos="426"/>
        </w:tabs>
        <w:adjustRightInd/>
        <w:snapToGrid/>
        <w:ind w:firstLine="420" w:firstLineChars="200"/>
        <w:rPr>
          <w:highlight w:val="none"/>
        </w:rPr>
      </w:pPr>
    </w:p>
    <w:p>
      <w:pPr>
        <w:tabs>
          <w:tab w:val="clear" w:pos="426"/>
        </w:tabs>
        <w:ind w:firstLine="420"/>
        <w:rPr>
          <w:highlight w:val="none"/>
          <w:u w:val="single"/>
        </w:rPr>
      </w:pPr>
      <w:r>
        <w:rPr>
          <w:rFonts w:hint="eastAsia"/>
          <w:highlight w:val="none"/>
        </w:rPr>
        <w:t>单位名称：</w:t>
      </w:r>
      <w:r>
        <w:rPr>
          <w:highlight w:val="none"/>
          <w:u w:val="single"/>
        </w:rPr>
        <w:t>_____________________________________________________________</w:t>
      </w:r>
    </w:p>
    <w:p>
      <w:pPr>
        <w:tabs>
          <w:tab w:val="clear" w:pos="426"/>
        </w:tabs>
        <w:ind w:firstLine="420"/>
        <w:rPr>
          <w:highlight w:val="none"/>
          <w:u w:val="single"/>
        </w:rPr>
      </w:pPr>
      <w:r>
        <w:rPr>
          <w:rFonts w:hint="eastAsia"/>
          <w:highlight w:val="none"/>
        </w:rPr>
        <w:t>法定代表人或投标供应商授权代表（签名或盖章）：</w:t>
      </w:r>
      <w:r>
        <w:rPr>
          <w:highlight w:val="none"/>
          <w:u w:val="single"/>
        </w:rPr>
        <w:t>_________________________</w:t>
      </w:r>
    </w:p>
    <w:p>
      <w:pPr>
        <w:tabs>
          <w:tab w:val="clear" w:pos="426"/>
        </w:tabs>
        <w:ind w:firstLine="420"/>
        <w:rPr>
          <w:highlight w:val="none"/>
          <w:u w:val="single"/>
        </w:rPr>
      </w:pPr>
      <w:r>
        <w:rPr>
          <w:rFonts w:hint="eastAsia"/>
          <w:highlight w:val="none"/>
        </w:rPr>
        <w:t>单位地址：</w:t>
      </w:r>
      <w:r>
        <w:rPr>
          <w:highlight w:val="none"/>
          <w:u w:val="single"/>
        </w:rPr>
        <w:t>_____________________________________________________________</w:t>
      </w:r>
    </w:p>
    <w:p>
      <w:pPr>
        <w:tabs>
          <w:tab w:val="clear" w:pos="426"/>
        </w:tabs>
        <w:ind w:firstLine="420"/>
        <w:rPr>
          <w:highlight w:val="none"/>
          <w:u w:val="single"/>
        </w:rPr>
      </w:pPr>
      <w:r>
        <w:rPr>
          <w:rFonts w:hint="eastAsia"/>
          <w:highlight w:val="none"/>
        </w:rPr>
        <w:t>单位公章：</w:t>
      </w:r>
      <w:r>
        <w:rPr>
          <w:highlight w:val="none"/>
          <w:u w:val="single"/>
        </w:rPr>
        <w:t>_____________________________________________________________</w:t>
      </w:r>
    </w:p>
    <w:p>
      <w:pPr>
        <w:tabs>
          <w:tab w:val="clear" w:pos="426"/>
        </w:tabs>
        <w:ind w:firstLine="420"/>
        <w:rPr>
          <w:highlight w:val="none"/>
          <w:u w:val="single"/>
        </w:rPr>
      </w:pPr>
      <w:r>
        <w:rPr>
          <w:rFonts w:hint="eastAsia"/>
          <w:highlight w:val="none"/>
        </w:rPr>
        <w:t>邮政编码：</w:t>
      </w:r>
      <w:r>
        <w:rPr>
          <w:highlight w:val="none"/>
          <w:u w:val="single"/>
        </w:rPr>
        <w:t>_______________________</w:t>
      </w:r>
      <w:r>
        <w:rPr>
          <w:rFonts w:hint="eastAsia"/>
          <w:highlight w:val="none"/>
        </w:rPr>
        <w:t>日期：</w:t>
      </w:r>
      <w:r>
        <w:rPr>
          <w:highlight w:val="none"/>
          <w:u w:val="single"/>
        </w:rPr>
        <w:t>________________________________</w:t>
      </w:r>
    </w:p>
    <w:p>
      <w:pPr>
        <w:tabs>
          <w:tab w:val="clear" w:pos="426"/>
        </w:tabs>
        <w:ind w:firstLine="420"/>
        <w:rPr>
          <w:highlight w:val="none"/>
          <w:u w:val="single"/>
        </w:rPr>
      </w:pPr>
      <w:r>
        <w:rPr>
          <w:rFonts w:hint="eastAsia"/>
          <w:highlight w:val="none"/>
        </w:rPr>
        <w:t>联系电话：</w:t>
      </w:r>
      <w:r>
        <w:rPr>
          <w:highlight w:val="none"/>
          <w:u w:val="single"/>
        </w:rPr>
        <w:t>_____________________________________________________________</w:t>
      </w:r>
    </w:p>
    <w:p>
      <w:pPr>
        <w:tabs>
          <w:tab w:val="clear" w:pos="426"/>
        </w:tabs>
        <w:rPr>
          <w:b/>
          <w:szCs w:val="21"/>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rPr>
          <w:rFonts w:hint="eastAsia" w:cs="Times New Roman"/>
          <w:bCs/>
          <w:kern w:val="2"/>
          <w:sz w:val="32"/>
          <w:szCs w:val="32"/>
          <w:highlight w:val="none"/>
        </w:rPr>
      </w:pPr>
      <w:r>
        <w:rPr>
          <w:rFonts w:hint="eastAsia" w:cs="Times New Roman"/>
          <w:bCs/>
          <w:kern w:val="2"/>
          <w:sz w:val="32"/>
          <w:szCs w:val="32"/>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8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highlight w:val="none"/>
              </w:rPr>
              <w:t>1.</w:t>
            </w:r>
            <w:r>
              <w:rPr>
                <w:rFonts w:hint="eastAsia"/>
                <w:highlight w:val="none"/>
              </w:rPr>
              <w:t>营业执照、一般纳税人资格认定税务通知书或其他可证明具有该项资格证明文件的复印件，加盖单位公章；</w:t>
            </w:r>
          </w:p>
          <w:p>
            <w:pPr>
              <w:tabs>
                <w:tab w:val="clear" w:pos="426"/>
              </w:tabs>
              <w:spacing w:line="520" w:lineRule="exact"/>
              <w:rPr>
                <w:highlight w:val="none"/>
              </w:rPr>
            </w:pPr>
            <w:r>
              <w:rPr>
                <w:highlight w:val="none"/>
              </w:rPr>
              <w:t>2.</w:t>
            </w:r>
            <w:r>
              <w:rPr>
                <w:rFonts w:hint="eastAsia"/>
                <w:highlight w:val="none"/>
              </w:rPr>
              <w:t>客户的开票资料（单位名称、纳税人识别号、地址、电话、开户行全称及账号），加盖单位公章。</w:t>
            </w:r>
          </w:p>
        </w:tc>
      </w:tr>
    </w:tbl>
    <w:p>
      <w:pPr>
        <w:tabs>
          <w:tab w:val="clear" w:pos="426"/>
        </w:tabs>
        <w:rPr>
          <w:b/>
          <w:szCs w:val="21"/>
          <w:highlight w:val="none"/>
        </w:rPr>
      </w:pP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附：缴纳招标代理服务费账号：</w:t>
      </w:r>
    </w:p>
    <w:tbl>
      <w:tblPr>
        <w:tblStyle w:val="8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highlight w:val="none"/>
              </w:rPr>
            </w:pPr>
            <w:r>
              <w:rPr>
                <w:rFonts w:hint="eastAsia"/>
                <w:b/>
                <w:szCs w:val="21"/>
                <w:highlight w:val="none"/>
              </w:rPr>
              <w:t>收款人名称</w:t>
            </w:r>
          </w:p>
        </w:tc>
        <w:tc>
          <w:tcPr>
            <w:tcW w:w="5579" w:type="dxa"/>
            <w:vAlign w:val="center"/>
          </w:tcPr>
          <w:p>
            <w:pPr>
              <w:tabs>
                <w:tab w:val="clear" w:pos="426"/>
              </w:tabs>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jc w:val="center"/>
              <w:rPr>
                <w:b/>
                <w:szCs w:val="21"/>
                <w:highlight w:val="none"/>
              </w:rPr>
            </w:pPr>
            <w:r>
              <w:rPr>
                <w:rFonts w:hint="eastAsia"/>
                <w:b/>
                <w:szCs w:val="21"/>
                <w:highlight w:val="none"/>
              </w:rPr>
              <w:t>开户银行</w:t>
            </w:r>
          </w:p>
        </w:tc>
        <w:tc>
          <w:tcPr>
            <w:tcW w:w="5579" w:type="dxa"/>
            <w:vAlign w:val="center"/>
          </w:tcPr>
          <w:p>
            <w:pPr>
              <w:tabs>
                <w:tab w:val="clear" w:pos="426"/>
              </w:tabs>
              <w:jc w:val="center"/>
              <w:rPr>
                <w:b/>
                <w:kern w:val="2"/>
                <w:szCs w:val="21"/>
                <w:highlight w:val="none"/>
              </w:rPr>
            </w:pPr>
            <w:r>
              <w:rPr>
                <w:rFonts w:hint="eastAsia"/>
                <w:highlight w:val="none"/>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ind w:firstLine="422"/>
              <w:jc w:val="center"/>
              <w:rPr>
                <w:b/>
                <w:kern w:val="2"/>
                <w:szCs w:val="21"/>
                <w:highlight w:val="none"/>
              </w:rPr>
            </w:pPr>
            <w:r>
              <w:rPr>
                <w:rFonts w:hint="eastAsia"/>
                <w:b/>
                <w:szCs w:val="21"/>
                <w:highlight w:val="none"/>
              </w:rPr>
              <w:t>账号</w:t>
            </w:r>
          </w:p>
        </w:tc>
        <w:tc>
          <w:tcPr>
            <w:tcW w:w="5579" w:type="dxa"/>
            <w:vAlign w:val="center"/>
          </w:tcPr>
          <w:p>
            <w:pPr>
              <w:tabs>
                <w:tab w:val="clear" w:pos="426"/>
              </w:tabs>
              <w:adjustRightInd/>
              <w:snapToGrid/>
              <w:spacing w:line="240" w:lineRule="exact"/>
              <w:jc w:val="center"/>
              <w:rPr>
                <w:b/>
                <w:kern w:val="2"/>
                <w:szCs w:val="21"/>
                <w:highlight w:val="none"/>
              </w:rPr>
            </w:pPr>
            <w:r>
              <w:rPr>
                <w:highlight w:val="none"/>
              </w:rPr>
              <w:t>443899991010003343618</w:t>
            </w:r>
          </w:p>
        </w:tc>
      </w:tr>
    </w:tbl>
    <w:p>
      <w:pPr>
        <w:tabs>
          <w:tab w:val="clear" w:pos="426"/>
        </w:tabs>
        <w:rPr>
          <w:rFonts w:cs="Arial"/>
          <w:bCs/>
          <w:sz w:val="24"/>
          <w:highlight w:val="none"/>
        </w:rPr>
      </w:pPr>
    </w:p>
    <w:p>
      <w:pPr>
        <w:tabs>
          <w:tab w:val="clear" w:pos="426"/>
        </w:tabs>
        <w:rPr>
          <w:rFonts w:cs="Arial"/>
          <w:bCs/>
          <w:sz w:val="24"/>
          <w:highlight w:val="none"/>
        </w:rPr>
      </w:pPr>
    </w:p>
    <w:p>
      <w:pPr>
        <w:pStyle w:val="4"/>
        <w:numPr>
          <w:ilvl w:val="0"/>
          <w:numId w:val="38"/>
        </w:numPr>
        <w:tabs>
          <w:tab w:val="clear" w:pos="1680"/>
        </w:tabs>
        <w:jc w:val="left"/>
        <w:rPr>
          <w:highlight w:val="none"/>
        </w:rPr>
      </w:pPr>
      <w:r>
        <w:rPr>
          <w:sz w:val="24"/>
          <w:highlight w:val="none"/>
        </w:rPr>
        <w:br w:type="page"/>
      </w:r>
      <w:bookmarkEnd w:id="154"/>
      <w:bookmarkEnd w:id="155"/>
      <w:bookmarkEnd w:id="156"/>
      <w:bookmarkEnd w:id="157"/>
      <w:bookmarkStart w:id="159" w:name="_Toc528170834"/>
      <w:bookmarkStart w:id="160" w:name="_Toc36822702"/>
      <w:bookmarkStart w:id="161" w:name="_Toc528675207"/>
      <w:bookmarkStart w:id="162" w:name="_Toc518464390"/>
      <w:r>
        <w:rPr>
          <w:rFonts w:hint="eastAsia"/>
          <w:highlight w:val="none"/>
        </w:rPr>
        <w:t>、招标文件要求的其他内容及投标供应商认为需要加以说明的其他内容</w:t>
      </w:r>
      <w:bookmarkEnd w:id="159"/>
      <w:bookmarkEnd w:id="160"/>
      <w:bookmarkEnd w:id="161"/>
      <w:bookmarkEnd w:id="162"/>
    </w:p>
    <w:p>
      <w:pPr>
        <w:tabs>
          <w:tab w:val="clear" w:pos="426"/>
        </w:tabs>
        <w:ind w:firstLine="424" w:firstLineChars="202"/>
        <w:rPr>
          <w:rFonts w:cs="Arial"/>
          <w:bCs/>
          <w:szCs w:val="21"/>
          <w:highlight w:val="none"/>
        </w:rPr>
      </w:pPr>
      <w:r>
        <w:rPr>
          <w:rFonts w:hint="eastAsia" w:cs="Arial"/>
          <w:bCs/>
          <w:szCs w:val="21"/>
          <w:highlight w:val="none"/>
        </w:rPr>
        <w:t>提供招标公告和评标信息中关于投标供应商的其他相关证明文件（如评标信息中涉及的各种证件（身份证除外）、设备发票等，未涉及的可以不提供）</w:t>
      </w:r>
    </w:p>
    <w:p>
      <w:pPr>
        <w:pStyle w:val="81"/>
        <w:tabs>
          <w:tab w:val="clear" w:pos="426"/>
        </w:tabs>
        <w:rPr>
          <w:highlight w:val="none"/>
        </w:rPr>
      </w:pPr>
      <w:r>
        <w:rPr>
          <w:highlight w:val="none"/>
        </w:rPr>
        <w:br w:type="page"/>
      </w:r>
      <w:bookmarkStart w:id="163" w:name="_Toc152759237"/>
      <w:bookmarkStart w:id="164" w:name="_Toc530152521"/>
      <w:bookmarkStart w:id="165" w:name="_Toc14427253"/>
      <w:r>
        <w:rPr>
          <w:rFonts w:hint="eastAsia"/>
          <w:highlight w:val="none"/>
        </w:rPr>
        <w:t>第二册通用条款</w:t>
      </w:r>
      <w:bookmarkEnd w:id="163"/>
      <w:bookmarkEnd w:id="164"/>
      <w:bookmarkEnd w:id="165"/>
    </w:p>
    <w:p>
      <w:pPr>
        <w:jc w:val="center"/>
        <w:rPr>
          <w:b/>
          <w:highlight w:val="none"/>
        </w:rPr>
      </w:pPr>
      <w:r>
        <w:rPr>
          <w:rFonts w:hint="eastAsia"/>
          <w:b/>
          <w:highlight w:val="none"/>
        </w:rPr>
        <w:t>（投标供应商须知）</w:t>
      </w:r>
    </w:p>
    <w:p>
      <w:pPr>
        <w:pStyle w:val="5"/>
        <w:numPr>
          <w:ilvl w:val="3"/>
          <w:numId w:val="0"/>
        </w:numPr>
        <w:tabs>
          <w:tab w:val="clear" w:pos="1680"/>
        </w:tabs>
        <w:rPr>
          <w:highlight w:val="none"/>
        </w:rPr>
      </w:pPr>
      <w:bookmarkStart w:id="166" w:name="_Toc529280581"/>
      <w:bookmarkStart w:id="167" w:name="_Toc14427254"/>
      <w:bookmarkStart w:id="168" w:name="_Toc152759238"/>
      <w:bookmarkStart w:id="169" w:name="_Toc530152522"/>
      <w:r>
        <w:rPr>
          <w:rFonts w:hint="eastAsia"/>
          <w:highlight w:val="none"/>
        </w:rPr>
        <w:t>第一章总则</w:t>
      </w:r>
      <w:bookmarkEnd w:id="166"/>
      <w:bookmarkEnd w:id="167"/>
      <w:bookmarkEnd w:id="168"/>
      <w:bookmarkEnd w:id="169"/>
    </w:p>
    <w:p>
      <w:pPr>
        <w:tabs>
          <w:tab w:val="clear" w:pos="426"/>
        </w:tabs>
        <w:rPr>
          <w:highlight w:val="none"/>
        </w:rPr>
      </w:pPr>
      <w:r>
        <w:rPr>
          <w:highlight w:val="none"/>
        </w:rPr>
        <w:t>1.</w:t>
      </w:r>
      <w:r>
        <w:rPr>
          <w:rFonts w:hint="eastAsia"/>
          <w:highlight w:val="none"/>
        </w:rPr>
        <w:t>通用条款说明</w:t>
      </w:r>
    </w:p>
    <w:p>
      <w:pPr>
        <w:tabs>
          <w:tab w:val="clear" w:pos="426"/>
        </w:tabs>
        <w:rPr>
          <w:highlight w:val="none"/>
        </w:rPr>
      </w:pPr>
      <w:r>
        <w:rPr>
          <w:highlight w:val="none"/>
        </w:rPr>
        <w:t>1.1</w:t>
      </w:r>
      <w:r>
        <w:rPr>
          <w:rFonts w:hint="eastAsia"/>
          <w:highlight w:val="none"/>
        </w:rPr>
        <w:t>采购代理机构发出招标文件通用条款版本，列出采购项目进行招标采购所适用的通用条款内容。如有需要，采购代理机构可以对这些条款增加附录或补充内容。</w:t>
      </w:r>
    </w:p>
    <w:p>
      <w:pPr>
        <w:tabs>
          <w:tab w:val="clear" w:pos="426"/>
        </w:tabs>
        <w:rPr>
          <w:highlight w:val="none"/>
        </w:rPr>
      </w:pPr>
      <w:r>
        <w:rPr>
          <w:highlight w:val="none"/>
        </w:rPr>
        <w:t>2</w:t>
      </w:r>
      <w:r>
        <w:rPr>
          <w:rFonts w:hint="eastAsia"/>
          <w:highlight w:val="none"/>
        </w:rPr>
        <w:t>．招标说明</w:t>
      </w:r>
    </w:p>
    <w:p>
      <w:pPr>
        <w:tabs>
          <w:tab w:val="clear" w:pos="426"/>
        </w:tabs>
        <w:rPr>
          <w:szCs w:val="21"/>
          <w:highlight w:val="none"/>
        </w:rPr>
      </w:pPr>
      <w:r>
        <w:rPr>
          <w:rFonts w:hint="eastAsia"/>
          <w:highlight w:val="none"/>
        </w:rPr>
        <w:t>本项目按照《中华人民共和国政府采购法》《中华人民共和国政府采购法实施条例》的规定，并参考有关法规、政策、规章、规定通过招标择优选定供应商。</w:t>
      </w:r>
      <w:r>
        <w:rPr>
          <w:rFonts w:hint="eastAsia"/>
          <w:szCs w:val="21"/>
          <w:highlight w:val="none"/>
        </w:rPr>
        <w:t>本招标文件适用于招标公告中所述项目的政府采购。</w:t>
      </w:r>
    </w:p>
    <w:p>
      <w:pPr>
        <w:tabs>
          <w:tab w:val="clear" w:pos="426"/>
        </w:tabs>
        <w:rPr>
          <w:szCs w:val="21"/>
          <w:highlight w:val="none"/>
        </w:rPr>
      </w:pPr>
      <w:r>
        <w:rPr>
          <w:rFonts w:hint="eastAsia"/>
          <w:szCs w:val="21"/>
          <w:highlight w:val="none"/>
        </w:rPr>
        <w:t>本招标文件的解释权归属深圳市深水水务咨询有限公司。</w:t>
      </w:r>
    </w:p>
    <w:p>
      <w:pPr>
        <w:tabs>
          <w:tab w:val="clear" w:pos="426"/>
        </w:tabs>
        <w:rPr>
          <w:highlight w:val="none"/>
        </w:rPr>
      </w:pPr>
      <w:r>
        <w:rPr>
          <w:highlight w:val="none"/>
        </w:rPr>
        <w:t>3</w:t>
      </w:r>
      <w:r>
        <w:rPr>
          <w:rFonts w:hint="eastAsia"/>
          <w:highlight w:val="none"/>
        </w:rPr>
        <w:t>．定义</w:t>
      </w:r>
    </w:p>
    <w:p>
      <w:pPr>
        <w:tabs>
          <w:tab w:val="clear" w:pos="426"/>
        </w:tabs>
        <w:rPr>
          <w:highlight w:val="none"/>
        </w:rPr>
      </w:pPr>
      <w:r>
        <w:rPr>
          <w:rFonts w:hint="eastAsia"/>
          <w:highlight w:val="none"/>
        </w:rPr>
        <w:t>招标文件中下列术语应解释为：</w:t>
      </w:r>
    </w:p>
    <w:p>
      <w:pPr>
        <w:tabs>
          <w:tab w:val="clear" w:pos="426"/>
        </w:tabs>
        <w:rPr>
          <w:highlight w:val="none"/>
        </w:rPr>
      </w:pPr>
      <w:r>
        <w:rPr>
          <w:szCs w:val="21"/>
          <w:highlight w:val="none"/>
        </w:rPr>
        <w:t>3.1</w:t>
      </w:r>
      <w:r>
        <w:rPr>
          <w:rFonts w:hint="eastAsia"/>
          <w:szCs w:val="21"/>
          <w:highlight w:val="none"/>
        </w:rPr>
        <w:t>“采购代理机构”</w:t>
      </w:r>
      <w:r>
        <w:rPr>
          <w:rFonts w:hint="eastAsia"/>
          <w:highlight w:val="none"/>
        </w:rPr>
        <w:t>系指政府设立的负责本级财政性资金的集中采购和招标组织工作的专门机构；本项目系指深圳市深水水务咨询有限公司；</w:t>
      </w:r>
    </w:p>
    <w:p>
      <w:pPr>
        <w:tabs>
          <w:tab w:val="clear" w:pos="426"/>
        </w:tabs>
        <w:rPr>
          <w:highlight w:val="none"/>
        </w:rPr>
      </w:pPr>
      <w:r>
        <w:rPr>
          <w:highlight w:val="none"/>
        </w:rPr>
        <w:t>3.2“</w:t>
      </w:r>
      <w:r>
        <w:rPr>
          <w:rFonts w:hint="eastAsia"/>
          <w:highlight w:val="none"/>
        </w:rPr>
        <w:t>采购人</w:t>
      </w:r>
      <w:r>
        <w:rPr>
          <w:highlight w:val="none"/>
        </w:rPr>
        <w:t>”</w:t>
      </w:r>
      <w:r>
        <w:rPr>
          <w:rFonts w:hint="eastAsia"/>
          <w:highlight w:val="none"/>
        </w:rPr>
        <w:t>或</w:t>
      </w:r>
      <w:r>
        <w:rPr>
          <w:highlight w:val="none"/>
        </w:rPr>
        <w:t>“</w:t>
      </w:r>
      <w:r>
        <w:rPr>
          <w:rFonts w:hint="eastAsia"/>
          <w:highlight w:val="none"/>
        </w:rPr>
        <w:t>采购人</w:t>
      </w:r>
      <w:r>
        <w:rPr>
          <w:highlight w:val="none"/>
        </w:rPr>
        <w:t>”</w:t>
      </w:r>
      <w:r>
        <w:rPr>
          <w:rFonts w:hint="eastAsia"/>
          <w:highlight w:val="none"/>
        </w:rPr>
        <w:t>：系指利用财政性资金依法进行采购的国家机关、事业单位、团体组织；</w:t>
      </w:r>
    </w:p>
    <w:p>
      <w:pPr>
        <w:tabs>
          <w:tab w:val="clear" w:pos="426"/>
        </w:tabs>
        <w:rPr>
          <w:highlight w:val="none"/>
        </w:rPr>
      </w:pPr>
      <w:r>
        <w:rPr>
          <w:highlight w:val="none"/>
        </w:rPr>
        <w:t>3.3“</w:t>
      </w:r>
      <w:r>
        <w:rPr>
          <w:rFonts w:hint="eastAsia"/>
          <w:highlight w:val="none"/>
        </w:rPr>
        <w:t>投标供应商</w:t>
      </w:r>
      <w:r>
        <w:rPr>
          <w:highlight w:val="none"/>
        </w:rPr>
        <w:t>”</w:t>
      </w:r>
      <w:r>
        <w:rPr>
          <w:rFonts w:hint="eastAsia"/>
          <w:highlight w:val="none"/>
        </w:rPr>
        <w:t>或</w:t>
      </w:r>
      <w:r>
        <w:rPr>
          <w:highlight w:val="none"/>
        </w:rPr>
        <w:t>“</w:t>
      </w:r>
      <w:r>
        <w:rPr>
          <w:rFonts w:hint="eastAsia"/>
          <w:highlight w:val="none"/>
        </w:rPr>
        <w:t>投标方</w:t>
      </w:r>
      <w:r>
        <w:rPr>
          <w:highlight w:val="none"/>
        </w:rPr>
        <w:t>”</w:t>
      </w:r>
      <w:r>
        <w:rPr>
          <w:rFonts w:hint="eastAsia"/>
          <w:highlight w:val="none"/>
        </w:rPr>
        <w:t>，即供应商，是指参加投标竞争并愿意按照招标文件要求向采购人提供货物、工程或者服务的依法成立的法人、其他组织或者自然人；</w:t>
      </w:r>
    </w:p>
    <w:p>
      <w:pPr>
        <w:tabs>
          <w:tab w:val="clear" w:pos="426"/>
        </w:tabs>
        <w:rPr>
          <w:highlight w:val="none"/>
        </w:rPr>
      </w:pPr>
      <w:r>
        <w:rPr>
          <w:highlight w:val="none"/>
        </w:rPr>
        <w:t>3.4“</w:t>
      </w:r>
      <w:r>
        <w:rPr>
          <w:rFonts w:hint="eastAsia"/>
          <w:highlight w:val="none"/>
        </w:rPr>
        <w:t>评标委员会</w:t>
      </w:r>
      <w:r>
        <w:rPr>
          <w:highlight w:val="none"/>
        </w:rPr>
        <w:t>”</w:t>
      </w:r>
      <w:r>
        <w:rPr>
          <w:rFonts w:hint="eastAsia"/>
          <w:highlight w:val="none"/>
        </w:rPr>
        <w:t>和</w:t>
      </w:r>
      <w:r>
        <w:rPr>
          <w:highlight w:val="none"/>
        </w:rPr>
        <w:t>“</w:t>
      </w:r>
      <w:r>
        <w:rPr>
          <w:rFonts w:hint="eastAsia"/>
          <w:highlight w:val="none"/>
        </w:rPr>
        <w:t>谈判小组</w:t>
      </w:r>
      <w:r>
        <w:rPr>
          <w:highlight w:val="none"/>
        </w:rPr>
        <w:t>”</w:t>
      </w:r>
      <w:r>
        <w:rPr>
          <w:rFonts w:hint="eastAsia"/>
          <w:highlight w:val="none"/>
        </w:rPr>
        <w:t>是依据有关规定组建的专门负责本次招标其评标（谈判）工作的临时性机构；</w:t>
      </w:r>
    </w:p>
    <w:p>
      <w:pPr>
        <w:tabs>
          <w:tab w:val="clear" w:pos="426"/>
        </w:tabs>
        <w:rPr>
          <w:highlight w:val="none"/>
        </w:rPr>
      </w:pPr>
      <w:r>
        <w:rPr>
          <w:highlight w:val="none"/>
        </w:rPr>
        <w:t>3.5“</w:t>
      </w:r>
      <w:r>
        <w:rPr>
          <w:rFonts w:hint="eastAsia"/>
          <w:highlight w:val="none"/>
        </w:rPr>
        <w:t>日期</w:t>
      </w:r>
      <w:r>
        <w:rPr>
          <w:highlight w:val="none"/>
        </w:rPr>
        <w:t>”</w:t>
      </w:r>
      <w:r>
        <w:rPr>
          <w:rFonts w:hint="eastAsia"/>
          <w:highlight w:val="none"/>
        </w:rPr>
        <w:t>指公历日；</w:t>
      </w:r>
    </w:p>
    <w:p>
      <w:pPr>
        <w:tabs>
          <w:tab w:val="clear" w:pos="426"/>
        </w:tabs>
        <w:rPr>
          <w:highlight w:val="none"/>
        </w:rPr>
      </w:pPr>
      <w:r>
        <w:rPr>
          <w:highlight w:val="none"/>
        </w:rPr>
        <w:t>3.6“</w:t>
      </w:r>
      <w:r>
        <w:rPr>
          <w:rFonts w:hint="eastAsia"/>
          <w:highlight w:val="none"/>
        </w:rPr>
        <w:t>合同</w:t>
      </w:r>
      <w:r>
        <w:rPr>
          <w:highlight w:val="none"/>
        </w:rPr>
        <w:t>”</w:t>
      </w:r>
      <w:r>
        <w:rPr>
          <w:rFonts w:hint="eastAsia"/>
          <w:highlight w:val="none"/>
        </w:rPr>
        <w:t>指由本次招标所产生的合同或合约文件；</w:t>
      </w:r>
    </w:p>
    <w:p>
      <w:pPr>
        <w:tabs>
          <w:tab w:val="clear" w:pos="426"/>
        </w:tabs>
        <w:rPr>
          <w:highlight w:val="none"/>
        </w:rPr>
      </w:pPr>
      <w:r>
        <w:rPr>
          <w:highlight w:val="none"/>
        </w:rPr>
        <w:t>3.7</w:t>
      </w:r>
      <w:r>
        <w:rPr>
          <w:rFonts w:hint="eastAsia"/>
          <w:highlight w:val="none"/>
        </w:rPr>
        <w:t>招标文件中的标题或题名仅起引导作用，而不应视为对招标文件内容的理解和解释。</w:t>
      </w:r>
    </w:p>
    <w:p>
      <w:pPr>
        <w:tabs>
          <w:tab w:val="clear" w:pos="426"/>
        </w:tabs>
        <w:rPr>
          <w:highlight w:val="none"/>
        </w:rPr>
      </w:pPr>
      <w:r>
        <w:rPr>
          <w:highlight w:val="none"/>
        </w:rPr>
        <w:t>4.</w:t>
      </w:r>
      <w:r>
        <w:rPr>
          <w:rFonts w:hint="eastAsia"/>
          <w:highlight w:val="none"/>
        </w:rPr>
        <w:t>供应商责任</w:t>
      </w:r>
    </w:p>
    <w:p>
      <w:pPr>
        <w:tabs>
          <w:tab w:val="clear" w:pos="426"/>
        </w:tabs>
        <w:rPr>
          <w:highlight w:val="none"/>
        </w:rPr>
      </w:pPr>
      <w:r>
        <w:rPr>
          <w:highlight w:val="none"/>
        </w:rPr>
        <w:t>4.1</w:t>
      </w:r>
      <w:r>
        <w:rPr>
          <w:rFonts w:hint="eastAsia"/>
          <w:highlight w:val="none"/>
        </w:rPr>
        <w:t>欢迎诚信、有实力和有社会责任心的供应商参与采购事业。</w:t>
      </w:r>
    </w:p>
    <w:p>
      <w:pPr>
        <w:tabs>
          <w:tab w:val="clear" w:pos="426"/>
        </w:tabs>
        <w:rPr>
          <w:highlight w:val="none"/>
        </w:rPr>
      </w:pPr>
      <w:r>
        <w:rPr>
          <w:highlight w:val="none"/>
        </w:rPr>
        <w:t>4.2</w:t>
      </w:r>
      <w:r>
        <w:rPr>
          <w:rFonts w:hint="eastAsia"/>
          <w:highlight w:val="none"/>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highlight w:val="none"/>
        </w:rPr>
      </w:pPr>
      <w:r>
        <w:rPr>
          <w:highlight w:val="none"/>
        </w:rPr>
        <w:t>5</w:t>
      </w:r>
      <w:r>
        <w:rPr>
          <w:rFonts w:hint="eastAsia"/>
          <w:highlight w:val="none"/>
        </w:rPr>
        <w:t>．合格的投标供应商</w:t>
      </w:r>
    </w:p>
    <w:p>
      <w:pPr>
        <w:widowControl w:val="0"/>
        <w:shd w:val="clear" w:color="auto" w:fill="auto"/>
        <w:tabs>
          <w:tab w:val="clear" w:pos="426"/>
        </w:tabs>
        <w:autoSpaceDE w:val="0"/>
        <w:autoSpaceDN w:val="0"/>
        <w:rPr>
          <w:szCs w:val="21"/>
          <w:highlight w:val="none"/>
        </w:rPr>
      </w:pPr>
      <w:r>
        <w:rPr>
          <w:szCs w:val="21"/>
          <w:highlight w:val="none"/>
        </w:rPr>
        <w:t xml:space="preserve">5.1 </w:t>
      </w:r>
      <w:r>
        <w:rPr>
          <w:rFonts w:hint="eastAsia"/>
          <w:szCs w:val="21"/>
          <w:highlight w:val="none"/>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szCs w:val="21"/>
          <w:highlight w:val="none"/>
          <w:lang w:eastAsia="zh-TW"/>
        </w:rPr>
      </w:pPr>
      <w:r>
        <w:rPr>
          <w:szCs w:val="21"/>
          <w:highlight w:val="none"/>
        </w:rPr>
        <w:t xml:space="preserve">5.2 </w:t>
      </w:r>
      <w:r>
        <w:rPr>
          <w:rFonts w:hint="eastAsia"/>
          <w:szCs w:val="21"/>
          <w:highlight w:val="none"/>
          <w:lang w:eastAsia="zh-TW"/>
        </w:rPr>
        <w:t>合格的投标供应商</w:t>
      </w:r>
    </w:p>
    <w:p>
      <w:pPr>
        <w:widowControl w:val="0"/>
        <w:shd w:val="clear" w:color="auto" w:fill="auto"/>
        <w:tabs>
          <w:tab w:val="clear" w:pos="426"/>
        </w:tabs>
        <w:autoSpaceDE w:val="0"/>
        <w:autoSpaceDN w:val="0"/>
        <w:rPr>
          <w:szCs w:val="21"/>
          <w:highlight w:val="none"/>
        </w:rPr>
      </w:pPr>
      <w:r>
        <w:rPr>
          <w:szCs w:val="21"/>
          <w:highlight w:val="none"/>
        </w:rPr>
        <w:t xml:space="preserve">5.2.1 </w:t>
      </w:r>
      <w:r>
        <w:rPr>
          <w:rFonts w:hint="eastAsia"/>
          <w:szCs w:val="21"/>
          <w:highlight w:val="none"/>
        </w:rPr>
        <w:t>具有独立承担民事责任的能力。</w:t>
      </w:r>
    </w:p>
    <w:p>
      <w:pPr>
        <w:widowControl w:val="0"/>
        <w:shd w:val="clear" w:color="auto" w:fill="auto"/>
        <w:tabs>
          <w:tab w:val="clear" w:pos="426"/>
        </w:tabs>
        <w:autoSpaceDE w:val="0"/>
        <w:autoSpaceDN w:val="0"/>
        <w:rPr>
          <w:szCs w:val="21"/>
          <w:highlight w:val="none"/>
        </w:rPr>
      </w:pPr>
      <w:r>
        <w:rPr>
          <w:szCs w:val="21"/>
          <w:highlight w:val="none"/>
        </w:rPr>
        <w:t xml:space="preserve">5.2.2 </w:t>
      </w:r>
      <w:r>
        <w:rPr>
          <w:rFonts w:hint="eastAsia"/>
          <w:szCs w:val="21"/>
          <w:highlight w:val="none"/>
        </w:rPr>
        <w:t>具有良好的商业信誉和健全的财务会计制度。</w:t>
      </w:r>
    </w:p>
    <w:p>
      <w:pPr>
        <w:widowControl w:val="0"/>
        <w:shd w:val="clear" w:color="auto" w:fill="auto"/>
        <w:tabs>
          <w:tab w:val="clear" w:pos="426"/>
        </w:tabs>
        <w:autoSpaceDE w:val="0"/>
        <w:autoSpaceDN w:val="0"/>
        <w:rPr>
          <w:szCs w:val="21"/>
          <w:highlight w:val="none"/>
        </w:rPr>
      </w:pPr>
      <w:r>
        <w:rPr>
          <w:szCs w:val="21"/>
          <w:highlight w:val="none"/>
        </w:rPr>
        <w:t xml:space="preserve">5.2.3 </w:t>
      </w:r>
      <w:r>
        <w:rPr>
          <w:rFonts w:hint="eastAsia"/>
          <w:szCs w:val="21"/>
          <w:highlight w:val="none"/>
        </w:rPr>
        <w:t>具有履行合同所必需的设备和专业技术能力。</w:t>
      </w:r>
    </w:p>
    <w:p>
      <w:pPr>
        <w:widowControl w:val="0"/>
        <w:shd w:val="clear" w:color="auto" w:fill="auto"/>
        <w:tabs>
          <w:tab w:val="clear" w:pos="426"/>
        </w:tabs>
        <w:autoSpaceDE w:val="0"/>
        <w:autoSpaceDN w:val="0"/>
        <w:rPr>
          <w:szCs w:val="21"/>
          <w:highlight w:val="none"/>
        </w:rPr>
      </w:pPr>
      <w:r>
        <w:rPr>
          <w:szCs w:val="21"/>
          <w:highlight w:val="none"/>
        </w:rPr>
        <w:t xml:space="preserve">5.2.4 </w:t>
      </w:r>
      <w:r>
        <w:rPr>
          <w:rFonts w:hint="eastAsia"/>
          <w:szCs w:val="21"/>
          <w:highlight w:val="none"/>
        </w:rPr>
        <w:t>有依法缴纳税收和社会保障资金的良好记录。</w:t>
      </w:r>
    </w:p>
    <w:p>
      <w:pPr>
        <w:widowControl w:val="0"/>
        <w:shd w:val="clear" w:color="auto" w:fill="auto"/>
        <w:tabs>
          <w:tab w:val="clear" w:pos="426"/>
        </w:tabs>
        <w:autoSpaceDE w:val="0"/>
        <w:autoSpaceDN w:val="0"/>
        <w:rPr>
          <w:szCs w:val="21"/>
          <w:highlight w:val="none"/>
        </w:rPr>
      </w:pPr>
      <w:r>
        <w:rPr>
          <w:szCs w:val="21"/>
          <w:highlight w:val="none"/>
        </w:rPr>
        <w:t xml:space="preserve">5.2.5 </w:t>
      </w:r>
      <w:r>
        <w:rPr>
          <w:rFonts w:hint="eastAsia"/>
          <w:szCs w:val="21"/>
          <w:highlight w:val="none"/>
        </w:rPr>
        <w:t>参加采购活动前三年内，在经营活动中没有重大违法记录。</w:t>
      </w:r>
    </w:p>
    <w:p>
      <w:pPr>
        <w:widowControl w:val="0"/>
        <w:shd w:val="clear" w:color="auto" w:fill="auto"/>
        <w:tabs>
          <w:tab w:val="clear" w:pos="426"/>
        </w:tabs>
        <w:autoSpaceDE w:val="0"/>
        <w:autoSpaceDN w:val="0"/>
        <w:rPr>
          <w:szCs w:val="21"/>
          <w:highlight w:val="none"/>
        </w:rPr>
      </w:pPr>
      <w:r>
        <w:rPr>
          <w:szCs w:val="21"/>
          <w:highlight w:val="none"/>
        </w:rPr>
        <w:t xml:space="preserve">5.2.6 </w:t>
      </w:r>
      <w:r>
        <w:rPr>
          <w:rFonts w:hint="eastAsia"/>
          <w:szCs w:val="21"/>
          <w:highlight w:val="none"/>
        </w:rPr>
        <w:t>法律、行政法规规定的其他条件。</w:t>
      </w:r>
    </w:p>
    <w:p>
      <w:pPr>
        <w:widowControl w:val="0"/>
        <w:shd w:val="clear" w:color="auto" w:fill="auto"/>
        <w:tabs>
          <w:tab w:val="clear" w:pos="426"/>
        </w:tabs>
        <w:autoSpaceDE w:val="0"/>
        <w:autoSpaceDN w:val="0"/>
        <w:rPr>
          <w:szCs w:val="21"/>
          <w:highlight w:val="none"/>
        </w:rPr>
      </w:pPr>
      <w:r>
        <w:rPr>
          <w:szCs w:val="21"/>
          <w:highlight w:val="none"/>
        </w:rPr>
        <w:t xml:space="preserve">5.2.7 </w:t>
      </w:r>
      <w:r>
        <w:rPr>
          <w:rFonts w:hint="eastAsia"/>
          <w:szCs w:val="21"/>
          <w:highlight w:val="none"/>
        </w:rPr>
        <w:t>只有在法律上和财务上独立、合法运作并独立于采购人和代理机构的供货商才能参加投标。</w:t>
      </w:r>
    </w:p>
    <w:p>
      <w:pPr>
        <w:widowControl w:val="0"/>
        <w:shd w:val="clear" w:color="auto" w:fill="auto"/>
        <w:tabs>
          <w:tab w:val="clear" w:pos="426"/>
        </w:tabs>
        <w:autoSpaceDE w:val="0"/>
        <w:autoSpaceDN w:val="0"/>
        <w:rPr>
          <w:b/>
          <w:szCs w:val="21"/>
          <w:highlight w:val="none"/>
        </w:rPr>
      </w:pPr>
      <w:r>
        <w:rPr>
          <w:szCs w:val="21"/>
          <w:highlight w:val="none"/>
        </w:rPr>
        <w:t xml:space="preserve">5.2.8 </w:t>
      </w:r>
      <w:r>
        <w:rPr>
          <w:rFonts w:hint="eastAsia"/>
          <w:szCs w:val="21"/>
          <w:highlight w:val="none"/>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highlight w:val="none"/>
        </w:rPr>
      </w:pPr>
      <w:r>
        <w:rPr>
          <w:szCs w:val="21"/>
          <w:highlight w:val="none"/>
        </w:rPr>
        <w:t xml:space="preserve">5.2.9 </w:t>
      </w:r>
      <w:r>
        <w:rPr>
          <w:rFonts w:hint="eastAsia"/>
          <w:szCs w:val="21"/>
          <w:highlight w:val="none"/>
        </w:rPr>
        <w:t>符合</w:t>
      </w:r>
      <w:r>
        <w:rPr>
          <w:rFonts w:hint="eastAsia" w:cs="黑体"/>
          <w:szCs w:val="21"/>
          <w:highlight w:val="none"/>
        </w:rPr>
        <w:t>第一章招标公告“投标供应商资格要求”</w:t>
      </w:r>
      <w:r>
        <w:rPr>
          <w:rFonts w:hint="eastAsia"/>
          <w:szCs w:val="21"/>
          <w:highlight w:val="none"/>
        </w:rPr>
        <w:t>的条款</w:t>
      </w:r>
      <w:r>
        <w:rPr>
          <w:rFonts w:hint="eastAsia" w:cs="黑体"/>
          <w:szCs w:val="21"/>
          <w:highlight w:val="none"/>
        </w:rPr>
        <w:t>。</w:t>
      </w:r>
    </w:p>
    <w:p>
      <w:pPr>
        <w:widowControl w:val="0"/>
        <w:shd w:val="clear" w:color="auto" w:fill="auto"/>
        <w:tabs>
          <w:tab w:val="clear" w:pos="426"/>
        </w:tabs>
        <w:autoSpaceDE w:val="0"/>
        <w:autoSpaceDN w:val="0"/>
        <w:rPr>
          <w:szCs w:val="21"/>
          <w:highlight w:val="none"/>
        </w:rPr>
      </w:pPr>
      <w:r>
        <w:rPr>
          <w:szCs w:val="21"/>
          <w:highlight w:val="none"/>
        </w:rPr>
        <w:t xml:space="preserve">5.3 </w:t>
      </w:r>
      <w:r>
        <w:rPr>
          <w:rFonts w:hint="eastAsia"/>
          <w:szCs w:val="21"/>
          <w:highlight w:val="none"/>
        </w:rPr>
        <w:t>中标供应商是指经法定程序确定并授予合同的投标供应商。</w:t>
      </w:r>
    </w:p>
    <w:p>
      <w:pPr>
        <w:tabs>
          <w:tab w:val="clear" w:pos="426"/>
        </w:tabs>
        <w:rPr>
          <w:highlight w:val="none"/>
        </w:rPr>
      </w:pPr>
      <w:r>
        <w:rPr>
          <w:highlight w:val="none"/>
        </w:rPr>
        <w:t>6</w:t>
      </w:r>
      <w:r>
        <w:rPr>
          <w:rFonts w:hint="eastAsia"/>
          <w:highlight w:val="none"/>
        </w:rPr>
        <w:t>．联合体投标</w:t>
      </w:r>
    </w:p>
    <w:p>
      <w:pPr>
        <w:tabs>
          <w:tab w:val="clear" w:pos="426"/>
        </w:tabs>
        <w:rPr>
          <w:highlight w:val="none"/>
        </w:rPr>
      </w:pPr>
      <w:r>
        <w:rPr>
          <w:highlight w:val="none"/>
        </w:rPr>
        <w:t>6.1</w:t>
      </w:r>
      <w:r>
        <w:rPr>
          <w:rFonts w:hint="eastAsia"/>
          <w:highlight w:val="none"/>
        </w:rPr>
        <w:t>　以下有关联合体投标的条款仅适用于允许投标供应商组成联合体投标的项目。</w:t>
      </w:r>
    </w:p>
    <w:p>
      <w:pPr>
        <w:tabs>
          <w:tab w:val="clear" w:pos="426"/>
        </w:tabs>
        <w:rPr>
          <w:highlight w:val="none"/>
        </w:rPr>
      </w:pPr>
      <w:r>
        <w:rPr>
          <w:highlight w:val="none"/>
        </w:rPr>
        <w:t>6.2</w:t>
      </w:r>
      <w:r>
        <w:rPr>
          <w:rFonts w:hint="eastAsia"/>
          <w:highlight w:val="none"/>
        </w:rPr>
        <w:t>　由两个或两个以上的自然人、法人或者其他组织可以组成一个联合体，以一个供应商的身份共同投标时，应符合以下原则：</w:t>
      </w:r>
    </w:p>
    <w:p>
      <w:pPr>
        <w:tabs>
          <w:tab w:val="clear" w:pos="426"/>
        </w:tabs>
        <w:rPr>
          <w:highlight w:val="none"/>
        </w:rPr>
      </w:pPr>
      <w:r>
        <w:rPr>
          <w:highlight w:val="none"/>
        </w:rPr>
        <w:t>6.2.</w:t>
      </w:r>
      <w:r>
        <w:rPr>
          <w:bCs/>
          <w:highlight w:val="none"/>
        </w:rPr>
        <w:t>1</w:t>
      </w:r>
      <w:r>
        <w:rPr>
          <w:rFonts w:hint="eastAsia"/>
          <w:bCs/>
          <w:highlight w:val="none"/>
        </w:rPr>
        <w:t>投标联合体应满足招标公告有关投标供应商资格要求中对联合体的要求；</w:t>
      </w:r>
    </w:p>
    <w:p>
      <w:pPr>
        <w:tabs>
          <w:tab w:val="clear" w:pos="426"/>
        </w:tabs>
        <w:rPr>
          <w:highlight w:val="none"/>
        </w:rPr>
      </w:pPr>
      <w:r>
        <w:rPr>
          <w:highlight w:val="none"/>
        </w:rPr>
        <w:t>6.2.2</w:t>
      </w:r>
      <w:r>
        <w:rPr>
          <w:rFonts w:hint="eastAsia"/>
          <w:highlight w:val="none"/>
        </w:rPr>
        <w:t>对于招标公告中所要求投标供应商应具有的某一资质，若联合体各方均具有，则将以联合体各方中最低的资质等级作为联合体在这一资质条件上的资质等级；联合体各方的不同资质可优势互补。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highlight w:val="none"/>
        </w:rPr>
      </w:pPr>
      <w:r>
        <w:rPr>
          <w:highlight w:val="none"/>
        </w:rPr>
        <w:t>6.2.3</w:t>
      </w:r>
      <w:r>
        <w:rPr>
          <w:rFonts w:hint="eastAsia"/>
          <w:highlight w:val="none"/>
        </w:rPr>
        <w:t>投标供应商的投标文件及中标后签署的合同协议对联合体各方均具法律约束力；</w:t>
      </w:r>
    </w:p>
    <w:p>
      <w:pPr>
        <w:tabs>
          <w:tab w:val="clear" w:pos="426"/>
        </w:tabs>
        <w:rPr>
          <w:highlight w:val="none"/>
        </w:rPr>
      </w:pPr>
      <w:r>
        <w:rPr>
          <w:highlight w:val="none"/>
        </w:rPr>
        <w:t>6.2.4</w:t>
      </w:r>
      <w:r>
        <w:rPr>
          <w:rFonts w:hint="eastAsia"/>
          <w:highlight w:val="none"/>
        </w:rPr>
        <w:t>联合体各方应当签订共同投标协议，明确约定各方拟承担的工作和责任，并将该共同投标协议随投标文件一并递交给代理机构；</w:t>
      </w:r>
    </w:p>
    <w:p>
      <w:pPr>
        <w:tabs>
          <w:tab w:val="clear" w:pos="426"/>
        </w:tabs>
        <w:rPr>
          <w:highlight w:val="none"/>
        </w:rPr>
      </w:pPr>
      <w:r>
        <w:rPr>
          <w:highlight w:val="none"/>
        </w:rPr>
        <w:t>6.2.5</w:t>
      </w:r>
      <w:r>
        <w:rPr>
          <w:rFonts w:hint="eastAsia"/>
          <w:highlight w:val="none"/>
        </w:rPr>
        <w:t>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highlight w:val="none"/>
        </w:rPr>
      </w:pPr>
      <w:r>
        <w:rPr>
          <w:highlight w:val="none"/>
        </w:rPr>
        <w:t>6.2.6</w:t>
      </w:r>
      <w:r>
        <w:rPr>
          <w:rFonts w:hint="eastAsia"/>
          <w:highlight w:val="none"/>
        </w:rPr>
        <w:t>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highlight w:val="none"/>
        </w:rPr>
      </w:pPr>
      <w:r>
        <w:rPr>
          <w:highlight w:val="none"/>
        </w:rPr>
        <w:t>6.2.7</w:t>
      </w:r>
      <w:r>
        <w:rPr>
          <w:rFonts w:hint="eastAsia"/>
          <w:highlight w:val="none"/>
        </w:rPr>
        <w:t>除非另有规定或说明，本须知中</w:t>
      </w:r>
      <w:r>
        <w:rPr>
          <w:highlight w:val="none"/>
        </w:rPr>
        <w:t>“</w:t>
      </w:r>
      <w:r>
        <w:rPr>
          <w:rFonts w:hint="eastAsia"/>
          <w:highlight w:val="none"/>
        </w:rPr>
        <w:t>投标供应商</w:t>
      </w:r>
      <w:r>
        <w:rPr>
          <w:highlight w:val="none"/>
        </w:rPr>
        <w:t>”</w:t>
      </w:r>
      <w:r>
        <w:rPr>
          <w:rFonts w:hint="eastAsia"/>
          <w:highlight w:val="none"/>
        </w:rPr>
        <w:t>一词亦指联合体各方。</w:t>
      </w:r>
    </w:p>
    <w:p>
      <w:pPr>
        <w:tabs>
          <w:tab w:val="clear" w:pos="426"/>
        </w:tabs>
        <w:rPr>
          <w:highlight w:val="none"/>
        </w:rPr>
      </w:pPr>
      <w:r>
        <w:rPr>
          <w:highlight w:val="none"/>
        </w:rPr>
        <w:t xml:space="preserve">7. </w:t>
      </w:r>
      <w:r>
        <w:rPr>
          <w:rFonts w:hint="eastAsia"/>
          <w:highlight w:val="none"/>
        </w:rPr>
        <w:t>合格的服务和货物</w:t>
      </w:r>
    </w:p>
    <w:p>
      <w:pPr>
        <w:widowControl w:val="0"/>
        <w:shd w:val="clear" w:color="auto" w:fill="auto"/>
        <w:tabs>
          <w:tab w:val="clear" w:pos="426"/>
        </w:tabs>
        <w:autoSpaceDE w:val="0"/>
        <w:autoSpaceDN w:val="0"/>
        <w:rPr>
          <w:szCs w:val="21"/>
          <w:highlight w:val="none"/>
        </w:rPr>
      </w:pPr>
      <w:r>
        <w:rPr>
          <w:szCs w:val="21"/>
          <w:highlight w:val="none"/>
        </w:rPr>
        <w:t xml:space="preserve">7.1 </w:t>
      </w:r>
      <w:r>
        <w:rPr>
          <w:rFonts w:hint="eastAsia"/>
          <w:szCs w:val="21"/>
          <w:highlight w:val="none"/>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highlight w:val="none"/>
        </w:rPr>
      </w:pPr>
      <w:r>
        <w:rPr>
          <w:szCs w:val="21"/>
          <w:highlight w:val="none"/>
        </w:rPr>
        <w:t xml:space="preserve">7.2 </w:t>
      </w:r>
      <w:r>
        <w:rPr>
          <w:rFonts w:hint="eastAsia"/>
          <w:szCs w:val="21"/>
          <w:highlight w:val="none"/>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highlight w:val="none"/>
        </w:rPr>
      </w:pPr>
      <w:r>
        <w:rPr>
          <w:szCs w:val="21"/>
          <w:highlight w:val="none"/>
        </w:rPr>
        <w:t xml:space="preserve">7.3 </w:t>
      </w:r>
      <w:r>
        <w:rPr>
          <w:rFonts w:hint="eastAsia"/>
          <w:szCs w:val="21"/>
          <w:highlight w:val="none"/>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highlight w:val="none"/>
        </w:rPr>
      </w:pPr>
      <w:r>
        <w:rPr>
          <w:szCs w:val="21"/>
          <w:highlight w:val="none"/>
        </w:rPr>
        <w:t xml:space="preserve">7.4 </w:t>
      </w:r>
      <w:r>
        <w:rPr>
          <w:rFonts w:hint="eastAsia"/>
          <w:szCs w:val="21"/>
          <w:highlight w:val="none"/>
        </w:rPr>
        <w:t>采购人有权拒绝接受任何不合格的服务，由此产生的费用及相关后果均由供应商自行承担。</w:t>
      </w:r>
    </w:p>
    <w:p>
      <w:pPr>
        <w:widowControl w:val="0"/>
        <w:shd w:val="clear" w:color="auto" w:fill="auto"/>
        <w:tabs>
          <w:tab w:val="clear" w:pos="426"/>
        </w:tabs>
        <w:autoSpaceDE w:val="0"/>
        <w:autoSpaceDN w:val="0"/>
        <w:rPr>
          <w:szCs w:val="21"/>
          <w:highlight w:val="none"/>
        </w:rPr>
      </w:pPr>
      <w:r>
        <w:rPr>
          <w:szCs w:val="21"/>
          <w:highlight w:val="none"/>
        </w:rPr>
        <w:t xml:space="preserve">7.5 </w:t>
      </w:r>
      <w:r>
        <w:rPr>
          <w:rFonts w:hint="eastAsia"/>
          <w:szCs w:val="21"/>
          <w:highlight w:val="none"/>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highlight w:val="none"/>
        </w:rPr>
      </w:pPr>
      <w:r>
        <w:rPr>
          <w:highlight w:val="none"/>
        </w:rPr>
        <w:t>8</w:t>
      </w:r>
      <w:r>
        <w:rPr>
          <w:rFonts w:hint="eastAsia"/>
          <w:highlight w:val="none"/>
        </w:rPr>
        <w:t>．投标费用</w:t>
      </w:r>
    </w:p>
    <w:p>
      <w:pPr>
        <w:tabs>
          <w:tab w:val="clear" w:pos="426"/>
        </w:tabs>
        <w:rPr>
          <w:highlight w:val="none"/>
        </w:rPr>
      </w:pPr>
      <w:r>
        <w:rPr>
          <w:rFonts w:hint="eastAsia"/>
          <w:highlight w:val="none"/>
        </w:rPr>
        <w:t>不论投标结果如何，投标供应商应承担其编制投标文件与递交投标文件所涉及的一切费用。</w:t>
      </w:r>
      <w:r>
        <w:rPr>
          <w:rFonts w:hint="eastAsia"/>
          <w:szCs w:val="21"/>
          <w:highlight w:val="none"/>
          <w:lang w:eastAsia="zh-TW"/>
        </w:rPr>
        <w:t>不论投标的结果如何</w:t>
      </w:r>
      <w:r>
        <w:rPr>
          <w:rFonts w:hint="eastAsia"/>
          <w:szCs w:val="21"/>
          <w:highlight w:val="none"/>
        </w:rPr>
        <w:t>，</w:t>
      </w:r>
      <w:r>
        <w:rPr>
          <w:rFonts w:hint="eastAsia"/>
          <w:szCs w:val="21"/>
          <w:highlight w:val="none"/>
          <w:lang w:eastAsia="zh-TW"/>
        </w:rPr>
        <w:t>招标采购人均无义务和责任承担这些费用</w:t>
      </w:r>
      <w:r>
        <w:rPr>
          <w:rFonts w:hint="eastAsia"/>
          <w:szCs w:val="21"/>
          <w:highlight w:val="none"/>
        </w:rPr>
        <w:t>。</w:t>
      </w:r>
    </w:p>
    <w:p>
      <w:pPr>
        <w:tabs>
          <w:tab w:val="clear" w:pos="426"/>
        </w:tabs>
        <w:rPr>
          <w:highlight w:val="none"/>
        </w:rPr>
      </w:pPr>
      <w:r>
        <w:rPr>
          <w:highlight w:val="none"/>
        </w:rPr>
        <w:t>9</w:t>
      </w:r>
      <w:r>
        <w:rPr>
          <w:rFonts w:hint="eastAsia"/>
          <w:highlight w:val="none"/>
        </w:rPr>
        <w:t>．踏勘现场</w:t>
      </w:r>
    </w:p>
    <w:p>
      <w:pPr>
        <w:tabs>
          <w:tab w:val="clear" w:pos="426"/>
        </w:tabs>
        <w:rPr>
          <w:highlight w:val="none"/>
        </w:rPr>
      </w:pPr>
      <w:r>
        <w:rPr>
          <w:highlight w:val="none"/>
        </w:rPr>
        <w:t>9.1</w:t>
      </w:r>
      <w:r>
        <w:rPr>
          <w:rFonts w:hint="eastAsia"/>
          <w:highlight w:val="none"/>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pPr>
        <w:tabs>
          <w:tab w:val="clear" w:pos="426"/>
        </w:tabs>
        <w:rPr>
          <w:highlight w:val="none"/>
        </w:rPr>
      </w:pPr>
      <w:r>
        <w:rPr>
          <w:highlight w:val="none"/>
        </w:rPr>
        <w:t>9.2</w:t>
      </w:r>
      <w:r>
        <w:rPr>
          <w:rFonts w:hint="eastAsia"/>
          <w:highlight w:val="none"/>
        </w:rPr>
        <w:t>投标供应商及其人员经过采购人的允许，可以踏勘目的进入采购人的项目现场。若本项目招标文件要求投标供应商于统一时间地点踏勘现场的，投标供应商按时前往。</w:t>
      </w:r>
    </w:p>
    <w:p>
      <w:pPr>
        <w:tabs>
          <w:tab w:val="clear" w:pos="426"/>
        </w:tabs>
        <w:rPr>
          <w:highlight w:val="none"/>
        </w:rPr>
      </w:pPr>
      <w:r>
        <w:rPr>
          <w:highlight w:val="none"/>
        </w:rPr>
        <w:t>9.3</w:t>
      </w:r>
      <w:r>
        <w:rPr>
          <w:rFonts w:hint="eastAsia"/>
          <w:highlight w:val="none"/>
        </w:rPr>
        <w:t>采购人必须通过采购代理机构向投标供应商提供有关现场的资料和数据。</w:t>
      </w:r>
    </w:p>
    <w:p>
      <w:pPr>
        <w:tabs>
          <w:tab w:val="clear" w:pos="426"/>
        </w:tabs>
        <w:rPr>
          <w:highlight w:val="none"/>
        </w:rPr>
      </w:pPr>
      <w:r>
        <w:rPr>
          <w:highlight w:val="none"/>
        </w:rPr>
        <w:t>9.4</w:t>
      </w:r>
      <w:r>
        <w:rPr>
          <w:rFonts w:hint="eastAsia"/>
          <w:highlight w:val="none"/>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highlight w:val="none"/>
        </w:rPr>
      </w:pPr>
      <w:r>
        <w:rPr>
          <w:highlight w:val="none"/>
        </w:rPr>
        <w:t xml:space="preserve">9.5 </w:t>
      </w:r>
      <w:r>
        <w:rPr>
          <w:rFonts w:hint="eastAsia"/>
          <w:highlight w:val="none"/>
        </w:rPr>
        <w:t>未参与现场踏勘不作为否定投标供应商资格的理由。</w:t>
      </w:r>
    </w:p>
    <w:p>
      <w:pPr>
        <w:tabs>
          <w:tab w:val="clear" w:pos="426"/>
        </w:tabs>
        <w:rPr>
          <w:highlight w:val="none"/>
        </w:rPr>
      </w:pPr>
      <w:r>
        <w:rPr>
          <w:highlight w:val="none"/>
        </w:rPr>
        <w:t>10</w:t>
      </w:r>
      <w:r>
        <w:rPr>
          <w:rFonts w:hint="eastAsia"/>
          <w:highlight w:val="none"/>
        </w:rPr>
        <w:t>．招标答疑</w:t>
      </w:r>
    </w:p>
    <w:p>
      <w:pPr>
        <w:tabs>
          <w:tab w:val="clear" w:pos="426"/>
        </w:tabs>
        <w:rPr>
          <w:highlight w:val="none"/>
        </w:rPr>
      </w:pPr>
      <w:r>
        <w:rPr>
          <w:highlight w:val="none"/>
        </w:rPr>
        <w:t>10.1</w:t>
      </w:r>
      <w:r>
        <w:rPr>
          <w:rFonts w:hint="eastAsia"/>
          <w:highlight w:val="none"/>
        </w:rPr>
        <w:t>招标答疑的目的是澄清、解答投标供应商在查阅招标文件后或现场踏勘中可能提出的与投标有关的疑问或询问。</w:t>
      </w:r>
    </w:p>
    <w:p>
      <w:pPr>
        <w:tabs>
          <w:tab w:val="clear" w:pos="426"/>
        </w:tabs>
        <w:rPr>
          <w:highlight w:val="none"/>
        </w:rPr>
      </w:pPr>
      <w:r>
        <w:rPr>
          <w:highlight w:val="none"/>
        </w:rPr>
        <w:t>10.2</w:t>
      </w:r>
      <w:r>
        <w:rPr>
          <w:rFonts w:hint="eastAsia"/>
          <w:highlight w:val="none"/>
        </w:rPr>
        <w:t>投标供应商提出的与投标有关的问题须在招标文件规定的答疑截止时间前以“质疑函</w:t>
      </w:r>
      <w:r>
        <w:rPr>
          <w:highlight w:val="none"/>
        </w:rPr>
        <w:t>”</w:t>
      </w:r>
      <w:r>
        <w:rPr>
          <w:rFonts w:hint="eastAsia"/>
          <w:highlight w:val="none"/>
        </w:rPr>
        <w:t>的形式提交给采购代理机构，质疑函应该加盖质疑单位公章。</w:t>
      </w:r>
    </w:p>
    <w:p>
      <w:pPr>
        <w:tabs>
          <w:tab w:val="clear" w:pos="426"/>
        </w:tabs>
        <w:rPr>
          <w:highlight w:val="none"/>
        </w:rPr>
      </w:pPr>
      <w:r>
        <w:rPr>
          <w:highlight w:val="none"/>
        </w:rPr>
        <w:t>10.3</w:t>
      </w:r>
      <w:r>
        <w:rPr>
          <w:rFonts w:hint="eastAsia"/>
          <w:highlight w:val="none"/>
        </w:rPr>
        <w:t>采购代理机构对疑问所做出的澄清和解答，以书面答复（包括网站发布信息）为准。答疑纪要的有效性规定按照本通用条款第</w:t>
      </w:r>
      <w:r>
        <w:rPr>
          <w:highlight w:val="none"/>
        </w:rPr>
        <w:t>13.3.13.4</w:t>
      </w:r>
      <w:r>
        <w:rPr>
          <w:rFonts w:hint="eastAsia"/>
          <w:highlight w:val="none"/>
        </w:rPr>
        <w:t>款规定执行。</w:t>
      </w:r>
    </w:p>
    <w:p>
      <w:pPr>
        <w:tabs>
          <w:tab w:val="clear" w:pos="426"/>
        </w:tabs>
        <w:rPr>
          <w:highlight w:val="none"/>
        </w:rPr>
      </w:pPr>
      <w:r>
        <w:rPr>
          <w:highlight w:val="none"/>
        </w:rPr>
        <w:t>10.4</w:t>
      </w:r>
      <w:r>
        <w:rPr>
          <w:rFonts w:hint="eastAsia"/>
          <w:highlight w:val="none"/>
        </w:rPr>
        <w:t>如采购代理机构认为有必要组织现场答疑会，投标供应商应按照招标文件规定的时间或采购代理机构另行书面通知（包括网站发布的通知）的时间和地点，参与现场答疑会。</w:t>
      </w:r>
    </w:p>
    <w:p>
      <w:pPr>
        <w:tabs>
          <w:tab w:val="clear" w:pos="426"/>
        </w:tabs>
        <w:rPr>
          <w:highlight w:val="none"/>
        </w:rPr>
      </w:pPr>
      <w:r>
        <w:rPr>
          <w:highlight w:val="none"/>
        </w:rPr>
        <w:t>10.5</w:t>
      </w:r>
      <w:r>
        <w:rPr>
          <w:rFonts w:hint="eastAsia"/>
          <w:highlight w:val="none"/>
        </w:rPr>
        <w:t>未参与招标答疑不作为否定投标供应商资格的理由。</w:t>
      </w:r>
    </w:p>
    <w:p>
      <w:pPr>
        <w:pStyle w:val="5"/>
        <w:numPr>
          <w:ilvl w:val="3"/>
          <w:numId w:val="0"/>
        </w:numPr>
        <w:shd w:val="clear" w:color="auto" w:fill="auto"/>
        <w:tabs>
          <w:tab w:val="clear" w:pos="1680"/>
        </w:tabs>
        <w:rPr>
          <w:rFonts w:hint="eastAsia" w:cs="Times New Roman"/>
          <w:highlight w:val="none"/>
        </w:rPr>
      </w:pPr>
      <w:bookmarkStart w:id="170" w:name="_Toc530152523"/>
      <w:bookmarkStart w:id="171" w:name="_Toc529280582"/>
      <w:bookmarkStart w:id="172" w:name="_Toc152759239"/>
      <w:bookmarkStart w:id="173" w:name="_Toc14427255"/>
      <w:r>
        <w:rPr>
          <w:rFonts w:hint="eastAsia" w:cs="Times New Roman"/>
          <w:highlight w:val="none"/>
        </w:rPr>
        <w:t>第二章招标文件</w:t>
      </w:r>
      <w:bookmarkEnd w:id="170"/>
      <w:bookmarkEnd w:id="171"/>
      <w:bookmarkEnd w:id="172"/>
      <w:bookmarkEnd w:id="173"/>
    </w:p>
    <w:p>
      <w:pPr>
        <w:tabs>
          <w:tab w:val="clear" w:pos="426"/>
        </w:tabs>
        <w:rPr>
          <w:highlight w:val="none"/>
        </w:rPr>
      </w:pPr>
      <w:r>
        <w:rPr>
          <w:highlight w:val="none"/>
        </w:rPr>
        <w:t>11</w:t>
      </w:r>
      <w:r>
        <w:rPr>
          <w:rFonts w:hint="eastAsia"/>
          <w:highlight w:val="none"/>
        </w:rPr>
        <w:t>．招标文件的编制与组成</w:t>
      </w:r>
    </w:p>
    <w:p>
      <w:pPr>
        <w:tabs>
          <w:tab w:val="clear" w:pos="426"/>
        </w:tabs>
        <w:rPr>
          <w:highlight w:val="none"/>
        </w:rPr>
      </w:pPr>
      <w:r>
        <w:rPr>
          <w:highlight w:val="none"/>
        </w:rPr>
        <w:t>11.1</w:t>
      </w:r>
      <w:r>
        <w:rPr>
          <w:rFonts w:hint="eastAsia"/>
          <w:highlight w:val="none"/>
        </w:rPr>
        <w:t>招标文件除以下内容外，采购代理机构在招标（或谈判）期间发出的答疑纪要和其他补充修改函件，均是招标文件的组成部分，对投标供应商起约束作用；</w:t>
      </w:r>
    </w:p>
    <w:p>
      <w:pPr>
        <w:tabs>
          <w:tab w:val="clear" w:pos="426"/>
        </w:tabs>
        <w:rPr>
          <w:highlight w:val="none"/>
        </w:rPr>
      </w:pPr>
      <w:r>
        <w:rPr>
          <w:rFonts w:hint="eastAsia"/>
          <w:highlight w:val="none"/>
        </w:rPr>
        <w:t>招标文件包括下列内容：</w:t>
      </w:r>
    </w:p>
    <w:p>
      <w:pPr>
        <w:tabs>
          <w:tab w:val="clear" w:pos="426"/>
        </w:tabs>
        <w:rPr>
          <w:highlight w:val="none"/>
        </w:rPr>
      </w:pPr>
      <w:r>
        <w:rPr>
          <w:rFonts w:hint="eastAsia"/>
          <w:highlight w:val="none"/>
        </w:rPr>
        <w:t>项目关键信息</w:t>
      </w:r>
    </w:p>
    <w:p>
      <w:pPr>
        <w:tabs>
          <w:tab w:val="clear" w:pos="426"/>
        </w:tabs>
        <w:rPr>
          <w:highlight w:val="none"/>
        </w:rPr>
      </w:pPr>
      <w:r>
        <w:rPr>
          <w:rFonts w:hint="eastAsia"/>
          <w:highlight w:val="none"/>
        </w:rPr>
        <w:t>评标信息</w:t>
      </w:r>
    </w:p>
    <w:p>
      <w:pPr>
        <w:tabs>
          <w:tab w:val="clear" w:pos="426"/>
        </w:tabs>
        <w:rPr>
          <w:highlight w:val="none"/>
        </w:rPr>
      </w:pPr>
      <w:r>
        <w:rPr>
          <w:rFonts w:hint="eastAsia"/>
          <w:highlight w:val="none"/>
        </w:rPr>
        <w:t>第一册专用条款</w:t>
      </w:r>
    </w:p>
    <w:p>
      <w:pPr>
        <w:tabs>
          <w:tab w:val="clear" w:pos="426"/>
        </w:tabs>
        <w:rPr>
          <w:highlight w:val="none"/>
        </w:rPr>
      </w:pPr>
      <w:r>
        <w:rPr>
          <w:rFonts w:hint="eastAsia"/>
          <w:highlight w:val="none"/>
        </w:rPr>
        <w:t>第一章招标公告</w:t>
      </w:r>
    </w:p>
    <w:p>
      <w:pPr>
        <w:tabs>
          <w:tab w:val="clear" w:pos="426"/>
        </w:tabs>
        <w:rPr>
          <w:highlight w:val="none"/>
        </w:rPr>
      </w:pPr>
      <w:r>
        <w:rPr>
          <w:rFonts w:hint="eastAsia"/>
          <w:highlight w:val="none"/>
        </w:rPr>
        <w:t>第二章招标项目需求</w:t>
      </w:r>
    </w:p>
    <w:p>
      <w:pPr>
        <w:tabs>
          <w:tab w:val="clear" w:pos="426"/>
        </w:tabs>
        <w:rPr>
          <w:highlight w:val="none"/>
        </w:rPr>
      </w:pPr>
      <w:r>
        <w:rPr>
          <w:rFonts w:hint="eastAsia"/>
          <w:highlight w:val="none"/>
        </w:rPr>
        <w:t>第三章合同条款及格式</w:t>
      </w:r>
    </w:p>
    <w:p>
      <w:pPr>
        <w:tabs>
          <w:tab w:val="clear" w:pos="426"/>
        </w:tabs>
        <w:rPr>
          <w:highlight w:val="none"/>
        </w:rPr>
      </w:pPr>
      <w:r>
        <w:rPr>
          <w:rFonts w:hint="eastAsia"/>
          <w:highlight w:val="none"/>
        </w:rPr>
        <w:t>第四章投标文件格式、附件</w:t>
      </w:r>
    </w:p>
    <w:p>
      <w:pPr>
        <w:tabs>
          <w:tab w:val="clear" w:pos="426"/>
        </w:tabs>
        <w:rPr>
          <w:highlight w:val="none"/>
        </w:rPr>
      </w:pPr>
      <w:r>
        <w:rPr>
          <w:rFonts w:hint="eastAsia"/>
          <w:highlight w:val="none"/>
        </w:rPr>
        <w:t>第二册通用条款</w:t>
      </w:r>
    </w:p>
    <w:p>
      <w:pPr>
        <w:tabs>
          <w:tab w:val="clear" w:pos="426"/>
        </w:tabs>
        <w:rPr>
          <w:highlight w:val="none"/>
        </w:rPr>
      </w:pPr>
      <w:r>
        <w:rPr>
          <w:rFonts w:hint="eastAsia"/>
          <w:highlight w:val="none"/>
        </w:rPr>
        <w:t>第一章总则</w:t>
      </w:r>
    </w:p>
    <w:p>
      <w:pPr>
        <w:tabs>
          <w:tab w:val="clear" w:pos="426"/>
        </w:tabs>
        <w:rPr>
          <w:highlight w:val="none"/>
        </w:rPr>
      </w:pPr>
      <w:r>
        <w:rPr>
          <w:rFonts w:hint="eastAsia"/>
          <w:highlight w:val="none"/>
        </w:rPr>
        <w:t>第二章招标文件</w:t>
      </w:r>
    </w:p>
    <w:p>
      <w:pPr>
        <w:tabs>
          <w:tab w:val="clear" w:pos="426"/>
        </w:tabs>
        <w:rPr>
          <w:highlight w:val="none"/>
        </w:rPr>
      </w:pPr>
      <w:r>
        <w:rPr>
          <w:rFonts w:hint="eastAsia"/>
          <w:highlight w:val="none"/>
        </w:rPr>
        <w:t>第三章投标文件的编制与递交</w:t>
      </w:r>
    </w:p>
    <w:p>
      <w:pPr>
        <w:tabs>
          <w:tab w:val="clear" w:pos="426"/>
        </w:tabs>
        <w:rPr>
          <w:highlight w:val="none"/>
        </w:rPr>
      </w:pPr>
      <w:r>
        <w:rPr>
          <w:rFonts w:hint="eastAsia"/>
          <w:highlight w:val="none"/>
        </w:rPr>
        <w:t>第四章开标</w:t>
      </w:r>
    </w:p>
    <w:p>
      <w:pPr>
        <w:tabs>
          <w:tab w:val="clear" w:pos="426"/>
        </w:tabs>
        <w:rPr>
          <w:highlight w:val="none"/>
        </w:rPr>
      </w:pPr>
      <w:r>
        <w:rPr>
          <w:rFonts w:hint="eastAsia"/>
          <w:highlight w:val="none"/>
        </w:rPr>
        <w:t>第五章评标要求</w:t>
      </w:r>
    </w:p>
    <w:p>
      <w:pPr>
        <w:tabs>
          <w:tab w:val="clear" w:pos="426"/>
        </w:tabs>
        <w:rPr>
          <w:highlight w:val="none"/>
        </w:rPr>
      </w:pPr>
      <w:r>
        <w:rPr>
          <w:rFonts w:hint="eastAsia"/>
          <w:highlight w:val="none"/>
        </w:rPr>
        <w:t>第六章评标程序及评标方法</w:t>
      </w:r>
    </w:p>
    <w:p>
      <w:pPr>
        <w:tabs>
          <w:tab w:val="clear" w:pos="426"/>
        </w:tabs>
        <w:rPr>
          <w:highlight w:val="none"/>
        </w:rPr>
      </w:pPr>
      <w:r>
        <w:rPr>
          <w:rFonts w:hint="eastAsia"/>
          <w:highlight w:val="none"/>
        </w:rPr>
        <w:t>第七章定标及公示</w:t>
      </w:r>
    </w:p>
    <w:p>
      <w:pPr>
        <w:tabs>
          <w:tab w:val="clear" w:pos="426"/>
        </w:tabs>
        <w:rPr>
          <w:highlight w:val="none"/>
        </w:rPr>
      </w:pPr>
      <w:r>
        <w:rPr>
          <w:rFonts w:hint="eastAsia"/>
          <w:highlight w:val="none"/>
        </w:rPr>
        <w:t>第八章公开招标失败的后续处理</w:t>
      </w:r>
    </w:p>
    <w:p>
      <w:pPr>
        <w:tabs>
          <w:tab w:val="clear" w:pos="426"/>
        </w:tabs>
        <w:rPr>
          <w:highlight w:val="none"/>
        </w:rPr>
      </w:pPr>
      <w:r>
        <w:rPr>
          <w:rFonts w:hint="eastAsia"/>
          <w:highlight w:val="none"/>
        </w:rPr>
        <w:t>第九章合同的授予与备案</w:t>
      </w:r>
    </w:p>
    <w:p>
      <w:pPr>
        <w:tabs>
          <w:tab w:val="clear" w:pos="426"/>
        </w:tabs>
        <w:rPr>
          <w:highlight w:val="none"/>
        </w:rPr>
      </w:pPr>
      <w:r>
        <w:rPr>
          <w:rFonts w:hint="eastAsia"/>
          <w:highlight w:val="none"/>
        </w:rPr>
        <w:t>第十章质疑处理</w:t>
      </w:r>
    </w:p>
    <w:p>
      <w:pPr>
        <w:tabs>
          <w:tab w:val="clear" w:pos="426"/>
        </w:tabs>
        <w:rPr>
          <w:highlight w:val="none"/>
        </w:rPr>
      </w:pPr>
      <w:r>
        <w:rPr>
          <w:highlight w:val="none"/>
        </w:rPr>
        <w:t xml:space="preserve">11.2 </w:t>
      </w:r>
      <w:r>
        <w:rPr>
          <w:rFonts w:hint="eastAsia"/>
          <w:highlight w:val="none"/>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szCs w:val="21"/>
          <w:highlight w:val="none"/>
        </w:rPr>
      </w:pPr>
      <w:r>
        <w:rPr>
          <w:szCs w:val="21"/>
          <w:highlight w:val="none"/>
        </w:rPr>
        <w:t>11.3</w:t>
      </w:r>
      <w:r>
        <w:rPr>
          <w:rFonts w:hint="eastAsia"/>
          <w:highlight w:val="none"/>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highlight w:val="none"/>
        </w:rPr>
      </w:pPr>
      <w:r>
        <w:rPr>
          <w:highlight w:val="none"/>
        </w:rPr>
        <w:t>12</w:t>
      </w:r>
      <w:r>
        <w:rPr>
          <w:rFonts w:hint="eastAsia"/>
          <w:highlight w:val="none"/>
        </w:rPr>
        <w:t>．招标文件的澄清</w:t>
      </w:r>
    </w:p>
    <w:p>
      <w:pPr>
        <w:tabs>
          <w:tab w:val="clear" w:pos="426"/>
        </w:tabs>
        <w:rPr>
          <w:highlight w:val="none"/>
        </w:rPr>
      </w:pPr>
      <w:r>
        <w:rPr>
          <w:highlight w:val="none"/>
        </w:rPr>
        <w:t>12.1</w:t>
      </w:r>
      <w:r>
        <w:rPr>
          <w:rFonts w:hint="eastAsia"/>
          <w:highlight w:val="none"/>
        </w:rPr>
        <w:t>投标供应商在收到招标文件后，对招标文件任何部分若有任何疑问，或要求澄清招标文件的，均应在招标公告规定的答疑截止时间内，按</w:t>
      </w:r>
      <w:r>
        <w:rPr>
          <w:highlight w:val="none"/>
        </w:rPr>
        <w:t>“</w:t>
      </w:r>
      <w:r>
        <w:rPr>
          <w:rFonts w:hint="eastAsia"/>
          <w:highlight w:val="none"/>
        </w:rPr>
        <w:t>质疑函</w:t>
      </w:r>
      <w:r>
        <w:rPr>
          <w:highlight w:val="none"/>
        </w:rPr>
        <w:t>”</w:t>
      </w:r>
      <w:r>
        <w:rPr>
          <w:rFonts w:hint="eastAsia"/>
          <w:highlight w:val="none"/>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highlight w:val="none"/>
        </w:rPr>
      </w:pPr>
      <w:r>
        <w:rPr>
          <w:highlight w:val="none"/>
        </w:rPr>
        <w:t>12.2</w:t>
      </w:r>
      <w:r>
        <w:rPr>
          <w:rFonts w:hint="eastAsia"/>
          <w:highlight w:val="none"/>
        </w:rPr>
        <w:t>对于没有提出澄清又参与了该项目投标的供应商将被视为完全认同该招标文件（含澄清纪要），投标截止期后不再受理针对招标文件的相关质疑或投诉。</w:t>
      </w:r>
    </w:p>
    <w:p>
      <w:pPr>
        <w:tabs>
          <w:tab w:val="clear" w:pos="426"/>
        </w:tabs>
        <w:rPr>
          <w:highlight w:val="none"/>
        </w:rPr>
      </w:pPr>
      <w:r>
        <w:rPr>
          <w:highlight w:val="none"/>
        </w:rPr>
        <w:t xml:space="preserve">12.3 </w:t>
      </w:r>
      <w:r>
        <w:rPr>
          <w:rFonts w:hint="eastAsia"/>
          <w:highlight w:val="none"/>
        </w:rPr>
        <w:t>对招标文件中描述有歧意或前后不一致的地方，评标委员会有权进行评判，但对同一条款的评判应适用于每个投标供应商。</w:t>
      </w:r>
    </w:p>
    <w:p>
      <w:pPr>
        <w:tabs>
          <w:tab w:val="clear" w:pos="426"/>
        </w:tabs>
        <w:rPr>
          <w:highlight w:val="none"/>
        </w:rPr>
      </w:pPr>
      <w:r>
        <w:rPr>
          <w:highlight w:val="none"/>
        </w:rPr>
        <w:t>13</w:t>
      </w:r>
      <w:r>
        <w:rPr>
          <w:rFonts w:hint="eastAsia"/>
          <w:highlight w:val="none"/>
        </w:rPr>
        <w:t>．招标文件的修改</w:t>
      </w:r>
    </w:p>
    <w:p>
      <w:pPr>
        <w:tabs>
          <w:tab w:val="clear" w:pos="426"/>
        </w:tabs>
        <w:rPr>
          <w:highlight w:val="none"/>
        </w:rPr>
      </w:pPr>
      <w:r>
        <w:rPr>
          <w:highlight w:val="none"/>
        </w:rPr>
        <w:t>13.1</w:t>
      </w:r>
      <w:r>
        <w:rPr>
          <w:rFonts w:hint="eastAsia"/>
          <w:highlight w:val="none"/>
        </w:rPr>
        <w:t>招标文件发出后，在投标截止日期前任何时候，确需要变更招标内容的，采购代理机构可主动地或在解答投标供应商提出的澄清问题时对招标文件进行修改；</w:t>
      </w:r>
    </w:p>
    <w:p>
      <w:pPr>
        <w:tabs>
          <w:tab w:val="clear" w:pos="426"/>
        </w:tabs>
        <w:rPr>
          <w:highlight w:val="none"/>
        </w:rPr>
      </w:pPr>
      <w:r>
        <w:rPr>
          <w:highlight w:val="none"/>
        </w:rPr>
        <w:t>13.2</w:t>
      </w:r>
      <w:r>
        <w:rPr>
          <w:rFonts w:hint="eastAsia"/>
          <w:highlight w:val="none"/>
        </w:rPr>
        <w:t>招标文件的修改以书面形式（包括网站公开发布方式）发送给所有投标供应商，招标文件的修改内容作为招标文件的组成部分，并具有约束力。</w:t>
      </w:r>
    </w:p>
    <w:p>
      <w:pPr>
        <w:tabs>
          <w:tab w:val="clear" w:pos="426"/>
        </w:tabs>
        <w:rPr>
          <w:highlight w:val="none"/>
        </w:rPr>
      </w:pPr>
      <w:r>
        <w:rPr>
          <w:highlight w:val="none"/>
        </w:rPr>
        <w:t>13.3</w:t>
      </w:r>
      <w:r>
        <w:rPr>
          <w:rFonts w:hint="eastAsia"/>
          <w:highlight w:val="none"/>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highlight w:val="none"/>
        </w:rPr>
      </w:pPr>
      <w:r>
        <w:rPr>
          <w:highlight w:val="none"/>
        </w:rPr>
        <w:t>13.4</w:t>
      </w:r>
      <w:r>
        <w:rPr>
          <w:rFonts w:hint="eastAsia"/>
          <w:highlight w:val="none"/>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numPr>
          <w:ilvl w:val="3"/>
          <w:numId w:val="0"/>
        </w:numPr>
        <w:shd w:val="clear" w:color="auto" w:fill="auto"/>
        <w:tabs>
          <w:tab w:val="clear" w:pos="1680"/>
        </w:tabs>
        <w:rPr>
          <w:rFonts w:hint="eastAsia" w:cs="Times New Roman"/>
          <w:highlight w:val="none"/>
        </w:rPr>
      </w:pPr>
      <w:bookmarkStart w:id="174" w:name="_Toc152759240"/>
      <w:bookmarkStart w:id="175" w:name="_Toc14427256"/>
      <w:bookmarkStart w:id="176" w:name="_Toc529280583"/>
      <w:bookmarkStart w:id="177" w:name="_Toc530152524"/>
      <w:r>
        <w:rPr>
          <w:rFonts w:hint="eastAsia" w:cs="Times New Roman"/>
          <w:highlight w:val="none"/>
        </w:rPr>
        <w:t>第三章投标文件的编制与递交</w:t>
      </w:r>
      <w:bookmarkEnd w:id="174"/>
      <w:bookmarkEnd w:id="175"/>
      <w:bookmarkEnd w:id="176"/>
      <w:bookmarkEnd w:id="177"/>
    </w:p>
    <w:p>
      <w:pPr>
        <w:tabs>
          <w:tab w:val="clear" w:pos="426"/>
        </w:tabs>
        <w:rPr>
          <w:highlight w:val="none"/>
        </w:rPr>
      </w:pPr>
      <w:r>
        <w:rPr>
          <w:highlight w:val="none"/>
        </w:rPr>
        <w:t>14</w:t>
      </w:r>
      <w:r>
        <w:rPr>
          <w:rFonts w:hint="eastAsia"/>
          <w:highlight w:val="none"/>
        </w:rPr>
        <w:t>．投标文件的语言及度量单位</w:t>
      </w:r>
    </w:p>
    <w:p>
      <w:pPr>
        <w:tabs>
          <w:tab w:val="clear" w:pos="426"/>
        </w:tabs>
        <w:rPr>
          <w:highlight w:val="none"/>
        </w:rPr>
      </w:pPr>
      <w:r>
        <w:rPr>
          <w:highlight w:val="none"/>
        </w:rPr>
        <w:t xml:space="preserve">14.1 </w:t>
      </w:r>
      <w:r>
        <w:rPr>
          <w:rFonts w:hint="eastAsia"/>
          <w:highlight w:val="none"/>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highlight w:val="none"/>
        </w:rPr>
      </w:pPr>
      <w:r>
        <w:rPr>
          <w:highlight w:val="none"/>
        </w:rPr>
        <w:t xml:space="preserve">14.2 </w:t>
      </w:r>
      <w:r>
        <w:rPr>
          <w:rFonts w:hint="eastAsia"/>
          <w:highlight w:val="none"/>
        </w:rPr>
        <w:t>除技术规范另有规定外，投标文件使用的度量单位，均采用中华人民共和国法定计量单位。</w:t>
      </w:r>
    </w:p>
    <w:p>
      <w:pPr>
        <w:tabs>
          <w:tab w:val="clear" w:pos="426"/>
        </w:tabs>
        <w:rPr>
          <w:highlight w:val="none"/>
        </w:rPr>
      </w:pPr>
      <w:r>
        <w:rPr>
          <w:highlight w:val="none"/>
        </w:rPr>
        <w:t>15</w:t>
      </w:r>
      <w:r>
        <w:rPr>
          <w:rFonts w:hint="eastAsia"/>
          <w:highlight w:val="none"/>
        </w:rPr>
        <w:t>．投标文件的组成</w:t>
      </w:r>
    </w:p>
    <w:p>
      <w:pPr>
        <w:tabs>
          <w:tab w:val="clear" w:pos="426"/>
        </w:tabs>
        <w:rPr>
          <w:highlight w:val="none"/>
        </w:rPr>
      </w:pPr>
      <w:r>
        <w:rPr>
          <w:rFonts w:hint="eastAsia"/>
          <w:highlight w:val="none"/>
        </w:rPr>
        <w:t>具体内容请详见本项目专用条款的相关内容。</w:t>
      </w:r>
    </w:p>
    <w:p>
      <w:pPr>
        <w:tabs>
          <w:tab w:val="clear" w:pos="426"/>
        </w:tabs>
        <w:rPr>
          <w:highlight w:val="none"/>
        </w:rPr>
      </w:pPr>
      <w:r>
        <w:rPr>
          <w:highlight w:val="none"/>
        </w:rPr>
        <w:t xml:space="preserve">16. </w:t>
      </w:r>
      <w:r>
        <w:rPr>
          <w:rFonts w:hint="eastAsia"/>
          <w:highlight w:val="none"/>
        </w:rPr>
        <w:t>投标文件格式</w:t>
      </w:r>
    </w:p>
    <w:p>
      <w:pPr>
        <w:tabs>
          <w:tab w:val="clear" w:pos="426"/>
        </w:tabs>
        <w:rPr>
          <w:highlight w:val="none"/>
        </w:rPr>
      </w:pPr>
      <w:r>
        <w:rPr>
          <w:highlight w:val="none"/>
        </w:rPr>
        <w:t>16.1</w:t>
      </w:r>
      <w:r>
        <w:rPr>
          <w:rFonts w:hint="eastAsia"/>
          <w:highlight w:val="none"/>
        </w:rPr>
        <w:t>投标文件包括本通用条款第</w:t>
      </w:r>
      <w:r>
        <w:rPr>
          <w:highlight w:val="none"/>
        </w:rPr>
        <w:t>15</w:t>
      </w:r>
      <w:r>
        <w:rPr>
          <w:rFonts w:hint="eastAsia"/>
          <w:highlight w:val="none"/>
        </w:rPr>
        <w:t>条中规定的内容。如招标文件提供了投标文件格式，则投标供应商提交的投标文件必须毫无例外地使用招标文件所提供的相应格式并统一使用</w:t>
      </w:r>
      <w:r>
        <w:rPr>
          <w:highlight w:val="none"/>
        </w:rPr>
        <w:t>A4</w:t>
      </w:r>
      <w:r>
        <w:rPr>
          <w:rFonts w:hint="eastAsia"/>
          <w:highlight w:val="none"/>
        </w:rPr>
        <w:t>篇幅（表格可以按同样格式扩展）。</w:t>
      </w:r>
    </w:p>
    <w:p>
      <w:pPr>
        <w:tabs>
          <w:tab w:val="clear" w:pos="426"/>
        </w:tabs>
        <w:rPr>
          <w:highlight w:val="none"/>
        </w:rPr>
      </w:pPr>
      <w:r>
        <w:rPr>
          <w:highlight w:val="none"/>
        </w:rPr>
        <w:t>17</w:t>
      </w:r>
      <w:r>
        <w:rPr>
          <w:rFonts w:hint="eastAsia"/>
          <w:highlight w:val="none"/>
        </w:rPr>
        <w:t>．投标货币</w:t>
      </w:r>
    </w:p>
    <w:p>
      <w:pPr>
        <w:tabs>
          <w:tab w:val="clear" w:pos="426"/>
        </w:tabs>
        <w:rPr>
          <w:highlight w:val="none"/>
        </w:rPr>
      </w:pPr>
      <w:r>
        <w:rPr>
          <w:rFonts w:hint="eastAsia"/>
          <w:highlight w:val="none"/>
        </w:rPr>
        <w:t>本项目的投标应以人民币计。</w:t>
      </w:r>
    </w:p>
    <w:p>
      <w:pPr>
        <w:widowControl w:val="0"/>
        <w:shd w:val="clear" w:color="auto" w:fill="auto"/>
        <w:tabs>
          <w:tab w:val="clear" w:pos="426"/>
        </w:tabs>
        <w:autoSpaceDE w:val="0"/>
        <w:autoSpaceDN w:val="0"/>
        <w:rPr>
          <w:highlight w:val="none"/>
        </w:rPr>
      </w:pPr>
      <w:r>
        <w:rPr>
          <w:highlight w:val="none"/>
        </w:rPr>
        <w:t xml:space="preserve">18. </w:t>
      </w:r>
      <w:r>
        <w:rPr>
          <w:rFonts w:hint="eastAsia"/>
          <w:highlight w:val="none"/>
        </w:rPr>
        <w:t>证明投标供应商合格和资格的文件</w:t>
      </w:r>
    </w:p>
    <w:p>
      <w:pPr>
        <w:widowControl w:val="0"/>
        <w:shd w:val="clear" w:color="auto" w:fill="auto"/>
        <w:tabs>
          <w:tab w:val="clear" w:pos="426"/>
        </w:tabs>
        <w:autoSpaceDE w:val="0"/>
        <w:autoSpaceDN w:val="0"/>
        <w:rPr>
          <w:rFonts w:cs="黑体"/>
          <w:b/>
          <w:bCs/>
          <w:szCs w:val="21"/>
          <w:highlight w:val="none"/>
        </w:rPr>
      </w:pPr>
      <w:r>
        <w:rPr>
          <w:szCs w:val="21"/>
          <w:highlight w:val="none"/>
        </w:rPr>
        <w:t xml:space="preserve">18.1 </w:t>
      </w:r>
      <w:r>
        <w:rPr>
          <w:rFonts w:hint="eastAsia"/>
          <w:szCs w:val="21"/>
          <w:highlight w:val="none"/>
          <w:lang w:eastAsia="zh-TW"/>
        </w:rPr>
        <w:t>投标供应商应提交证明其有资格参加投标和中标后有能力履行合同的文件</w:t>
      </w:r>
      <w:r>
        <w:rPr>
          <w:rFonts w:hint="eastAsia"/>
          <w:szCs w:val="21"/>
          <w:highlight w:val="none"/>
        </w:rPr>
        <w:t>，</w:t>
      </w:r>
      <w:r>
        <w:rPr>
          <w:rFonts w:hint="eastAsia"/>
          <w:szCs w:val="21"/>
          <w:highlight w:val="none"/>
          <w:lang w:eastAsia="zh-TW"/>
        </w:rPr>
        <w:t>并作为其投标文件的一部分。如果投标供应商为联合体</w:t>
      </w:r>
      <w:r>
        <w:rPr>
          <w:rFonts w:hint="eastAsia"/>
          <w:szCs w:val="21"/>
          <w:highlight w:val="none"/>
        </w:rPr>
        <w:t>，</w:t>
      </w:r>
      <w:r>
        <w:rPr>
          <w:rFonts w:hint="eastAsia"/>
          <w:szCs w:val="21"/>
          <w:highlight w:val="none"/>
          <w:lang w:eastAsia="zh-TW"/>
        </w:rPr>
        <w:t>应提交联合体各方的资格证明文件、</w:t>
      </w:r>
      <w:r>
        <w:rPr>
          <w:rFonts w:hint="eastAsia"/>
          <w:szCs w:val="21"/>
          <w:highlight w:val="none"/>
        </w:rPr>
        <w:t>共同投标协议</w:t>
      </w:r>
      <w:r>
        <w:rPr>
          <w:rFonts w:hint="eastAsia"/>
          <w:szCs w:val="21"/>
          <w:highlight w:val="none"/>
          <w:lang w:eastAsia="zh-TW"/>
        </w:rPr>
        <w:t>并注明</w:t>
      </w:r>
      <w:r>
        <w:rPr>
          <w:rFonts w:hint="eastAsia"/>
          <w:szCs w:val="21"/>
          <w:highlight w:val="none"/>
        </w:rPr>
        <w:t>主体方及各方拟承担的工作和责任。</w:t>
      </w:r>
      <w:r>
        <w:rPr>
          <w:rFonts w:hint="eastAsia"/>
          <w:szCs w:val="21"/>
          <w:highlight w:val="none"/>
          <w:lang w:eastAsia="zh-TW"/>
        </w:rPr>
        <w:t>否则</w:t>
      </w:r>
      <w:r>
        <w:rPr>
          <w:rFonts w:hint="eastAsia"/>
          <w:szCs w:val="21"/>
          <w:highlight w:val="none"/>
        </w:rPr>
        <w:t>，</w:t>
      </w:r>
      <w:r>
        <w:rPr>
          <w:rFonts w:hint="eastAsia"/>
          <w:szCs w:val="21"/>
          <w:highlight w:val="none"/>
          <w:lang w:eastAsia="zh-TW"/>
        </w:rPr>
        <w:t>将导致其投标</w:t>
      </w:r>
      <w:r>
        <w:rPr>
          <w:rFonts w:hint="eastAsia"/>
          <w:szCs w:val="21"/>
          <w:highlight w:val="none"/>
        </w:rPr>
        <w:t>无效。</w:t>
      </w:r>
    </w:p>
    <w:p>
      <w:pPr>
        <w:widowControl w:val="0"/>
        <w:shd w:val="clear" w:color="auto" w:fill="auto"/>
        <w:tabs>
          <w:tab w:val="clear" w:pos="426"/>
        </w:tabs>
        <w:autoSpaceDE w:val="0"/>
        <w:autoSpaceDN w:val="0"/>
        <w:rPr>
          <w:szCs w:val="21"/>
          <w:highlight w:val="none"/>
          <w:lang w:eastAsia="zh-TW"/>
        </w:rPr>
      </w:pPr>
      <w:r>
        <w:rPr>
          <w:szCs w:val="21"/>
          <w:highlight w:val="none"/>
        </w:rPr>
        <w:t xml:space="preserve">18.2 </w:t>
      </w:r>
      <w:r>
        <w:rPr>
          <w:rFonts w:hint="eastAsia"/>
          <w:szCs w:val="21"/>
          <w:highlight w:val="none"/>
          <w:lang w:eastAsia="zh-TW"/>
        </w:rPr>
        <w:t>投标供应商提交的资格证明文件应证明其</w:t>
      </w:r>
      <w:r>
        <w:rPr>
          <w:rFonts w:hint="eastAsia"/>
          <w:szCs w:val="21"/>
          <w:highlight w:val="none"/>
        </w:rPr>
        <w:t>满足</w:t>
      </w:r>
      <w:r>
        <w:rPr>
          <w:rFonts w:hint="eastAsia"/>
          <w:szCs w:val="21"/>
          <w:highlight w:val="none"/>
          <w:lang w:eastAsia="zh-TW"/>
        </w:rPr>
        <w:t>本须知定义的合格投标供应商。</w:t>
      </w:r>
    </w:p>
    <w:p>
      <w:pPr>
        <w:tabs>
          <w:tab w:val="clear" w:pos="426"/>
        </w:tabs>
        <w:rPr>
          <w:highlight w:val="none"/>
        </w:rPr>
      </w:pPr>
      <w:r>
        <w:rPr>
          <w:highlight w:val="none"/>
        </w:rPr>
        <w:t>19</w:t>
      </w:r>
      <w:r>
        <w:rPr>
          <w:rFonts w:hint="eastAsia"/>
          <w:highlight w:val="none"/>
        </w:rPr>
        <w:t>．证明投标文件投标技术方案的合格性和符合招标文件规定的文件要求</w:t>
      </w:r>
    </w:p>
    <w:p>
      <w:pPr>
        <w:tabs>
          <w:tab w:val="clear" w:pos="426"/>
        </w:tabs>
        <w:rPr>
          <w:highlight w:val="none"/>
        </w:rPr>
      </w:pPr>
      <w:r>
        <w:rPr>
          <w:highlight w:val="none"/>
        </w:rPr>
        <w:t xml:space="preserve">19.1 </w:t>
      </w:r>
      <w:r>
        <w:rPr>
          <w:rFonts w:hint="eastAsia"/>
          <w:highlight w:val="none"/>
        </w:rPr>
        <w:t>投标供应商应提交证明文件证明其投标技术方案项下的货物、工程和服务的合格性符合招标文件规定。该投标技术方案及其证明文件作为投标文件的一部分。</w:t>
      </w:r>
    </w:p>
    <w:p>
      <w:pPr>
        <w:tabs>
          <w:tab w:val="clear" w:pos="426"/>
        </w:tabs>
        <w:rPr>
          <w:highlight w:val="none"/>
        </w:rPr>
      </w:pPr>
      <w:r>
        <w:rPr>
          <w:highlight w:val="none"/>
        </w:rPr>
        <w:t xml:space="preserve">19.2 </w:t>
      </w:r>
      <w:r>
        <w:rPr>
          <w:rFonts w:hint="eastAsia"/>
          <w:highlight w:val="none"/>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highlight w:val="none"/>
        </w:rPr>
      </w:pPr>
      <w:r>
        <w:rPr>
          <w:highlight w:val="none"/>
        </w:rPr>
        <w:t>19.2.1</w:t>
      </w:r>
      <w:r>
        <w:rPr>
          <w:rFonts w:hint="eastAsia"/>
          <w:highlight w:val="none"/>
        </w:rPr>
        <w:t>主要技术指标和性能的详细说明。</w:t>
      </w:r>
    </w:p>
    <w:p>
      <w:pPr>
        <w:tabs>
          <w:tab w:val="clear" w:pos="426"/>
        </w:tabs>
        <w:rPr>
          <w:highlight w:val="none"/>
        </w:rPr>
      </w:pPr>
      <w:r>
        <w:rPr>
          <w:highlight w:val="none"/>
        </w:rPr>
        <w:t>19.2.2</w:t>
      </w:r>
      <w:r>
        <w:rPr>
          <w:rFonts w:hint="eastAsia"/>
          <w:highlight w:val="none"/>
        </w:rPr>
        <w:t>投标产品从采购人开始使用至招标文件中规定的周期内正常、连续地使用所必须的备件和专用工具清单，包括备件和专用工具的货源及现行价格。</w:t>
      </w:r>
    </w:p>
    <w:p>
      <w:pPr>
        <w:tabs>
          <w:tab w:val="clear" w:pos="426"/>
        </w:tabs>
        <w:rPr>
          <w:highlight w:val="none"/>
        </w:rPr>
      </w:pPr>
      <w:r>
        <w:rPr>
          <w:highlight w:val="none"/>
        </w:rPr>
        <w:t>19.2.3</w:t>
      </w:r>
      <w:r>
        <w:rPr>
          <w:rFonts w:hint="eastAsia"/>
          <w:highlight w:val="none"/>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pPr>
        <w:tabs>
          <w:tab w:val="clear" w:pos="426"/>
        </w:tabs>
        <w:rPr>
          <w:highlight w:val="none"/>
        </w:rPr>
      </w:pPr>
      <w:r>
        <w:rPr>
          <w:highlight w:val="none"/>
        </w:rPr>
        <w:t>19.2.4</w:t>
      </w:r>
      <w:r>
        <w:rPr>
          <w:rFonts w:hint="eastAsia"/>
          <w:highlight w:val="none"/>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highlight w:val="none"/>
        </w:rPr>
      </w:pPr>
      <w:r>
        <w:rPr>
          <w:highlight w:val="none"/>
        </w:rPr>
        <w:t>19.2.5</w:t>
      </w:r>
      <w:r>
        <w:rPr>
          <w:rFonts w:hint="eastAsia"/>
          <w:highlight w:val="none"/>
        </w:rPr>
        <w:t>我国政府机构出具的产品检验和核准证件应为证件正面、背面和附件标注的全部具体内容；产品检验和核准证件应能清晰的阅读、识别和判断，提供原件复印件。</w:t>
      </w:r>
    </w:p>
    <w:p>
      <w:pPr>
        <w:tabs>
          <w:tab w:val="clear" w:pos="426"/>
        </w:tabs>
        <w:rPr>
          <w:highlight w:val="none"/>
        </w:rPr>
      </w:pPr>
      <w:r>
        <w:rPr>
          <w:highlight w:val="none"/>
        </w:rPr>
        <w:t>19.3</w:t>
      </w:r>
      <w:r>
        <w:rPr>
          <w:rFonts w:hint="eastAsia"/>
          <w:highlight w:val="none"/>
        </w:rPr>
        <w:t>相关资料不符合</w:t>
      </w:r>
      <w:r>
        <w:rPr>
          <w:highlight w:val="none"/>
        </w:rPr>
        <w:t>19.2</w:t>
      </w:r>
      <w:r>
        <w:rPr>
          <w:rFonts w:hint="eastAsia"/>
          <w:highlight w:val="none"/>
        </w:rPr>
        <w:t>款要求的，评标委员会有权认定为投标技术方案不合格响应，其相关分数予以扣减或作废标处理。</w:t>
      </w:r>
    </w:p>
    <w:p>
      <w:pPr>
        <w:tabs>
          <w:tab w:val="clear" w:pos="426"/>
        </w:tabs>
        <w:rPr>
          <w:highlight w:val="none"/>
        </w:rPr>
      </w:pPr>
      <w:r>
        <w:rPr>
          <w:highlight w:val="none"/>
        </w:rPr>
        <w:t>19.4</w:t>
      </w:r>
      <w:r>
        <w:rPr>
          <w:rFonts w:hint="eastAsia"/>
          <w:highlight w:val="none"/>
        </w:rPr>
        <w:t>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highlight w:val="none"/>
        </w:rPr>
      </w:pPr>
      <w:r>
        <w:rPr>
          <w:highlight w:val="none"/>
        </w:rPr>
        <w:t>19.5</w:t>
      </w:r>
      <w:r>
        <w:rPr>
          <w:rFonts w:hint="eastAsia"/>
          <w:highlight w:val="none"/>
        </w:rPr>
        <w:t>投标供应商在阐述上述第</w:t>
      </w:r>
      <w:r>
        <w:rPr>
          <w:highlight w:val="none"/>
        </w:rPr>
        <w:t>18.2</w:t>
      </w:r>
      <w:r>
        <w:rPr>
          <w:rFonts w:hint="eastAsia"/>
          <w:highlight w:val="none"/>
        </w:rPr>
        <w:t>时应注意采购人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highlight w:val="none"/>
        </w:rPr>
      </w:pPr>
      <w:r>
        <w:rPr>
          <w:highlight w:val="none"/>
        </w:rPr>
        <w:t>19.6</w:t>
      </w:r>
      <w:r>
        <w:rPr>
          <w:rFonts w:hint="eastAsia"/>
          <w:highlight w:val="none"/>
        </w:rPr>
        <w:t>为保证公平公正，除非另有规定或说明，投标供应商对同一货物或服务投标时，不得同时提供两套或两套以上的投标方案。</w:t>
      </w:r>
    </w:p>
    <w:p>
      <w:pPr>
        <w:tabs>
          <w:tab w:val="clear" w:pos="426"/>
        </w:tabs>
        <w:rPr>
          <w:highlight w:val="none"/>
        </w:rPr>
      </w:pPr>
      <w:r>
        <w:rPr>
          <w:highlight w:val="none"/>
        </w:rPr>
        <w:t>20</w:t>
      </w:r>
      <w:r>
        <w:rPr>
          <w:rFonts w:hint="eastAsia"/>
          <w:highlight w:val="none"/>
        </w:rPr>
        <w:t>．投标文件其他证明文件的要求</w:t>
      </w:r>
    </w:p>
    <w:p>
      <w:pPr>
        <w:tabs>
          <w:tab w:val="clear" w:pos="426"/>
        </w:tabs>
        <w:rPr>
          <w:highlight w:val="none"/>
        </w:rPr>
      </w:pPr>
      <w:r>
        <w:rPr>
          <w:highlight w:val="none"/>
        </w:rPr>
        <w:t>20.1</w:t>
      </w:r>
      <w:r>
        <w:rPr>
          <w:rFonts w:hint="eastAsia"/>
          <w:highlight w:val="none"/>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rPr>
          <w:highlight w:val="none"/>
        </w:rPr>
        <w:t>0</w:t>
      </w:r>
      <w:r>
        <w:rPr>
          <w:rFonts w:hint="eastAsia"/>
          <w:highlight w:val="none"/>
        </w:rPr>
        <w:t>分处理。</w:t>
      </w:r>
    </w:p>
    <w:p>
      <w:pPr>
        <w:tabs>
          <w:tab w:val="clear" w:pos="426"/>
        </w:tabs>
        <w:rPr>
          <w:highlight w:val="none"/>
        </w:rPr>
      </w:pPr>
      <w:r>
        <w:rPr>
          <w:highlight w:val="none"/>
        </w:rPr>
        <w:t>20.2</w:t>
      </w:r>
      <w:r>
        <w:rPr>
          <w:rFonts w:hint="eastAsia"/>
          <w:highlight w:val="none"/>
        </w:rPr>
        <w:t>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highlight w:val="none"/>
        </w:rPr>
      </w:pPr>
      <w:r>
        <w:rPr>
          <w:highlight w:val="none"/>
        </w:rPr>
        <w:t>21</w:t>
      </w:r>
      <w:r>
        <w:rPr>
          <w:rFonts w:hint="eastAsia"/>
          <w:highlight w:val="none"/>
        </w:rPr>
        <w:t>．投标有效期</w:t>
      </w:r>
    </w:p>
    <w:p>
      <w:pPr>
        <w:tabs>
          <w:tab w:val="clear" w:pos="426"/>
        </w:tabs>
        <w:rPr>
          <w:highlight w:val="none"/>
        </w:rPr>
      </w:pPr>
      <w:r>
        <w:rPr>
          <w:highlight w:val="none"/>
        </w:rPr>
        <w:t xml:space="preserve">21.1 </w:t>
      </w:r>
      <w:r>
        <w:rPr>
          <w:rFonts w:hint="eastAsia"/>
          <w:highlight w:val="none"/>
        </w:rPr>
        <w:t>投标有效期为从投标截止之日算起的日历天数，具体见专用条款中投标有效期的天数要求。在此期限内，所有投标文件均保持有效；</w:t>
      </w:r>
    </w:p>
    <w:p>
      <w:pPr>
        <w:tabs>
          <w:tab w:val="clear" w:pos="426"/>
        </w:tabs>
        <w:rPr>
          <w:highlight w:val="none"/>
        </w:rPr>
      </w:pPr>
      <w:r>
        <w:rPr>
          <w:highlight w:val="none"/>
        </w:rPr>
        <w:t xml:space="preserve">21.2 </w:t>
      </w:r>
      <w:r>
        <w:rPr>
          <w:rFonts w:hint="eastAsia"/>
          <w:highlight w:val="none"/>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rPr>
          <w:highlight w:val="none"/>
        </w:rPr>
        <w:t>22</w:t>
      </w:r>
      <w:r>
        <w:rPr>
          <w:rFonts w:hint="eastAsia"/>
          <w:highlight w:val="none"/>
        </w:rPr>
        <w:t>条关于投标保证金的退还与没收的规定仍然适用；</w:t>
      </w:r>
    </w:p>
    <w:p>
      <w:pPr>
        <w:tabs>
          <w:tab w:val="clear" w:pos="426"/>
        </w:tabs>
        <w:rPr>
          <w:highlight w:val="none"/>
        </w:rPr>
      </w:pPr>
      <w:r>
        <w:rPr>
          <w:highlight w:val="none"/>
        </w:rPr>
        <w:t xml:space="preserve">21.3 </w:t>
      </w:r>
      <w:r>
        <w:rPr>
          <w:rFonts w:hint="eastAsia"/>
          <w:highlight w:val="none"/>
        </w:rPr>
        <w:t>中标单位的投标书有效期，截止于完成本招标文件规定的全部项目内容，并通过竣工验收及保修结束。</w:t>
      </w:r>
    </w:p>
    <w:p>
      <w:pPr>
        <w:tabs>
          <w:tab w:val="clear" w:pos="426"/>
        </w:tabs>
        <w:rPr>
          <w:highlight w:val="none"/>
        </w:rPr>
      </w:pPr>
      <w:r>
        <w:rPr>
          <w:highlight w:val="none"/>
        </w:rPr>
        <w:t>22</w:t>
      </w:r>
      <w:r>
        <w:rPr>
          <w:rFonts w:hint="eastAsia"/>
          <w:highlight w:val="none"/>
        </w:rPr>
        <w:t>．投标保证金</w:t>
      </w:r>
    </w:p>
    <w:p>
      <w:pPr>
        <w:tabs>
          <w:tab w:val="clear" w:pos="426"/>
        </w:tabs>
        <w:rPr>
          <w:highlight w:val="none"/>
        </w:rPr>
      </w:pPr>
      <w:r>
        <w:rPr>
          <w:highlight w:val="none"/>
        </w:rPr>
        <w:t>22.1</w:t>
      </w:r>
      <w:r>
        <w:rPr>
          <w:rFonts w:hint="eastAsia"/>
          <w:highlight w:val="none"/>
        </w:rPr>
        <w:t>投标保证金的缴纳：</w:t>
      </w:r>
      <w:r>
        <w:rPr>
          <w:rFonts w:hint="eastAsia"/>
          <w:b/>
          <w:highlight w:val="none"/>
        </w:rPr>
        <w:t>（本项目不适用）</w:t>
      </w:r>
    </w:p>
    <w:p>
      <w:pPr>
        <w:tabs>
          <w:tab w:val="clear" w:pos="426"/>
        </w:tabs>
        <w:rPr>
          <w:highlight w:val="none"/>
        </w:rPr>
      </w:pPr>
      <w:r>
        <w:rPr>
          <w:highlight w:val="none"/>
        </w:rPr>
        <w:t>22.1.1</w:t>
      </w:r>
      <w:r>
        <w:rPr>
          <w:rFonts w:hint="eastAsia"/>
          <w:highlight w:val="none"/>
        </w:rPr>
        <w:t>缴纳投标保证金的方式：参与投标前须缴纳壹万元保证金，落标或中标项目完成后返还，参与投标前未缴纳的，其投标将不予受理。</w:t>
      </w:r>
    </w:p>
    <w:p>
      <w:pPr>
        <w:tabs>
          <w:tab w:val="clear" w:pos="426"/>
        </w:tabs>
        <w:rPr>
          <w:highlight w:val="none"/>
        </w:rPr>
      </w:pPr>
      <w:r>
        <w:rPr>
          <w:highlight w:val="none"/>
        </w:rPr>
        <w:t xml:space="preserve">22.1.2 </w:t>
      </w:r>
      <w:r>
        <w:rPr>
          <w:rFonts w:hint="eastAsia"/>
          <w:highlight w:val="none"/>
        </w:rPr>
        <w:t>若为重大项目，采购代理机构可自行决定另外收取投标保证金，不受</w:t>
      </w:r>
      <w:r>
        <w:rPr>
          <w:highlight w:val="none"/>
        </w:rPr>
        <w:t>22.1.1</w:t>
      </w:r>
      <w:r>
        <w:rPr>
          <w:rFonts w:hint="eastAsia"/>
          <w:highlight w:val="none"/>
        </w:rPr>
        <w:t>款限制。是否另外收取投标保证金，请见本招标文件专用条款《对通用条款的补充内容》中的相关要求。</w:t>
      </w:r>
    </w:p>
    <w:p>
      <w:pPr>
        <w:tabs>
          <w:tab w:val="clear" w:pos="426"/>
        </w:tabs>
        <w:rPr>
          <w:szCs w:val="21"/>
          <w:highlight w:val="none"/>
        </w:rPr>
      </w:pPr>
      <w:r>
        <w:rPr>
          <w:szCs w:val="21"/>
          <w:highlight w:val="none"/>
        </w:rPr>
        <w:t>22.2</w:t>
      </w:r>
      <w:r>
        <w:rPr>
          <w:rFonts w:hint="eastAsia"/>
          <w:highlight w:val="none"/>
        </w:rPr>
        <w:t>投标保证金是为了保护采购代理机构和采购人免因投标供应商的行为而蒙受损失。采购代理机构和采购人因投标供应商的行为受到损害时可根据本通用条款第</w:t>
      </w:r>
      <w:r>
        <w:rPr>
          <w:szCs w:val="21"/>
          <w:highlight w:val="none"/>
        </w:rPr>
        <w:t>22.3</w:t>
      </w:r>
      <w:r>
        <w:rPr>
          <w:rFonts w:hint="eastAsia"/>
          <w:szCs w:val="21"/>
          <w:highlight w:val="none"/>
        </w:rPr>
        <w:t>款</w:t>
      </w:r>
      <w:r>
        <w:rPr>
          <w:rFonts w:hint="eastAsia"/>
          <w:highlight w:val="none"/>
        </w:rPr>
        <w:t>的规定没收投标供应商的投标保证金。</w:t>
      </w:r>
    </w:p>
    <w:p>
      <w:pPr>
        <w:tabs>
          <w:tab w:val="clear" w:pos="426"/>
        </w:tabs>
        <w:rPr>
          <w:highlight w:val="none"/>
        </w:rPr>
      </w:pPr>
      <w:r>
        <w:rPr>
          <w:highlight w:val="none"/>
        </w:rPr>
        <w:t>22.3</w:t>
      </w:r>
      <w:r>
        <w:rPr>
          <w:rFonts w:hint="eastAsia"/>
          <w:highlight w:val="none"/>
        </w:rPr>
        <w:t>如下列任何情况发生时，投标保证金将被没收。</w:t>
      </w:r>
    </w:p>
    <w:p>
      <w:pPr>
        <w:tabs>
          <w:tab w:val="clear" w:pos="426"/>
        </w:tabs>
        <w:rPr>
          <w:highlight w:val="none"/>
        </w:rPr>
      </w:pPr>
      <w:r>
        <w:rPr>
          <w:highlight w:val="none"/>
        </w:rPr>
        <w:t>1</w:t>
      </w:r>
      <w:r>
        <w:rPr>
          <w:rFonts w:hint="eastAsia"/>
          <w:highlight w:val="none"/>
        </w:rPr>
        <w:t>）投标供应商在招标文件中规定的投标有效期内撤回其投标；</w:t>
      </w:r>
    </w:p>
    <w:p>
      <w:pPr>
        <w:tabs>
          <w:tab w:val="clear" w:pos="426"/>
        </w:tabs>
        <w:rPr>
          <w:highlight w:val="none"/>
        </w:rPr>
      </w:pPr>
      <w:r>
        <w:rPr>
          <w:highlight w:val="none"/>
        </w:rPr>
        <w:t>2</w:t>
      </w:r>
      <w:r>
        <w:rPr>
          <w:rFonts w:hint="eastAsia"/>
          <w:highlight w:val="none"/>
        </w:rPr>
        <w:t>）中标供应商在规定期限内未能根据本项通用条款第</w:t>
      </w:r>
      <w:r>
        <w:rPr>
          <w:highlight w:val="none"/>
        </w:rPr>
        <w:t>47</w:t>
      </w:r>
      <w:r>
        <w:rPr>
          <w:rFonts w:hint="eastAsia"/>
          <w:highlight w:val="none"/>
        </w:rPr>
        <w:t>条规定签订合同；</w:t>
      </w:r>
    </w:p>
    <w:p>
      <w:pPr>
        <w:tabs>
          <w:tab w:val="clear" w:pos="426"/>
        </w:tabs>
        <w:rPr>
          <w:highlight w:val="none"/>
        </w:rPr>
      </w:pPr>
      <w:r>
        <w:rPr>
          <w:highlight w:val="none"/>
        </w:rPr>
        <w:t>3</w:t>
      </w:r>
      <w:r>
        <w:rPr>
          <w:rFonts w:hint="eastAsia"/>
          <w:highlight w:val="none"/>
        </w:rPr>
        <w:t>）投标供应商提供虚假投标文件或虚假补充文件：</w:t>
      </w:r>
    </w:p>
    <w:p>
      <w:pPr>
        <w:tabs>
          <w:tab w:val="clear" w:pos="426"/>
        </w:tabs>
        <w:rPr>
          <w:highlight w:val="none"/>
        </w:rPr>
      </w:pPr>
      <w:r>
        <w:rPr>
          <w:highlight w:val="none"/>
        </w:rPr>
        <w:t>4</w:t>
      </w:r>
      <w:r>
        <w:rPr>
          <w:rFonts w:hint="eastAsia"/>
          <w:highlight w:val="none"/>
        </w:rPr>
        <w:t>）投标供应商以谋取中标为目的的技术规格模糊响应（如有意照搬照抄招标文件的技术要求）或虚假响应的；</w:t>
      </w:r>
    </w:p>
    <w:p>
      <w:pPr>
        <w:tabs>
          <w:tab w:val="clear" w:pos="426"/>
        </w:tabs>
        <w:rPr>
          <w:highlight w:val="none"/>
        </w:rPr>
      </w:pPr>
      <w:r>
        <w:rPr>
          <w:highlight w:val="none"/>
        </w:rPr>
        <w:t>5</w:t>
      </w:r>
      <w:r>
        <w:rPr>
          <w:rFonts w:hint="eastAsia"/>
          <w:highlight w:val="none"/>
        </w:rPr>
        <w:t>）投标供应商质疑投诉提供虚假情况。</w:t>
      </w:r>
    </w:p>
    <w:p>
      <w:pPr>
        <w:tabs>
          <w:tab w:val="clear" w:pos="426"/>
        </w:tabs>
        <w:rPr>
          <w:highlight w:val="none"/>
        </w:rPr>
      </w:pPr>
      <w:r>
        <w:rPr>
          <w:highlight w:val="none"/>
        </w:rPr>
        <w:t>22.4</w:t>
      </w:r>
      <w:r>
        <w:rPr>
          <w:rFonts w:hint="eastAsia"/>
          <w:highlight w:val="none"/>
        </w:rPr>
        <w:t>不再收取投标保证金。</w:t>
      </w:r>
    </w:p>
    <w:p>
      <w:pPr>
        <w:tabs>
          <w:tab w:val="clear" w:pos="426"/>
        </w:tabs>
        <w:rPr>
          <w:highlight w:val="none"/>
        </w:rPr>
      </w:pPr>
      <w:r>
        <w:rPr>
          <w:highlight w:val="none"/>
        </w:rPr>
        <w:t>23</w:t>
      </w:r>
      <w:r>
        <w:rPr>
          <w:rFonts w:hint="eastAsia"/>
          <w:highlight w:val="none"/>
        </w:rPr>
        <w:t>．投标供应商的替代方案</w:t>
      </w:r>
    </w:p>
    <w:p>
      <w:pPr>
        <w:tabs>
          <w:tab w:val="clear" w:pos="426"/>
        </w:tabs>
        <w:rPr>
          <w:highlight w:val="none"/>
        </w:rPr>
      </w:pPr>
      <w:r>
        <w:rPr>
          <w:highlight w:val="none"/>
        </w:rPr>
        <w:t>23.1</w:t>
      </w:r>
      <w:r>
        <w:rPr>
          <w:rFonts w:hint="eastAsia"/>
          <w:highlight w:val="none"/>
        </w:rPr>
        <w:t>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bCs/>
          <w:sz w:val="30"/>
          <w:szCs w:val="30"/>
          <w:highlight w:val="none"/>
        </w:rPr>
      </w:pPr>
      <w:r>
        <w:rPr>
          <w:highlight w:val="none"/>
        </w:rPr>
        <w:t xml:space="preserve">23.2 </w:t>
      </w:r>
      <w:r>
        <w:rPr>
          <w:rFonts w:hint="eastAsia"/>
          <w:highlight w:val="none"/>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highlight w:val="none"/>
        </w:rPr>
      </w:pPr>
      <w:r>
        <w:rPr>
          <w:highlight w:val="none"/>
        </w:rPr>
        <w:t>24</w:t>
      </w:r>
      <w:r>
        <w:rPr>
          <w:rFonts w:hint="eastAsia"/>
          <w:highlight w:val="none"/>
        </w:rPr>
        <w:t>．投标文件的密封、标记和装订</w:t>
      </w:r>
    </w:p>
    <w:p>
      <w:pPr>
        <w:widowControl w:val="0"/>
        <w:shd w:val="clear" w:color="auto" w:fill="auto"/>
        <w:tabs>
          <w:tab w:val="clear" w:pos="426"/>
        </w:tabs>
        <w:autoSpaceDE w:val="0"/>
        <w:autoSpaceDN w:val="0"/>
        <w:rPr>
          <w:rFonts w:cs="黑体"/>
          <w:bCs/>
          <w:szCs w:val="21"/>
          <w:highlight w:val="none"/>
        </w:rPr>
      </w:pPr>
      <w:r>
        <w:rPr>
          <w:highlight w:val="none"/>
        </w:rPr>
        <w:t xml:space="preserve">24.1 </w:t>
      </w:r>
      <w:r>
        <w:rPr>
          <w:rFonts w:hint="eastAsia" w:cs="黑体"/>
          <w:bCs/>
          <w:szCs w:val="21"/>
          <w:highlight w:val="none"/>
        </w:rPr>
        <w:t>为方便开标唱标，投标供应商应单独提交一个密封信封，并在信封上标明“开标信封”的字样，内容包括开标一览表</w:t>
      </w:r>
      <w:r>
        <w:rPr>
          <w:rFonts w:cs="黑体"/>
          <w:bCs/>
          <w:szCs w:val="21"/>
          <w:highlight w:val="none"/>
        </w:rPr>
        <w:t>(</w:t>
      </w:r>
      <w:r>
        <w:rPr>
          <w:rFonts w:hint="eastAsia" w:cs="黑体"/>
          <w:bCs/>
          <w:szCs w:val="21"/>
          <w:highlight w:val="none"/>
        </w:rPr>
        <w:t>报价表</w:t>
      </w:r>
      <w:r>
        <w:rPr>
          <w:rFonts w:cs="黑体"/>
          <w:bCs/>
          <w:szCs w:val="21"/>
          <w:highlight w:val="none"/>
        </w:rPr>
        <w:t>)</w:t>
      </w:r>
      <w:r>
        <w:rPr>
          <w:rFonts w:hint="eastAsia" w:cs="黑体"/>
          <w:bCs/>
          <w:szCs w:val="21"/>
          <w:highlight w:val="none"/>
        </w:rPr>
        <w:t>、法定代表人证明书或法定代表人授权委托书、</w:t>
      </w:r>
      <w:r>
        <w:rPr>
          <w:rFonts w:hint="eastAsia"/>
          <w:szCs w:val="21"/>
          <w:highlight w:val="none"/>
        </w:rPr>
        <w:t>投标文件电子</w:t>
      </w:r>
      <w:r>
        <w:rPr>
          <w:rFonts w:hint="eastAsia"/>
          <w:szCs w:val="21"/>
          <w:highlight w:val="none"/>
          <w:lang w:val="en-US" w:eastAsia="zh-CN"/>
        </w:rPr>
        <w:t>U</w:t>
      </w:r>
      <w:r>
        <w:rPr>
          <w:rFonts w:hint="eastAsia"/>
          <w:szCs w:val="21"/>
          <w:highlight w:val="none"/>
        </w:rPr>
        <w:t>盘</w:t>
      </w:r>
      <w:r>
        <w:rPr>
          <w:rFonts w:hint="eastAsia" w:cs="黑体"/>
          <w:bCs/>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szCs w:val="21"/>
          <w:highlight w:val="none"/>
        </w:rPr>
      </w:pPr>
      <w:r>
        <w:rPr>
          <w:highlight w:val="none"/>
        </w:rPr>
        <w:t xml:space="preserve">24.2 </w:t>
      </w:r>
      <w:r>
        <w:rPr>
          <w:rFonts w:hint="eastAsia"/>
          <w:highlight w:val="none"/>
        </w:rPr>
        <w:t>投标文件为纸质投标文件，</w:t>
      </w:r>
      <w:r>
        <w:rPr>
          <w:rFonts w:hint="eastAsia"/>
          <w:szCs w:val="21"/>
          <w:highlight w:val="none"/>
        </w:rPr>
        <w:t>含正本和副本，投标文件应标明项目编号、招标项目名称及“正本”或“副本”。</w:t>
      </w:r>
      <w:r>
        <w:rPr>
          <w:rFonts w:hint="eastAsia"/>
          <w:highlight w:val="none"/>
        </w:rPr>
        <w:t>投标文件的所有内容应按</w:t>
      </w:r>
      <w:r>
        <w:rPr>
          <w:highlight w:val="none"/>
        </w:rPr>
        <w:t>A4</w:t>
      </w:r>
      <w:r>
        <w:rPr>
          <w:rFonts w:hint="eastAsia"/>
          <w:highlight w:val="none"/>
        </w:rPr>
        <w:t>篇幅装订成一册，装订应牢固不可拆卸。装订好的投标文件密封包装在一个外密封袋中，并在外密封袋上注明：</w:t>
      </w:r>
    </w:p>
    <w:p>
      <w:pPr>
        <w:tabs>
          <w:tab w:val="clear" w:pos="426"/>
        </w:tabs>
        <w:rPr>
          <w:highlight w:val="none"/>
        </w:rPr>
      </w:pPr>
      <w:r>
        <w:rPr>
          <w:rFonts w:hint="eastAsia"/>
          <w:highlight w:val="none"/>
        </w:rPr>
        <w:t>投标文件</w:t>
      </w:r>
    </w:p>
    <w:p>
      <w:pPr>
        <w:tabs>
          <w:tab w:val="clear" w:pos="426"/>
        </w:tabs>
        <w:rPr>
          <w:highlight w:val="none"/>
        </w:rPr>
      </w:pPr>
      <w:r>
        <w:rPr>
          <w:rFonts w:hint="eastAsia"/>
          <w:highlight w:val="none"/>
        </w:rPr>
        <w:t>项目编号：</w:t>
      </w:r>
    </w:p>
    <w:p>
      <w:pPr>
        <w:tabs>
          <w:tab w:val="clear" w:pos="426"/>
        </w:tabs>
        <w:rPr>
          <w:highlight w:val="none"/>
        </w:rPr>
      </w:pPr>
      <w:r>
        <w:rPr>
          <w:rFonts w:hint="eastAsia"/>
          <w:highlight w:val="none"/>
        </w:rPr>
        <w:t>项目名称：</w:t>
      </w:r>
    </w:p>
    <w:p>
      <w:pPr>
        <w:tabs>
          <w:tab w:val="clear" w:pos="426"/>
        </w:tabs>
        <w:rPr>
          <w:highlight w:val="none"/>
        </w:rPr>
      </w:pPr>
      <w:r>
        <w:rPr>
          <w:rFonts w:hint="eastAsia"/>
          <w:highlight w:val="none"/>
        </w:rPr>
        <w:t>投标供应商名称（盖章）：</w:t>
      </w:r>
    </w:p>
    <w:p>
      <w:pPr>
        <w:tabs>
          <w:tab w:val="clear" w:pos="426"/>
        </w:tabs>
        <w:rPr>
          <w:highlight w:val="none"/>
        </w:rPr>
      </w:pPr>
      <w:r>
        <w:rPr>
          <w:rFonts w:hint="eastAsia"/>
          <w:highlight w:val="none"/>
        </w:rPr>
        <w:t>投标截止时间：</w:t>
      </w:r>
      <w:r>
        <w:rPr>
          <w:highlight w:val="none"/>
          <w:u w:val="single"/>
        </w:rPr>
        <w:t>_______</w:t>
      </w:r>
      <w:r>
        <w:rPr>
          <w:rFonts w:hint="eastAsia"/>
          <w:highlight w:val="none"/>
          <w:u w:val="single"/>
        </w:rPr>
        <w:t>年</w:t>
      </w:r>
      <w:r>
        <w:rPr>
          <w:highlight w:val="none"/>
          <w:u w:val="single"/>
        </w:rPr>
        <w:t>______</w:t>
      </w:r>
      <w:r>
        <w:rPr>
          <w:rFonts w:hint="eastAsia"/>
          <w:highlight w:val="none"/>
          <w:u w:val="single"/>
        </w:rPr>
        <w:t>月</w:t>
      </w:r>
      <w:r>
        <w:rPr>
          <w:highlight w:val="none"/>
          <w:u w:val="single"/>
        </w:rPr>
        <w:t>______</w:t>
      </w:r>
      <w:r>
        <w:rPr>
          <w:rFonts w:hint="eastAsia"/>
          <w:highlight w:val="none"/>
          <w:u w:val="single"/>
        </w:rPr>
        <w:t>日</w:t>
      </w:r>
      <w:r>
        <w:rPr>
          <w:highlight w:val="none"/>
          <w:u w:val="single"/>
        </w:rPr>
        <w:t>______</w:t>
      </w:r>
      <w:r>
        <w:rPr>
          <w:rFonts w:hint="eastAsia"/>
          <w:highlight w:val="none"/>
          <w:u w:val="single"/>
        </w:rPr>
        <w:t>时</w:t>
      </w:r>
      <w:r>
        <w:rPr>
          <w:highlight w:val="none"/>
          <w:u w:val="single"/>
        </w:rPr>
        <w:t>______</w:t>
      </w:r>
      <w:r>
        <w:rPr>
          <w:rFonts w:hint="eastAsia"/>
          <w:highlight w:val="none"/>
          <w:u w:val="single"/>
        </w:rPr>
        <w:t>分（前不得开封）</w:t>
      </w:r>
      <w:r>
        <w:rPr>
          <w:rFonts w:hint="eastAsia"/>
          <w:highlight w:val="none"/>
        </w:rPr>
        <w:t>。</w:t>
      </w:r>
    </w:p>
    <w:p>
      <w:pPr>
        <w:tabs>
          <w:tab w:val="clear" w:pos="426"/>
        </w:tabs>
        <w:rPr>
          <w:highlight w:val="none"/>
        </w:rPr>
      </w:pPr>
      <w:r>
        <w:rPr>
          <w:highlight w:val="none"/>
        </w:rPr>
        <w:t xml:space="preserve">24.3  </w:t>
      </w:r>
      <w:r>
        <w:rPr>
          <w:rFonts w:hint="eastAsia"/>
          <w:highlight w:val="none"/>
        </w:rPr>
        <w:t>所有投标文件的密封袋的封口处均应加盖投标供应商公章。</w:t>
      </w:r>
    </w:p>
    <w:p>
      <w:pPr>
        <w:tabs>
          <w:tab w:val="clear" w:pos="426"/>
        </w:tabs>
        <w:rPr>
          <w:highlight w:val="none"/>
        </w:rPr>
      </w:pPr>
      <w:r>
        <w:rPr>
          <w:highlight w:val="none"/>
        </w:rPr>
        <w:t xml:space="preserve">24.4  </w:t>
      </w:r>
      <w:r>
        <w:rPr>
          <w:rFonts w:hint="eastAsia"/>
          <w:highlight w:val="none"/>
        </w:rPr>
        <w:t>对于因标书标识不清、装订不牢、密封不严等导致的不利后果由该投标供应商自负。</w:t>
      </w:r>
    </w:p>
    <w:p>
      <w:pPr>
        <w:tabs>
          <w:tab w:val="clear" w:pos="426"/>
        </w:tabs>
        <w:rPr>
          <w:szCs w:val="21"/>
          <w:highlight w:val="none"/>
        </w:rPr>
      </w:pPr>
      <w:r>
        <w:rPr>
          <w:szCs w:val="21"/>
          <w:highlight w:val="none"/>
        </w:rPr>
        <w:t xml:space="preserve">24.5  </w:t>
      </w:r>
      <w:r>
        <w:rPr>
          <w:rFonts w:hint="eastAsia"/>
          <w:szCs w:val="21"/>
          <w:highlight w:val="none"/>
        </w:rPr>
        <w:t>投标方应将投标文件按</w:t>
      </w:r>
      <w:r>
        <w:rPr>
          <w:szCs w:val="21"/>
          <w:highlight w:val="none"/>
        </w:rPr>
        <w:t>24.1-24.2</w:t>
      </w:r>
      <w:r>
        <w:rPr>
          <w:rFonts w:hint="eastAsia"/>
          <w:szCs w:val="21"/>
          <w:highlight w:val="none"/>
        </w:rPr>
        <w:t>中的规定进行密封和标记后，按专用条款中招标公告注明的地址送至招标机构。</w:t>
      </w:r>
    </w:p>
    <w:p>
      <w:pPr>
        <w:tabs>
          <w:tab w:val="clear" w:pos="426"/>
        </w:tabs>
        <w:rPr>
          <w:szCs w:val="21"/>
          <w:highlight w:val="none"/>
        </w:rPr>
      </w:pPr>
      <w:r>
        <w:rPr>
          <w:szCs w:val="21"/>
          <w:highlight w:val="none"/>
        </w:rPr>
        <w:t xml:space="preserve">24.6  </w:t>
      </w:r>
      <w:r>
        <w:rPr>
          <w:rFonts w:hint="eastAsia"/>
          <w:szCs w:val="21"/>
          <w:highlight w:val="none"/>
        </w:rPr>
        <w:t>邮寄、电报、电话、传真形式的投标概不接受。</w:t>
      </w:r>
    </w:p>
    <w:p>
      <w:pPr>
        <w:tabs>
          <w:tab w:val="clear" w:pos="426"/>
        </w:tabs>
        <w:rPr>
          <w:b/>
          <w:szCs w:val="21"/>
          <w:highlight w:val="none"/>
        </w:rPr>
      </w:pPr>
      <w:r>
        <w:rPr>
          <w:b/>
          <w:szCs w:val="21"/>
          <w:highlight w:val="none"/>
        </w:rPr>
        <w:t xml:space="preserve">24.7  </w:t>
      </w:r>
      <w:r>
        <w:rPr>
          <w:rFonts w:hint="eastAsia"/>
          <w:b/>
          <w:bCs/>
          <w:szCs w:val="21"/>
          <w:highlight w:val="none"/>
        </w:rPr>
        <w:t>投标文件电子版：电子U盘一张（</w:t>
      </w:r>
      <w:r>
        <w:rPr>
          <w:b/>
          <w:bCs/>
          <w:szCs w:val="21"/>
          <w:highlight w:val="none"/>
        </w:rPr>
        <w:t>WORD</w:t>
      </w:r>
      <w:r>
        <w:rPr>
          <w:rFonts w:hint="eastAsia"/>
          <w:b/>
          <w:bCs/>
          <w:szCs w:val="21"/>
          <w:highlight w:val="none"/>
        </w:rPr>
        <w:t>及投标文件正本盖章后的彩色复印件，复印件要求为</w:t>
      </w:r>
      <w:r>
        <w:rPr>
          <w:b/>
          <w:bCs/>
          <w:szCs w:val="21"/>
          <w:highlight w:val="none"/>
        </w:rPr>
        <w:t>PDF</w:t>
      </w:r>
      <w:r>
        <w:rPr>
          <w:rFonts w:hint="eastAsia"/>
          <w:b/>
          <w:bCs/>
          <w:szCs w:val="21"/>
          <w:highlight w:val="none"/>
        </w:rPr>
        <w:t>格式），请将该U盘放在开标信封中，并在U盘上标明项目编号、项目名称及投标供应商名称。</w:t>
      </w:r>
    </w:p>
    <w:p>
      <w:pPr>
        <w:tabs>
          <w:tab w:val="clear" w:pos="426"/>
        </w:tabs>
        <w:rPr>
          <w:szCs w:val="21"/>
          <w:highlight w:val="none"/>
        </w:rPr>
      </w:pPr>
      <w:r>
        <w:rPr>
          <w:szCs w:val="21"/>
          <w:highlight w:val="none"/>
        </w:rPr>
        <w:t>25</w:t>
      </w:r>
      <w:r>
        <w:rPr>
          <w:rFonts w:hint="eastAsia"/>
          <w:szCs w:val="21"/>
          <w:highlight w:val="none"/>
        </w:rPr>
        <w:t>．投标截止时间</w:t>
      </w:r>
    </w:p>
    <w:p>
      <w:pPr>
        <w:tabs>
          <w:tab w:val="clear" w:pos="426"/>
        </w:tabs>
        <w:rPr>
          <w:szCs w:val="21"/>
          <w:highlight w:val="none"/>
        </w:rPr>
      </w:pPr>
      <w:r>
        <w:rPr>
          <w:rFonts w:hint="eastAsia"/>
          <w:szCs w:val="21"/>
          <w:highlight w:val="none"/>
        </w:rPr>
        <w:t>招标机构在投标供应商须知第</w:t>
      </w:r>
      <w:r>
        <w:rPr>
          <w:szCs w:val="21"/>
          <w:highlight w:val="none"/>
        </w:rPr>
        <w:t>24.5</w:t>
      </w:r>
      <w:r>
        <w:rPr>
          <w:rFonts w:hint="eastAsia"/>
          <w:szCs w:val="21"/>
          <w:highlight w:val="none"/>
        </w:rPr>
        <w:t>条规定的地址收到投标书的时间不得迟于</w:t>
      </w:r>
      <w:r>
        <w:rPr>
          <w:szCs w:val="21"/>
          <w:highlight w:val="none"/>
        </w:rPr>
        <w:t>“</w:t>
      </w:r>
      <w:r>
        <w:rPr>
          <w:rFonts w:hint="eastAsia"/>
          <w:szCs w:val="21"/>
          <w:highlight w:val="none"/>
        </w:rPr>
        <w:t>投标供应商须知前附表</w:t>
      </w:r>
      <w:r>
        <w:rPr>
          <w:szCs w:val="21"/>
          <w:highlight w:val="none"/>
        </w:rPr>
        <w:t>”</w:t>
      </w:r>
      <w:r>
        <w:rPr>
          <w:rFonts w:hint="eastAsia"/>
          <w:szCs w:val="21"/>
          <w:highlight w:val="none"/>
        </w:rPr>
        <w:t>第</w:t>
      </w:r>
      <w:r>
        <w:rPr>
          <w:szCs w:val="21"/>
          <w:highlight w:val="none"/>
        </w:rPr>
        <w:t>19</w:t>
      </w:r>
      <w:r>
        <w:rPr>
          <w:rFonts w:hint="eastAsia"/>
          <w:szCs w:val="21"/>
          <w:highlight w:val="none"/>
        </w:rPr>
        <w:t>项所规定的时间。</w:t>
      </w:r>
    </w:p>
    <w:p>
      <w:pPr>
        <w:tabs>
          <w:tab w:val="clear" w:pos="426"/>
        </w:tabs>
        <w:rPr>
          <w:szCs w:val="21"/>
          <w:highlight w:val="none"/>
        </w:rPr>
      </w:pPr>
      <w:r>
        <w:rPr>
          <w:szCs w:val="21"/>
          <w:highlight w:val="none"/>
        </w:rPr>
        <w:t>26</w:t>
      </w:r>
      <w:r>
        <w:rPr>
          <w:rFonts w:hint="eastAsia"/>
          <w:szCs w:val="21"/>
          <w:highlight w:val="none"/>
        </w:rPr>
        <w:t>．迟交的投标书</w:t>
      </w:r>
    </w:p>
    <w:p>
      <w:pPr>
        <w:tabs>
          <w:tab w:val="clear" w:pos="426"/>
        </w:tabs>
        <w:rPr>
          <w:szCs w:val="21"/>
          <w:highlight w:val="none"/>
        </w:rPr>
      </w:pPr>
      <w:r>
        <w:rPr>
          <w:rFonts w:hint="eastAsia"/>
          <w:szCs w:val="21"/>
          <w:highlight w:val="none"/>
        </w:rPr>
        <w:t>按照本通用条款第</w:t>
      </w:r>
      <w:r>
        <w:rPr>
          <w:szCs w:val="21"/>
          <w:highlight w:val="none"/>
        </w:rPr>
        <w:t>25</w:t>
      </w:r>
      <w:r>
        <w:rPr>
          <w:rFonts w:hint="eastAsia"/>
          <w:szCs w:val="21"/>
          <w:highlight w:val="none"/>
        </w:rPr>
        <w:t>条规定，招标机构将拒绝并原封退回在其规定的投标截止期后收到的任何投标书。</w:t>
      </w:r>
    </w:p>
    <w:p>
      <w:pPr>
        <w:tabs>
          <w:tab w:val="clear" w:pos="426"/>
        </w:tabs>
        <w:rPr>
          <w:highlight w:val="none"/>
        </w:rPr>
      </w:pPr>
      <w:r>
        <w:rPr>
          <w:highlight w:val="none"/>
        </w:rPr>
        <w:t>27</w:t>
      </w:r>
      <w:r>
        <w:rPr>
          <w:rFonts w:hint="eastAsia"/>
          <w:highlight w:val="none"/>
        </w:rPr>
        <w:t>．投标文件的提交和截标时投标文件的数量要求</w:t>
      </w:r>
    </w:p>
    <w:p>
      <w:pPr>
        <w:tabs>
          <w:tab w:val="clear" w:pos="426"/>
        </w:tabs>
        <w:rPr>
          <w:highlight w:val="none"/>
        </w:rPr>
      </w:pPr>
      <w:r>
        <w:rPr>
          <w:highlight w:val="none"/>
        </w:rPr>
        <w:t xml:space="preserve">27.1  </w:t>
      </w:r>
      <w:r>
        <w:rPr>
          <w:rFonts w:hint="eastAsia"/>
          <w:highlight w:val="none"/>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highlight w:val="none"/>
        </w:rPr>
      </w:pPr>
      <w:r>
        <w:rPr>
          <w:highlight w:val="none"/>
        </w:rPr>
        <w:t xml:space="preserve">27.2  </w:t>
      </w:r>
      <w:r>
        <w:rPr>
          <w:rFonts w:hint="eastAsia"/>
          <w:highlight w:val="none"/>
        </w:rPr>
        <w:t>截标时递交标书的投标供应商数量未达到法定家数的，采购代理机构将按法律法规的规定暂停开标和评标程序。如导致招标失败，采购人或采购代理机构将不负担因此给投标供应商造成的损失。</w:t>
      </w:r>
    </w:p>
    <w:p>
      <w:pPr>
        <w:tabs>
          <w:tab w:val="clear" w:pos="426"/>
        </w:tabs>
        <w:rPr>
          <w:highlight w:val="none"/>
        </w:rPr>
      </w:pPr>
      <w:r>
        <w:rPr>
          <w:highlight w:val="none"/>
        </w:rPr>
        <w:t>28</w:t>
      </w:r>
      <w:r>
        <w:rPr>
          <w:rFonts w:hint="eastAsia"/>
          <w:highlight w:val="none"/>
        </w:rPr>
        <w:t>．投标文件的修改或撤回</w:t>
      </w:r>
    </w:p>
    <w:p>
      <w:pPr>
        <w:tabs>
          <w:tab w:val="clear" w:pos="426"/>
        </w:tabs>
        <w:rPr>
          <w:highlight w:val="none"/>
        </w:rPr>
      </w:pPr>
      <w:r>
        <w:rPr>
          <w:highlight w:val="none"/>
        </w:rPr>
        <w:t xml:space="preserve">28.1  </w:t>
      </w:r>
      <w:r>
        <w:rPr>
          <w:rFonts w:hint="eastAsia"/>
          <w:highlight w:val="none"/>
        </w:rPr>
        <w:t>投标供应商已提交投标文件，规定的投标截止时间还未到，投标供应商可提出对其投标文件的修改或撤回。投标供应商须提交由投标供应商代表签名的修改或撤回的书面通知。</w:t>
      </w:r>
    </w:p>
    <w:p>
      <w:pPr>
        <w:tabs>
          <w:tab w:val="clear" w:pos="426"/>
        </w:tabs>
        <w:rPr>
          <w:highlight w:val="none"/>
        </w:rPr>
      </w:pPr>
      <w:r>
        <w:rPr>
          <w:highlight w:val="none"/>
        </w:rPr>
        <w:t xml:space="preserve">28.2  </w:t>
      </w:r>
      <w:r>
        <w:rPr>
          <w:rFonts w:hint="eastAsia"/>
          <w:highlight w:val="none"/>
        </w:rPr>
        <w:t>采购代理机构收到由投标供应商代表签名的修改或撤回的书面通知并确认后，投标供应商可对其投标文件进行修改，或是撤回其投标。</w:t>
      </w:r>
    </w:p>
    <w:p>
      <w:pPr>
        <w:tabs>
          <w:tab w:val="clear" w:pos="426"/>
        </w:tabs>
        <w:rPr>
          <w:highlight w:val="none"/>
        </w:rPr>
      </w:pPr>
      <w:r>
        <w:rPr>
          <w:highlight w:val="none"/>
        </w:rPr>
        <w:t xml:space="preserve">28.3  </w:t>
      </w:r>
      <w:r>
        <w:rPr>
          <w:rFonts w:hint="eastAsia"/>
          <w:highlight w:val="none"/>
        </w:rPr>
        <w:t>投标供应商的修改文件应按照本招标文件的规定进行编制、密封、标记和提交，并在密封袋上注明“投标修改”。</w:t>
      </w:r>
    </w:p>
    <w:p>
      <w:pPr>
        <w:tabs>
          <w:tab w:val="clear" w:pos="426"/>
        </w:tabs>
        <w:rPr>
          <w:highlight w:val="none"/>
        </w:rPr>
      </w:pPr>
      <w:r>
        <w:rPr>
          <w:highlight w:val="none"/>
        </w:rPr>
        <w:t xml:space="preserve">28.4  </w:t>
      </w:r>
      <w:r>
        <w:rPr>
          <w:rFonts w:hint="eastAsia"/>
          <w:highlight w:val="none"/>
        </w:rPr>
        <w:t>投标截止时间之后至投标文件有效期终止之前，投标供应商不得要求撤回其投标。在此期间撤回投标的，其投标担保将会被没收。</w:t>
      </w:r>
    </w:p>
    <w:p>
      <w:pPr>
        <w:tabs>
          <w:tab w:val="clear" w:pos="426"/>
        </w:tabs>
        <w:rPr>
          <w:highlight w:val="none"/>
        </w:rPr>
      </w:pPr>
      <w:r>
        <w:rPr>
          <w:highlight w:val="none"/>
        </w:rPr>
        <w:t xml:space="preserve">28.5  </w:t>
      </w:r>
      <w:r>
        <w:rPr>
          <w:rFonts w:hint="eastAsia"/>
          <w:highlight w:val="none"/>
        </w:rPr>
        <w:t>评标结束后，不论中标与否，投标供应商均不得收回投标文件。</w:t>
      </w:r>
    </w:p>
    <w:p>
      <w:pPr>
        <w:pStyle w:val="5"/>
        <w:numPr>
          <w:ilvl w:val="3"/>
          <w:numId w:val="0"/>
        </w:numPr>
        <w:shd w:val="clear" w:color="auto" w:fill="auto"/>
        <w:tabs>
          <w:tab w:val="clear" w:pos="1680"/>
        </w:tabs>
        <w:rPr>
          <w:rFonts w:hint="eastAsia" w:cs="Times New Roman"/>
          <w:highlight w:val="none"/>
        </w:rPr>
      </w:pPr>
      <w:bookmarkStart w:id="178" w:name="_Toc14427257"/>
      <w:bookmarkStart w:id="179" w:name="_Toc152759241"/>
      <w:bookmarkStart w:id="180" w:name="_Toc530152525"/>
      <w:bookmarkStart w:id="181" w:name="_Toc529280584"/>
      <w:r>
        <w:rPr>
          <w:rFonts w:hint="eastAsia" w:cs="Times New Roman"/>
          <w:highlight w:val="none"/>
        </w:rPr>
        <w:t>第四章开标</w:t>
      </w:r>
      <w:bookmarkEnd w:id="178"/>
      <w:bookmarkEnd w:id="179"/>
      <w:bookmarkEnd w:id="180"/>
      <w:bookmarkEnd w:id="181"/>
    </w:p>
    <w:p>
      <w:pPr>
        <w:tabs>
          <w:tab w:val="clear" w:pos="426"/>
        </w:tabs>
        <w:rPr>
          <w:highlight w:val="none"/>
        </w:rPr>
      </w:pPr>
      <w:r>
        <w:rPr>
          <w:highlight w:val="none"/>
        </w:rPr>
        <w:t>29</w:t>
      </w:r>
      <w:r>
        <w:rPr>
          <w:rFonts w:hint="eastAsia"/>
          <w:highlight w:val="none"/>
        </w:rPr>
        <w:t>．　开标</w:t>
      </w:r>
    </w:p>
    <w:p>
      <w:pPr>
        <w:tabs>
          <w:tab w:val="clear" w:pos="426"/>
        </w:tabs>
        <w:rPr>
          <w:highlight w:val="none"/>
        </w:rPr>
      </w:pPr>
      <w:r>
        <w:rPr>
          <w:highlight w:val="none"/>
        </w:rPr>
        <w:t xml:space="preserve">29.1  </w:t>
      </w:r>
      <w:r>
        <w:rPr>
          <w:rFonts w:hint="eastAsia"/>
          <w:highlight w:val="none"/>
        </w:rPr>
        <w:t>采购人在“投标须知前附表”中规定的时间、地点组织公开开标。邀请所有投标供应商代表参加。不参加开标会的投标供应商，视为其认可开标程序和结果。</w:t>
      </w:r>
    </w:p>
    <w:p>
      <w:pPr>
        <w:tabs>
          <w:tab w:val="clear" w:pos="426"/>
        </w:tabs>
        <w:rPr>
          <w:highlight w:val="none"/>
        </w:rPr>
      </w:pPr>
      <w:r>
        <w:rPr>
          <w:highlight w:val="none"/>
        </w:rPr>
        <w:t xml:space="preserve">29.2  </w:t>
      </w:r>
      <w:r>
        <w:rPr>
          <w:rFonts w:hint="eastAsia"/>
          <w:highlight w:val="none"/>
        </w:rPr>
        <w:t>参加开标会议的投标供应商只委派一名代表，且必须是本单位法定代表人或授权代表，参加会议人员须提供相应的授权委托书。</w:t>
      </w:r>
    </w:p>
    <w:p>
      <w:pPr>
        <w:tabs>
          <w:tab w:val="clear" w:pos="426"/>
        </w:tabs>
        <w:rPr>
          <w:highlight w:val="none"/>
        </w:rPr>
      </w:pPr>
      <w:r>
        <w:rPr>
          <w:highlight w:val="none"/>
        </w:rPr>
        <w:t xml:space="preserve">29.3  </w:t>
      </w:r>
      <w:r>
        <w:rPr>
          <w:rFonts w:hint="eastAsia"/>
          <w:highlight w:val="none"/>
        </w:rPr>
        <w:t>开标会由采购代理机构主持，开标程序如下：</w:t>
      </w:r>
    </w:p>
    <w:p>
      <w:pPr>
        <w:tabs>
          <w:tab w:val="clear" w:pos="426"/>
        </w:tabs>
        <w:rPr>
          <w:highlight w:val="none"/>
        </w:rPr>
      </w:pPr>
      <w:r>
        <w:rPr>
          <w:highlight w:val="none"/>
        </w:rPr>
        <w:t xml:space="preserve">29.3.1  </w:t>
      </w:r>
      <w:r>
        <w:rPr>
          <w:rFonts w:hint="eastAsia"/>
          <w:highlight w:val="none"/>
        </w:rPr>
        <w:t>采购代理机构核对法人代表或其授权代表身份证明，若不能提供相应的身份证明或不相符，则不能参与开标会议；</w:t>
      </w:r>
    </w:p>
    <w:p>
      <w:pPr>
        <w:tabs>
          <w:tab w:val="clear" w:pos="426"/>
        </w:tabs>
        <w:rPr>
          <w:szCs w:val="21"/>
          <w:highlight w:val="none"/>
        </w:rPr>
      </w:pPr>
      <w:r>
        <w:rPr>
          <w:szCs w:val="21"/>
          <w:highlight w:val="none"/>
        </w:rPr>
        <w:t xml:space="preserve">29.3.2  </w:t>
      </w:r>
      <w:r>
        <w:rPr>
          <w:rFonts w:hint="eastAsia"/>
          <w:szCs w:val="21"/>
          <w:highlight w:val="none"/>
        </w:rPr>
        <w:t>招标机构将按“招标公告”规定的时间和地点组织公开开标。投标供应商应委派代表参加，参加开标的代表应签名报到以证明出席。</w:t>
      </w:r>
    </w:p>
    <w:p>
      <w:pPr>
        <w:tabs>
          <w:tab w:val="clear" w:pos="426"/>
        </w:tabs>
        <w:rPr>
          <w:szCs w:val="21"/>
          <w:highlight w:val="none"/>
        </w:rPr>
      </w:pPr>
      <w:r>
        <w:rPr>
          <w:szCs w:val="21"/>
          <w:highlight w:val="none"/>
        </w:rPr>
        <w:t xml:space="preserve">29.3.3  </w:t>
      </w:r>
      <w:r>
        <w:rPr>
          <w:rFonts w:hint="eastAsia"/>
          <w:szCs w:val="21"/>
          <w:highlight w:val="none"/>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szCs w:val="21"/>
          <w:highlight w:val="none"/>
        </w:rPr>
      </w:pPr>
      <w:r>
        <w:rPr>
          <w:rFonts w:hint="eastAsia"/>
          <w:szCs w:val="21"/>
          <w:highlight w:val="none"/>
        </w:rPr>
        <w:t>除了按照本通用条款第</w:t>
      </w:r>
      <w:r>
        <w:rPr>
          <w:szCs w:val="21"/>
          <w:highlight w:val="none"/>
        </w:rPr>
        <w:t>26</w:t>
      </w:r>
      <w:r>
        <w:rPr>
          <w:rFonts w:hint="eastAsia"/>
          <w:szCs w:val="21"/>
          <w:highlight w:val="none"/>
        </w:rPr>
        <w:t>条规定原封退回的投标之外，开标时将不得拒绝任何投标书。</w:t>
      </w:r>
    </w:p>
    <w:p>
      <w:pPr>
        <w:tabs>
          <w:tab w:val="clear" w:pos="426"/>
        </w:tabs>
        <w:rPr>
          <w:szCs w:val="21"/>
          <w:highlight w:val="none"/>
        </w:rPr>
      </w:pPr>
      <w:r>
        <w:rPr>
          <w:szCs w:val="21"/>
          <w:highlight w:val="none"/>
        </w:rPr>
        <w:t xml:space="preserve">29.3.4  </w:t>
      </w:r>
      <w:r>
        <w:rPr>
          <w:rFonts w:hint="eastAsia"/>
          <w:szCs w:val="21"/>
          <w:highlight w:val="none"/>
        </w:rPr>
        <w:t>开标时，招标机构仅拆封开标信封。如投标供应商未单独密封包装开标信封，招标机构有权拆封投标文件。</w:t>
      </w:r>
    </w:p>
    <w:p>
      <w:pPr>
        <w:tabs>
          <w:tab w:val="clear" w:pos="426"/>
        </w:tabs>
        <w:rPr>
          <w:szCs w:val="21"/>
          <w:highlight w:val="none"/>
        </w:rPr>
      </w:pPr>
      <w:r>
        <w:rPr>
          <w:szCs w:val="21"/>
          <w:highlight w:val="none"/>
        </w:rPr>
        <w:t xml:space="preserve">29.3.5  </w:t>
      </w:r>
      <w:r>
        <w:rPr>
          <w:rFonts w:hint="eastAsia"/>
          <w:szCs w:val="21"/>
          <w:highlight w:val="none"/>
        </w:rPr>
        <w:t>按照投标供应商须知第</w:t>
      </w:r>
      <w:r>
        <w:rPr>
          <w:szCs w:val="21"/>
          <w:highlight w:val="none"/>
        </w:rPr>
        <w:t>28</w:t>
      </w:r>
      <w:r>
        <w:rPr>
          <w:rFonts w:hint="eastAsia"/>
          <w:szCs w:val="21"/>
          <w:highlight w:val="none"/>
        </w:rPr>
        <w:t>条规定，提交了可接受的</w:t>
      </w:r>
      <w:r>
        <w:rPr>
          <w:szCs w:val="21"/>
          <w:highlight w:val="none"/>
        </w:rPr>
        <w:t>“</w:t>
      </w:r>
      <w:r>
        <w:rPr>
          <w:rFonts w:hint="eastAsia"/>
          <w:szCs w:val="21"/>
          <w:highlight w:val="none"/>
        </w:rPr>
        <w:t>撤回</w:t>
      </w:r>
      <w:r>
        <w:rPr>
          <w:szCs w:val="21"/>
          <w:highlight w:val="none"/>
        </w:rPr>
        <w:t>”</w:t>
      </w:r>
      <w:r>
        <w:rPr>
          <w:rFonts w:hint="eastAsia"/>
          <w:szCs w:val="21"/>
          <w:highlight w:val="none"/>
        </w:rPr>
        <w:t>通知的投标将不予开封。</w:t>
      </w:r>
    </w:p>
    <w:p>
      <w:pPr>
        <w:tabs>
          <w:tab w:val="clear" w:pos="426"/>
        </w:tabs>
        <w:rPr>
          <w:szCs w:val="21"/>
          <w:highlight w:val="none"/>
        </w:rPr>
      </w:pPr>
      <w:r>
        <w:rPr>
          <w:szCs w:val="21"/>
          <w:highlight w:val="none"/>
        </w:rPr>
        <w:t xml:space="preserve">29.3.6  </w:t>
      </w:r>
      <w:r>
        <w:rPr>
          <w:rFonts w:hint="eastAsia"/>
          <w:szCs w:val="21"/>
          <w:highlight w:val="none"/>
        </w:rPr>
        <w:t>无论如何在开标时没有启封和读出的投标书在评标时将不予考虑。撤回的投标书将原封退回投标供应商。</w:t>
      </w:r>
    </w:p>
    <w:p>
      <w:pPr>
        <w:tabs>
          <w:tab w:val="clear" w:pos="426"/>
        </w:tabs>
        <w:rPr>
          <w:szCs w:val="21"/>
          <w:highlight w:val="none"/>
        </w:rPr>
      </w:pPr>
      <w:r>
        <w:rPr>
          <w:szCs w:val="21"/>
          <w:highlight w:val="none"/>
        </w:rPr>
        <w:t xml:space="preserve">29.3.7  </w:t>
      </w:r>
      <w:r>
        <w:rPr>
          <w:rFonts w:hint="eastAsia"/>
          <w:szCs w:val="21"/>
          <w:highlight w:val="none"/>
        </w:rPr>
        <w:t>招标机构将做开标记录，开标记录包括按本通用条款第</w:t>
      </w:r>
      <w:r>
        <w:rPr>
          <w:szCs w:val="21"/>
          <w:highlight w:val="none"/>
        </w:rPr>
        <w:t>29.3.3</w:t>
      </w:r>
      <w:r>
        <w:rPr>
          <w:rFonts w:hint="eastAsia"/>
          <w:szCs w:val="21"/>
          <w:highlight w:val="none"/>
        </w:rPr>
        <w:t>的规定在开标时宣读的全部内容。</w:t>
      </w:r>
    </w:p>
    <w:p>
      <w:pPr>
        <w:tabs>
          <w:tab w:val="clear" w:pos="426"/>
        </w:tabs>
        <w:rPr>
          <w:highlight w:val="none"/>
        </w:rPr>
      </w:pPr>
      <w:r>
        <w:rPr>
          <w:highlight w:val="none"/>
        </w:rPr>
        <w:t xml:space="preserve">29.3.8  </w:t>
      </w:r>
      <w:r>
        <w:rPr>
          <w:rFonts w:hint="eastAsia"/>
          <w:highlight w:val="none"/>
        </w:rPr>
        <w:t>供应商在开标过程中知道或者应知其权益受到损害时必须现场明确提出，未明确提出的，即视为认可开标结果。</w:t>
      </w:r>
    </w:p>
    <w:p>
      <w:pPr>
        <w:pStyle w:val="5"/>
        <w:numPr>
          <w:ilvl w:val="3"/>
          <w:numId w:val="0"/>
        </w:numPr>
        <w:shd w:val="clear" w:color="auto" w:fill="auto"/>
        <w:tabs>
          <w:tab w:val="clear" w:pos="1680"/>
        </w:tabs>
        <w:rPr>
          <w:rFonts w:hint="eastAsia" w:cs="Times New Roman"/>
          <w:highlight w:val="none"/>
        </w:rPr>
      </w:pPr>
      <w:bookmarkStart w:id="182" w:name="_Toc530152526"/>
      <w:bookmarkStart w:id="183" w:name="_Toc14427258"/>
      <w:bookmarkStart w:id="184" w:name="_Toc152759242"/>
      <w:bookmarkStart w:id="185" w:name="_Toc529280585"/>
      <w:r>
        <w:rPr>
          <w:rFonts w:hint="eastAsia" w:cs="Times New Roman"/>
          <w:highlight w:val="none"/>
        </w:rPr>
        <w:t>第五章评标要求</w:t>
      </w:r>
      <w:bookmarkEnd w:id="182"/>
      <w:bookmarkEnd w:id="183"/>
      <w:bookmarkEnd w:id="184"/>
      <w:bookmarkEnd w:id="185"/>
    </w:p>
    <w:p>
      <w:pPr>
        <w:tabs>
          <w:tab w:val="clear" w:pos="426"/>
        </w:tabs>
        <w:rPr>
          <w:highlight w:val="none"/>
        </w:rPr>
      </w:pPr>
      <w:r>
        <w:rPr>
          <w:highlight w:val="none"/>
        </w:rPr>
        <w:t>30</w:t>
      </w:r>
      <w:r>
        <w:rPr>
          <w:rFonts w:hint="eastAsia"/>
          <w:highlight w:val="none"/>
        </w:rPr>
        <w:t>．评标委员会组成</w:t>
      </w:r>
    </w:p>
    <w:p>
      <w:pPr>
        <w:tabs>
          <w:tab w:val="clear" w:pos="426"/>
        </w:tabs>
        <w:rPr>
          <w:highlight w:val="none"/>
        </w:rPr>
      </w:pPr>
      <w:r>
        <w:rPr>
          <w:highlight w:val="none"/>
        </w:rPr>
        <w:t>30.1</w:t>
      </w:r>
      <w:r>
        <w:rPr>
          <w:rFonts w:hint="eastAsia"/>
          <w:highlight w:val="none"/>
        </w:rPr>
        <w:t>开标结束后召开评标会议，评标委员会由采购代理机构依法组建，负责评标活动。</w:t>
      </w:r>
    </w:p>
    <w:p>
      <w:pPr>
        <w:tabs>
          <w:tab w:val="clear" w:pos="426"/>
        </w:tabs>
        <w:rPr>
          <w:highlight w:val="none"/>
        </w:rPr>
      </w:pPr>
      <w:r>
        <w:rPr>
          <w:rFonts w:hint="eastAsia"/>
          <w:highlight w:val="none"/>
        </w:rPr>
        <w:t>评标委员会的组成及行为规范执行《中华人民共和国政府采购法》《中华人民共和国政府采购法实施条例》，评标委员会由采购人代表和有关技术、经济等方面的专家组成，成员人数为</w:t>
      </w:r>
      <w:r>
        <w:rPr>
          <w:highlight w:val="none"/>
        </w:rPr>
        <w:t>5</w:t>
      </w:r>
      <w:r>
        <w:rPr>
          <w:rFonts w:hint="eastAsia"/>
          <w:highlight w:val="none"/>
        </w:rPr>
        <w:t>人以上（含</w:t>
      </w:r>
      <w:r>
        <w:rPr>
          <w:highlight w:val="none"/>
        </w:rPr>
        <w:t>5</w:t>
      </w:r>
      <w:r>
        <w:rPr>
          <w:rFonts w:hint="eastAsia"/>
          <w:highlight w:val="none"/>
        </w:rPr>
        <w:t>人）单数，其中技术、经济等方面的专家不少于成员总数的三分之二。</w:t>
      </w:r>
    </w:p>
    <w:p>
      <w:pPr>
        <w:tabs>
          <w:tab w:val="clear" w:pos="426"/>
        </w:tabs>
        <w:rPr>
          <w:highlight w:val="none"/>
        </w:rPr>
      </w:pPr>
      <w:r>
        <w:rPr>
          <w:rFonts w:hint="eastAsia"/>
          <w:highlight w:val="none"/>
        </w:rPr>
        <w:t>为保证评委人选的专业性，以及评标中的公平公正性，评标委员会成员从深圳市财政委员会评标专家库中随机抽取。</w:t>
      </w:r>
    </w:p>
    <w:p>
      <w:pPr>
        <w:tabs>
          <w:tab w:val="clear" w:pos="426"/>
        </w:tabs>
        <w:rPr>
          <w:highlight w:val="none"/>
        </w:rPr>
      </w:pPr>
      <w:r>
        <w:rPr>
          <w:rFonts w:hint="eastAsia"/>
          <w:highlight w:val="none"/>
        </w:rPr>
        <w:t>采购人代表须持本单位签发的《评标授权书》参加评标。</w:t>
      </w:r>
    </w:p>
    <w:p>
      <w:pPr>
        <w:tabs>
          <w:tab w:val="clear" w:pos="426"/>
        </w:tabs>
        <w:rPr>
          <w:highlight w:val="none"/>
        </w:rPr>
      </w:pPr>
      <w:r>
        <w:rPr>
          <w:rFonts w:hint="eastAsia"/>
          <w:highlight w:val="none"/>
        </w:rPr>
        <w:t>采购人无代表参与评标，应在开标前一天提交《采购人不派评委参与项目评标承诺书》给采购代理机构。</w:t>
      </w:r>
    </w:p>
    <w:p>
      <w:pPr>
        <w:tabs>
          <w:tab w:val="clear" w:pos="426"/>
        </w:tabs>
        <w:rPr>
          <w:sz w:val="24"/>
          <w:highlight w:val="none"/>
        </w:rPr>
      </w:pPr>
      <w:r>
        <w:rPr>
          <w:rFonts w:hint="eastAsia"/>
          <w:highlight w:val="none"/>
        </w:rPr>
        <w:t>注：《评标授权书》《采购人不派评委参与项目评标承诺书》模板由采购代理机构提供</w:t>
      </w:r>
      <w:r>
        <w:rPr>
          <w:rFonts w:hint="eastAsia"/>
          <w:sz w:val="24"/>
          <w:highlight w:val="none"/>
        </w:rPr>
        <w:t>。</w:t>
      </w:r>
    </w:p>
    <w:p>
      <w:pPr>
        <w:tabs>
          <w:tab w:val="clear" w:pos="426"/>
        </w:tabs>
        <w:rPr>
          <w:highlight w:val="none"/>
        </w:rPr>
      </w:pPr>
      <w:r>
        <w:rPr>
          <w:highlight w:val="none"/>
        </w:rPr>
        <w:t>30.2</w:t>
      </w:r>
      <w:r>
        <w:rPr>
          <w:rFonts w:hint="eastAsia"/>
          <w:highlight w:val="none"/>
        </w:rPr>
        <w:t>评标定标应当遵循公平、公正、科学、择优的原则。</w:t>
      </w:r>
    </w:p>
    <w:p>
      <w:pPr>
        <w:tabs>
          <w:tab w:val="clear" w:pos="426"/>
        </w:tabs>
        <w:rPr>
          <w:highlight w:val="none"/>
        </w:rPr>
      </w:pPr>
      <w:r>
        <w:rPr>
          <w:highlight w:val="none"/>
        </w:rPr>
        <w:t>30.3</w:t>
      </w:r>
      <w:r>
        <w:rPr>
          <w:rFonts w:hint="eastAsia"/>
          <w:highlight w:val="none"/>
        </w:rPr>
        <w:t>评标活动依法进行，任何单位和个人不得非法干预评标过程和结果。</w:t>
      </w:r>
    </w:p>
    <w:p>
      <w:pPr>
        <w:tabs>
          <w:tab w:val="clear" w:pos="426"/>
        </w:tabs>
        <w:rPr>
          <w:highlight w:val="none"/>
        </w:rPr>
      </w:pPr>
      <w:r>
        <w:rPr>
          <w:highlight w:val="none"/>
        </w:rPr>
        <w:t>30.4</w:t>
      </w:r>
      <w:r>
        <w:rPr>
          <w:rFonts w:hint="eastAsia"/>
          <w:highlight w:val="none"/>
        </w:rPr>
        <w:t>评标过程中不允许违背评标程序或采用招标文件未载明的评标方法或评标因素进行评标。</w:t>
      </w:r>
    </w:p>
    <w:p>
      <w:pPr>
        <w:tabs>
          <w:tab w:val="clear" w:pos="426"/>
        </w:tabs>
        <w:rPr>
          <w:highlight w:val="none"/>
        </w:rPr>
      </w:pPr>
      <w:r>
        <w:rPr>
          <w:highlight w:val="none"/>
        </w:rPr>
        <w:t xml:space="preserve">30.5 </w:t>
      </w:r>
      <w:r>
        <w:rPr>
          <w:rFonts w:hint="eastAsia"/>
          <w:highlight w:val="none"/>
        </w:rPr>
        <w:t>开标后，直到授予中标供应商合同为止，凡属于对投标文件的审查、澄清、评价和比较的有关资料以及中标候选人的推荐情况、与评标有关的其他任何情况均严格保密。</w:t>
      </w:r>
    </w:p>
    <w:p>
      <w:pPr>
        <w:tabs>
          <w:tab w:val="clear" w:pos="426"/>
        </w:tabs>
        <w:rPr>
          <w:highlight w:val="none"/>
        </w:rPr>
      </w:pPr>
      <w:r>
        <w:rPr>
          <w:highlight w:val="none"/>
        </w:rPr>
        <w:t>31</w:t>
      </w:r>
      <w:r>
        <w:rPr>
          <w:rFonts w:hint="eastAsia"/>
          <w:highlight w:val="none"/>
        </w:rPr>
        <w:t>．向评标委员会提供的资料</w:t>
      </w:r>
    </w:p>
    <w:p>
      <w:pPr>
        <w:tabs>
          <w:tab w:val="clear" w:pos="426"/>
        </w:tabs>
        <w:rPr>
          <w:highlight w:val="none"/>
        </w:rPr>
      </w:pPr>
      <w:r>
        <w:rPr>
          <w:highlight w:val="none"/>
        </w:rPr>
        <w:t>31.1</w:t>
      </w:r>
      <w:r>
        <w:rPr>
          <w:rFonts w:hint="eastAsia"/>
          <w:highlight w:val="none"/>
        </w:rPr>
        <w:t>公开发布的招标文件，包括图纸、服务清单、答疑文件等；</w:t>
      </w:r>
    </w:p>
    <w:p>
      <w:pPr>
        <w:tabs>
          <w:tab w:val="clear" w:pos="426"/>
        </w:tabs>
        <w:rPr>
          <w:highlight w:val="none"/>
        </w:rPr>
      </w:pPr>
      <w:r>
        <w:rPr>
          <w:highlight w:val="none"/>
        </w:rPr>
        <w:t>31.2</w:t>
      </w:r>
      <w:r>
        <w:rPr>
          <w:rFonts w:hint="eastAsia"/>
          <w:highlight w:val="none"/>
        </w:rPr>
        <w:t>其他评标必须的资料。</w:t>
      </w:r>
    </w:p>
    <w:p>
      <w:pPr>
        <w:tabs>
          <w:tab w:val="clear" w:pos="426"/>
        </w:tabs>
        <w:rPr>
          <w:highlight w:val="none"/>
        </w:rPr>
      </w:pPr>
      <w:r>
        <w:rPr>
          <w:highlight w:val="none"/>
        </w:rPr>
        <w:t>31.3</w:t>
      </w:r>
      <w:r>
        <w:rPr>
          <w:rFonts w:hint="eastAsia"/>
          <w:highlight w:val="none"/>
        </w:rPr>
        <w:t>评标委员会应当认真研究招标文件，至少应了解熟悉以下内容：</w:t>
      </w:r>
    </w:p>
    <w:p>
      <w:pPr>
        <w:tabs>
          <w:tab w:val="clear" w:pos="426"/>
        </w:tabs>
        <w:rPr>
          <w:highlight w:val="none"/>
        </w:rPr>
      </w:pPr>
      <w:r>
        <w:rPr>
          <w:rFonts w:hint="eastAsia"/>
          <w:highlight w:val="none"/>
        </w:rPr>
        <w:t>（</w:t>
      </w:r>
      <w:r>
        <w:rPr>
          <w:highlight w:val="none"/>
        </w:rPr>
        <w:t>1</w:t>
      </w:r>
      <w:r>
        <w:rPr>
          <w:rFonts w:hint="eastAsia"/>
          <w:highlight w:val="none"/>
        </w:rPr>
        <w:t>）招标的目的；</w:t>
      </w:r>
    </w:p>
    <w:p>
      <w:pPr>
        <w:tabs>
          <w:tab w:val="clear" w:pos="426"/>
        </w:tabs>
        <w:rPr>
          <w:highlight w:val="none"/>
        </w:rPr>
      </w:pPr>
      <w:r>
        <w:rPr>
          <w:rFonts w:hint="eastAsia"/>
          <w:highlight w:val="none"/>
        </w:rPr>
        <w:t>（</w:t>
      </w:r>
      <w:r>
        <w:rPr>
          <w:highlight w:val="none"/>
        </w:rPr>
        <w:t>2</w:t>
      </w:r>
      <w:r>
        <w:rPr>
          <w:rFonts w:hint="eastAsia"/>
          <w:highlight w:val="none"/>
        </w:rPr>
        <w:t>）招标项目需求的范围和性质；</w:t>
      </w:r>
    </w:p>
    <w:p>
      <w:pPr>
        <w:tabs>
          <w:tab w:val="clear" w:pos="426"/>
        </w:tabs>
        <w:rPr>
          <w:highlight w:val="none"/>
        </w:rPr>
      </w:pPr>
      <w:r>
        <w:rPr>
          <w:rFonts w:hint="eastAsia"/>
          <w:highlight w:val="none"/>
        </w:rPr>
        <w:t>（</w:t>
      </w:r>
      <w:r>
        <w:rPr>
          <w:highlight w:val="none"/>
        </w:rPr>
        <w:t>3</w:t>
      </w:r>
      <w:r>
        <w:rPr>
          <w:rFonts w:hint="eastAsia"/>
          <w:highlight w:val="none"/>
        </w:rPr>
        <w:t>）招标文件规定的投标供应商的资格、财政预算限额、商务条款；</w:t>
      </w:r>
    </w:p>
    <w:p>
      <w:pPr>
        <w:tabs>
          <w:tab w:val="clear" w:pos="426"/>
        </w:tabs>
        <w:rPr>
          <w:highlight w:val="none"/>
        </w:rPr>
      </w:pPr>
      <w:r>
        <w:rPr>
          <w:rFonts w:hint="eastAsia"/>
          <w:highlight w:val="none"/>
        </w:rPr>
        <w:t>（</w:t>
      </w:r>
      <w:r>
        <w:rPr>
          <w:highlight w:val="none"/>
        </w:rPr>
        <w:t>4</w:t>
      </w:r>
      <w:r>
        <w:rPr>
          <w:rFonts w:hint="eastAsia"/>
          <w:highlight w:val="none"/>
        </w:rPr>
        <w:t>）招标文件规定的评标程序、评标方法和评标因素；</w:t>
      </w:r>
    </w:p>
    <w:p>
      <w:pPr>
        <w:tabs>
          <w:tab w:val="clear" w:pos="426"/>
        </w:tabs>
        <w:rPr>
          <w:highlight w:val="none"/>
        </w:rPr>
      </w:pPr>
      <w:r>
        <w:rPr>
          <w:rFonts w:hint="eastAsia"/>
          <w:highlight w:val="none"/>
        </w:rPr>
        <w:t>（</w:t>
      </w:r>
      <w:r>
        <w:rPr>
          <w:highlight w:val="none"/>
        </w:rPr>
        <w:t>5</w:t>
      </w:r>
      <w:r>
        <w:rPr>
          <w:rFonts w:hint="eastAsia"/>
          <w:highlight w:val="none"/>
        </w:rPr>
        <w:t>）招标文件所列示的投标文件“资格、符合性评审条款”。</w:t>
      </w:r>
    </w:p>
    <w:p>
      <w:pPr>
        <w:tabs>
          <w:tab w:val="clear" w:pos="426"/>
        </w:tabs>
        <w:rPr>
          <w:highlight w:val="none"/>
        </w:rPr>
      </w:pPr>
      <w:r>
        <w:rPr>
          <w:highlight w:val="none"/>
        </w:rPr>
        <w:t>32</w:t>
      </w:r>
      <w:r>
        <w:rPr>
          <w:rFonts w:hint="eastAsia"/>
          <w:highlight w:val="none"/>
        </w:rPr>
        <w:t>．独立评标</w:t>
      </w:r>
    </w:p>
    <w:p>
      <w:pPr>
        <w:tabs>
          <w:tab w:val="clear" w:pos="426"/>
        </w:tabs>
        <w:rPr>
          <w:szCs w:val="21"/>
          <w:highlight w:val="none"/>
        </w:rPr>
      </w:pPr>
      <w:r>
        <w:rPr>
          <w:highlight w:val="none"/>
        </w:rPr>
        <w:t>32.1</w:t>
      </w:r>
      <w:r>
        <w:rPr>
          <w:rFonts w:hint="eastAsia"/>
          <w:highlight w:val="none"/>
        </w:rPr>
        <w:t>评标委员会成员的评标活动应当独立进行，并应遵循投标文件初审、澄清有关问题、比较与评价、确定中标候选供应商、编写评标报告的工作程序。</w:t>
      </w:r>
    </w:p>
    <w:p>
      <w:pPr>
        <w:pStyle w:val="5"/>
        <w:numPr>
          <w:ilvl w:val="3"/>
          <w:numId w:val="0"/>
        </w:numPr>
        <w:shd w:val="clear" w:color="auto" w:fill="auto"/>
        <w:tabs>
          <w:tab w:val="clear" w:pos="1680"/>
        </w:tabs>
        <w:rPr>
          <w:rFonts w:hint="eastAsia" w:cs="Times New Roman"/>
          <w:highlight w:val="none"/>
        </w:rPr>
      </w:pPr>
      <w:bookmarkStart w:id="186" w:name="_Toc529280586"/>
      <w:bookmarkStart w:id="187" w:name="_Toc152759243"/>
      <w:bookmarkStart w:id="188" w:name="_Toc530152527"/>
      <w:bookmarkStart w:id="189" w:name="_Toc14427259"/>
      <w:r>
        <w:rPr>
          <w:rFonts w:hint="eastAsia" w:cs="Times New Roman"/>
          <w:highlight w:val="none"/>
        </w:rPr>
        <w:t>第六章评标程序及评标方法</w:t>
      </w:r>
      <w:bookmarkEnd w:id="186"/>
      <w:bookmarkEnd w:id="187"/>
      <w:bookmarkEnd w:id="188"/>
      <w:bookmarkEnd w:id="189"/>
    </w:p>
    <w:p>
      <w:pPr>
        <w:tabs>
          <w:tab w:val="clear" w:pos="426"/>
        </w:tabs>
        <w:rPr>
          <w:highlight w:val="none"/>
        </w:rPr>
      </w:pPr>
      <w:r>
        <w:rPr>
          <w:highlight w:val="none"/>
        </w:rPr>
        <w:t>33</w:t>
      </w:r>
      <w:r>
        <w:rPr>
          <w:rFonts w:hint="eastAsia"/>
          <w:highlight w:val="none"/>
        </w:rPr>
        <w:t>．投标文件初审</w:t>
      </w:r>
    </w:p>
    <w:p>
      <w:pPr>
        <w:widowControl w:val="0"/>
        <w:shd w:val="clear" w:color="auto" w:fill="auto"/>
        <w:tabs>
          <w:tab w:val="clear" w:pos="426"/>
        </w:tabs>
        <w:autoSpaceDE w:val="0"/>
        <w:autoSpaceDN w:val="0"/>
        <w:rPr>
          <w:rFonts w:cs="黑体"/>
          <w:b/>
          <w:bCs/>
          <w:szCs w:val="21"/>
          <w:highlight w:val="none"/>
        </w:rPr>
      </w:pPr>
      <w:r>
        <w:rPr>
          <w:highlight w:val="none"/>
        </w:rPr>
        <w:t xml:space="preserve">33.1 </w:t>
      </w:r>
      <w:r>
        <w:rPr>
          <w:rFonts w:hint="eastAsia"/>
          <w:szCs w:val="21"/>
          <w:highlight w:val="none"/>
          <w:lang w:eastAsia="zh-TW"/>
        </w:rPr>
        <w:t>评标委员会将</w:t>
      </w:r>
      <w:r>
        <w:rPr>
          <w:rFonts w:hint="eastAsia"/>
          <w:szCs w:val="21"/>
          <w:highlight w:val="none"/>
        </w:rPr>
        <w:t>依法对投标文件进行初审。</w:t>
      </w:r>
      <w:r>
        <w:rPr>
          <w:rFonts w:hint="eastAsia"/>
          <w:highlight w:val="none"/>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b/>
          <w:highlight w:val="none"/>
        </w:rPr>
      </w:pPr>
      <w:r>
        <w:rPr>
          <w:highlight w:val="none"/>
        </w:rPr>
        <w:t xml:space="preserve">33.2 </w:t>
      </w:r>
      <w:r>
        <w:rPr>
          <w:rFonts w:hint="eastAsia"/>
          <w:highlight w:val="none"/>
        </w:rPr>
        <w:t>投标文件初审内容请详见“</w:t>
      </w:r>
      <w:r>
        <w:rPr>
          <w:rFonts w:hint="eastAsia"/>
          <w:b/>
          <w:highlight w:val="none"/>
        </w:rPr>
        <w:t>资格、符合性评审条款</w:t>
      </w:r>
      <w:r>
        <w:rPr>
          <w:rFonts w:hint="eastAsia"/>
          <w:highlight w:val="none"/>
        </w:rPr>
        <w:t>”。投标供应商若有一条审查不通过则按无效标处理。评标委员会对投标单位打√为通过审查，打×为未通过审查。</w:t>
      </w:r>
    </w:p>
    <w:p>
      <w:pPr>
        <w:tabs>
          <w:tab w:val="clear" w:pos="426"/>
        </w:tabs>
        <w:rPr>
          <w:highlight w:val="none"/>
        </w:rPr>
      </w:pPr>
      <w:r>
        <w:rPr>
          <w:highlight w:val="none"/>
        </w:rPr>
        <w:t xml:space="preserve">33.3 </w:t>
      </w:r>
      <w:r>
        <w:rPr>
          <w:rFonts w:hint="eastAsia"/>
          <w:highlight w:val="none"/>
        </w:rPr>
        <w:t>投标文件初审中关于供应商家数的计算。</w:t>
      </w:r>
    </w:p>
    <w:p>
      <w:pPr>
        <w:tabs>
          <w:tab w:val="clear" w:pos="426"/>
        </w:tabs>
        <w:rPr>
          <w:highlight w:val="none"/>
        </w:rPr>
      </w:pPr>
      <w:r>
        <w:rPr>
          <w:highlight w:val="none"/>
        </w:rPr>
        <w:t xml:space="preserve">33.3.1 </w:t>
      </w:r>
      <w:r>
        <w:rPr>
          <w:rFonts w:hint="eastAsia"/>
          <w:highlight w:val="none"/>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highlight w:val="none"/>
        </w:rPr>
      </w:pPr>
      <w:r>
        <w:rPr>
          <w:highlight w:val="none"/>
        </w:rPr>
        <w:t>33.3.2</w:t>
      </w:r>
      <w:r>
        <w:rPr>
          <w:rFonts w:hint="eastAsia"/>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highlight w:val="none"/>
        </w:rPr>
      </w:pPr>
      <w:r>
        <w:rPr>
          <w:highlight w:val="none"/>
        </w:rPr>
        <w:t>33.3.3</w:t>
      </w:r>
      <w:r>
        <w:rPr>
          <w:rFonts w:hint="eastAsia"/>
          <w:highlight w:val="none"/>
        </w:rPr>
        <w:t>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highlight w:val="none"/>
        </w:rPr>
      </w:pPr>
      <w:r>
        <w:rPr>
          <w:highlight w:val="none"/>
        </w:rPr>
        <w:t>33.3.4</w:t>
      </w:r>
      <w:r>
        <w:rPr>
          <w:rFonts w:hint="eastAsia"/>
          <w:highlight w:val="none"/>
        </w:rPr>
        <w:t>公开招标以外采购方式以及采购服务和工程涉及采购货物的项目，也按此方法计算供应商家数。</w:t>
      </w:r>
    </w:p>
    <w:p>
      <w:pPr>
        <w:tabs>
          <w:tab w:val="clear" w:pos="426"/>
        </w:tabs>
        <w:rPr>
          <w:b/>
          <w:bCs/>
          <w:highlight w:val="none"/>
        </w:rPr>
      </w:pPr>
      <w:r>
        <w:rPr>
          <w:highlight w:val="none"/>
        </w:rPr>
        <w:t xml:space="preserve">33.4 </w:t>
      </w:r>
      <w:r>
        <w:rPr>
          <w:rFonts w:hint="eastAsia"/>
          <w:highlight w:val="none"/>
        </w:rPr>
        <w:t>对不属于投标文件“</w:t>
      </w:r>
      <w:r>
        <w:rPr>
          <w:rFonts w:hint="eastAsia"/>
          <w:b/>
          <w:highlight w:val="none"/>
        </w:rPr>
        <w:t>资格、符合性评审条款</w:t>
      </w:r>
      <w:r>
        <w:rPr>
          <w:rFonts w:hint="eastAsia"/>
          <w:highlight w:val="none"/>
        </w:rPr>
        <w:t>”要所列不符合的情形，除法律法规另有规定外，不得作为废标的理由。</w:t>
      </w:r>
    </w:p>
    <w:p>
      <w:pPr>
        <w:tabs>
          <w:tab w:val="clear" w:pos="426"/>
        </w:tabs>
        <w:rPr>
          <w:highlight w:val="none"/>
        </w:rPr>
      </w:pPr>
      <w:r>
        <w:rPr>
          <w:highlight w:val="none"/>
        </w:rPr>
        <w:t>34</w:t>
      </w:r>
      <w:r>
        <w:rPr>
          <w:rFonts w:hint="eastAsia"/>
          <w:highlight w:val="none"/>
        </w:rPr>
        <w:t>．澄清有关问题</w:t>
      </w:r>
    </w:p>
    <w:p>
      <w:pPr>
        <w:tabs>
          <w:tab w:val="clear" w:pos="426"/>
        </w:tabs>
        <w:rPr>
          <w:highlight w:val="none"/>
        </w:rPr>
      </w:pPr>
      <w:r>
        <w:rPr>
          <w:rFonts w:hint="eastAsia"/>
          <w:highlight w:val="none"/>
        </w:rPr>
        <w:t>为了有助于投标文件的审查、评价和比较，对投标文件含义不明确、同类问题表述不一致或者有明显文字和计算错误的内容，评标委员会可以用书面形式</w:t>
      </w:r>
      <w:r>
        <w:rPr>
          <w:highlight w:val="none"/>
        </w:rPr>
        <w:t>(</w:t>
      </w:r>
      <w:r>
        <w:rPr>
          <w:rFonts w:hint="eastAsia"/>
          <w:highlight w:val="none"/>
        </w:rPr>
        <w:t>应当由评标委员会签字</w:t>
      </w:r>
      <w:r>
        <w:rPr>
          <w:highlight w:val="none"/>
        </w:rPr>
        <w:t>)</w:t>
      </w:r>
      <w:r>
        <w:rPr>
          <w:rFonts w:hint="eastAsia"/>
          <w:highlight w:val="none"/>
        </w:rPr>
        <w:t>要求投标供应商作出必要的澄清、说明或者纠正。投标供应商的澄清、说明或者补正应当用采用书面形式（由其授权的代表签字），并不得超出投标文件的范围或者改变投标文件的实质性的内容。根据本通用条款第</w:t>
      </w:r>
      <w:r>
        <w:rPr>
          <w:highlight w:val="none"/>
        </w:rPr>
        <w:t>34</w:t>
      </w:r>
      <w:r>
        <w:rPr>
          <w:rFonts w:hint="eastAsia"/>
          <w:highlight w:val="none"/>
        </w:rPr>
        <w:t>条，凡属于评标委员会在评标中发现的算术错误进行核实的修改不在此列。</w:t>
      </w:r>
    </w:p>
    <w:p>
      <w:pPr>
        <w:tabs>
          <w:tab w:val="clear" w:pos="426"/>
        </w:tabs>
        <w:rPr>
          <w:highlight w:val="none"/>
        </w:rPr>
      </w:pPr>
      <w:r>
        <w:rPr>
          <w:highlight w:val="none"/>
        </w:rPr>
        <w:t>35</w:t>
      </w:r>
      <w:r>
        <w:rPr>
          <w:rFonts w:hint="eastAsia"/>
          <w:highlight w:val="none"/>
        </w:rPr>
        <w:t>．错误的修正</w:t>
      </w:r>
    </w:p>
    <w:p>
      <w:pPr>
        <w:tabs>
          <w:tab w:val="clear" w:pos="426"/>
        </w:tabs>
        <w:rPr>
          <w:highlight w:val="none"/>
        </w:rPr>
      </w:pPr>
      <w:r>
        <w:rPr>
          <w:highlight w:val="none"/>
        </w:rPr>
        <w:t xml:space="preserve">35.1 </w:t>
      </w:r>
      <w:r>
        <w:rPr>
          <w:rFonts w:hint="eastAsia"/>
          <w:highlight w:val="none"/>
        </w:rPr>
        <w:t>评标委员会将审查投标文件是否完整、总体编排是否有序、文件签署是否合格、投标供应商是否提交了投标保证金、有无计算上的错误等。</w:t>
      </w:r>
    </w:p>
    <w:p>
      <w:pPr>
        <w:tabs>
          <w:tab w:val="clear" w:pos="426"/>
        </w:tabs>
        <w:rPr>
          <w:highlight w:val="none"/>
        </w:rPr>
      </w:pPr>
      <w:r>
        <w:rPr>
          <w:highlight w:val="none"/>
        </w:rPr>
        <w:t xml:space="preserve">35.2  </w:t>
      </w:r>
      <w:r>
        <w:rPr>
          <w:rFonts w:hint="eastAsia"/>
          <w:highlight w:val="none"/>
        </w:rPr>
        <w:t>算术错误将按以下方法更正（次序排先者优先）：</w:t>
      </w:r>
    </w:p>
    <w:p>
      <w:pPr>
        <w:tabs>
          <w:tab w:val="clear" w:pos="426"/>
        </w:tabs>
        <w:rPr>
          <w:highlight w:val="none"/>
        </w:rPr>
      </w:pPr>
      <w:r>
        <w:rPr>
          <w:highlight w:val="none"/>
        </w:rPr>
        <w:t>35.2.1</w:t>
      </w:r>
      <w:r>
        <w:rPr>
          <w:rFonts w:hint="eastAsia"/>
          <w:highlight w:val="none"/>
        </w:rPr>
        <w:t>投标文件中开标一览表（报价表）内容与投标文件中相应内容不一致的，以开标一览表（报价表）为准；</w:t>
      </w:r>
    </w:p>
    <w:p>
      <w:pPr>
        <w:tabs>
          <w:tab w:val="clear" w:pos="426"/>
        </w:tabs>
        <w:rPr>
          <w:highlight w:val="none"/>
        </w:rPr>
      </w:pPr>
      <w:r>
        <w:rPr>
          <w:highlight w:val="none"/>
        </w:rPr>
        <w:t>35.2.2</w:t>
      </w:r>
      <w:r>
        <w:rPr>
          <w:rFonts w:hint="eastAsia"/>
          <w:highlight w:val="none"/>
        </w:rPr>
        <w:t>大写金额和小写金额不一致的，以大写金额为准；</w:t>
      </w:r>
    </w:p>
    <w:p>
      <w:pPr>
        <w:tabs>
          <w:tab w:val="clear" w:pos="426"/>
        </w:tabs>
        <w:rPr>
          <w:highlight w:val="none"/>
        </w:rPr>
      </w:pPr>
      <w:r>
        <w:rPr>
          <w:highlight w:val="none"/>
        </w:rPr>
        <w:t>35.2.3</w:t>
      </w:r>
      <w:r>
        <w:rPr>
          <w:rFonts w:hint="eastAsia"/>
          <w:highlight w:val="none"/>
        </w:rPr>
        <w:t>单价金额小数点或者百分比有明显错位的，以开标一览表的总价为准，并修改单价；</w:t>
      </w:r>
    </w:p>
    <w:p>
      <w:pPr>
        <w:tabs>
          <w:tab w:val="clear" w:pos="426"/>
        </w:tabs>
        <w:rPr>
          <w:highlight w:val="none"/>
        </w:rPr>
      </w:pPr>
      <w:r>
        <w:rPr>
          <w:highlight w:val="none"/>
        </w:rPr>
        <w:t>35.2.4</w:t>
      </w:r>
      <w:r>
        <w:rPr>
          <w:rFonts w:hint="eastAsia"/>
          <w:highlight w:val="none"/>
        </w:rPr>
        <w:t>总价金额与按单价汇总金额不一致的，以单价金额计算结果为准；</w:t>
      </w:r>
    </w:p>
    <w:p>
      <w:pPr>
        <w:tabs>
          <w:tab w:val="clear" w:pos="426"/>
        </w:tabs>
        <w:rPr>
          <w:highlight w:val="none"/>
        </w:rPr>
      </w:pPr>
      <w:r>
        <w:rPr>
          <w:highlight w:val="none"/>
        </w:rPr>
        <w:t xml:space="preserve">35.2.5 </w:t>
      </w:r>
      <w:r>
        <w:rPr>
          <w:rFonts w:hint="eastAsia"/>
          <w:highlight w:val="none"/>
        </w:rPr>
        <w:t>对不同文字文本投标文件的解释发生异议的，以中文文本为准。</w:t>
      </w:r>
    </w:p>
    <w:p>
      <w:pPr>
        <w:tabs>
          <w:tab w:val="clear" w:pos="426"/>
        </w:tabs>
        <w:rPr>
          <w:highlight w:val="none"/>
        </w:rPr>
      </w:pPr>
      <w:r>
        <w:rPr>
          <w:highlight w:val="none"/>
        </w:rPr>
        <w:t xml:space="preserve">35.3  </w:t>
      </w:r>
      <w:r>
        <w:rPr>
          <w:rFonts w:hint="eastAsia"/>
          <w:highlight w:val="none"/>
        </w:rPr>
        <w:t>对于投标文件中不构成实质性偏差的不正规、不一致或不规则，给评审带来不便，评标委员会可以接受。</w:t>
      </w:r>
    </w:p>
    <w:p>
      <w:pPr>
        <w:tabs>
          <w:tab w:val="clear" w:pos="426"/>
        </w:tabs>
        <w:rPr>
          <w:highlight w:val="none"/>
        </w:rPr>
      </w:pPr>
      <w:r>
        <w:rPr>
          <w:highlight w:val="none"/>
        </w:rPr>
        <w:t xml:space="preserve">35.4  </w:t>
      </w:r>
      <w:r>
        <w:rPr>
          <w:rFonts w:hint="eastAsia"/>
          <w:highlight w:val="none"/>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pPr>
        <w:tabs>
          <w:tab w:val="clear" w:pos="426"/>
        </w:tabs>
        <w:rPr>
          <w:highlight w:val="none"/>
        </w:rPr>
      </w:pPr>
      <w:r>
        <w:rPr>
          <w:highlight w:val="none"/>
        </w:rPr>
        <w:t>35.5</w:t>
      </w:r>
      <w:r>
        <w:rPr>
          <w:rFonts w:hint="eastAsia"/>
          <w:highlight w:val="none"/>
        </w:rPr>
        <w:t>根据上述修正错误的原则及方法调整或修正投标文件的投标报价，投标供应商同意后，调整后的投标报价对投标供应商起约束作用。</w:t>
      </w:r>
      <w:r>
        <w:rPr>
          <w:rFonts w:hint="eastAsia"/>
          <w:bCs/>
          <w:highlight w:val="none"/>
        </w:rPr>
        <w:t>如果投标供应商不接受修正后的报价，则其投标将被拒绝并且其投标保证金也将被没收，并不影响评标工作。</w:t>
      </w:r>
    </w:p>
    <w:p>
      <w:pPr>
        <w:tabs>
          <w:tab w:val="clear" w:pos="426"/>
        </w:tabs>
        <w:rPr>
          <w:highlight w:val="none"/>
        </w:rPr>
      </w:pPr>
      <w:r>
        <w:rPr>
          <w:highlight w:val="none"/>
        </w:rPr>
        <w:t>36</w:t>
      </w:r>
      <w:r>
        <w:rPr>
          <w:rFonts w:hint="eastAsia"/>
          <w:highlight w:val="none"/>
        </w:rPr>
        <w:t>．投标文件的比较与评价</w:t>
      </w:r>
    </w:p>
    <w:p>
      <w:pPr>
        <w:tabs>
          <w:tab w:val="clear" w:pos="426"/>
        </w:tabs>
        <w:rPr>
          <w:highlight w:val="none"/>
        </w:rPr>
      </w:pPr>
      <w:r>
        <w:rPr>
          <w:highlight w:val="none"/>
        </w:rPr>
        <w:t>36.1</w:t>
      </w:r>
      <w:r>
        <w:rPr>
          <w:rFonts w:hint="eastAsia"/>
          <w:highlight w:val="none"/>
        </w:rPr>
        <w:t>评标委员会将参照相关法律、法规、规定，仅对通过资格性审查和符合性审查的投标文件进行综合比较与评价。</w:t>
      </w:r>
    </w:p>
    <w:p>
      <w:pPr>
        <w:tabs>
          <w:tab w:val="clear" w:pos="426"/>
        </w:tabs>
        <w:rPr>
          <w:highlight w:val="none"/>
        </w:rPr>
      </w:pPr>
      <w:r>
        <w:rPr>
          <w:bCs/>
          <w:highlight w:val="none"/>
        </w:rPr>
        <w:t xml:space="preserve">36.2  </w:t>
      </w:r>
      <w:r>
        <w:rPr>
          <w:rFonts w:hint="eastAsia"/>
          <w:highlight w:val="none"/>
        </w:rPr>
        <w:t>评标委员会应当根据招标文件，审查并逐项列出投标文件的全部投标偏离。投标偏离分为重大偏离和细微偏离。</w:t>
      </w:r>
    </w:p>
    <w:p>
      <w:pPr>
        <w:tabs>
          <w:tab w:val="clear" w:pos="426"/>
        </w:tabs>
        <w:rPr>
          <w:highlight w:val="none"/>
        </w:rPr>
      </w:pPr>
      <w:r>
        <w:rPr>
          <w:highlight w:val="none"/>
        </w:rPr>
        <w:t xml:space="preserve">36.3 </w:t>
      </w:r>
      <w:r>
        <w:rPr>
          <w:rFonts w:hint="eastAsia"/>
          <w:highlight w:val="none"/>
        </w:rPr>
        <w:t>评标委员会应当对投标供应商的投标文件进行分析和比较。</w:t>
      </w:r>
    </w:p>
    <w:p>
      <w:pPr>
        <w:tabs>
          <w:tab w:val="clear" w:pos="426"/>
        </w:tabs>
        <w:rPr>
          <w:highlight w:val="none"/>
        </w:rPr>
      </w:pPr>
      <w:r>
        <w:rPr>
          <w:highlight w:val="none"/>
        </w:rPr>
        <w:t xml:space="preserve">36.4  </w:t>
      </w:r>
      <w:r>
        <w:rPr>
          <w:rFonts w:hint="eastAsia"/>
          <w:highlight w:val="none"/>
        </w:rPr>
        <w:t>评标委员会应当根据招标文件规定，对投标文件中的每项评审内容进行评审。</w:t>
      </w:r>
    </w:p>
    <w:p>
      <w:pPr>
        <w:tabs>
          <w:tab w:val="clear" w:pos="426"/>
        </w:tabs>
        <w:rPr>
          <w:kern w:val="10"/>
          <w:highlight w:val="none"/>
        </w:rPr>
      </w:pPr>
      <w:r>
        <w:rPr>
          <w:kern w:val="10"/>
          <w:highlight w:val="none"/>
        </w:rPr>
        <w:t xml:space="preserve">36.5  </w:t>
      </w:r>
      <w:r>
        <w:rPr>
          <w:rFonts w:hint="eastAsia"/>
          <w:kern w:val="10"/>
          <w:highlight w:val="none"/>
        </w:rPr>
        <w:t>投标文件存在重大偏离的，应作废标处理。下列情况属于重大偏离：</w:t>
      </w:r>
    </w:p>
    <w:p>
      <w:pPr>
        <w:tabs>
          <w:tab w:val="clear" w:pos="426"/>
        </w:tabs>
        <w:rPr>
          <w:kern w:val="10"/>
          <w:highlight w:val="none"/>
        </w:rPr>
      </w:pPr>
      <w:r>
        <w:rPr>
          <w:kern w:val="10"/>
          <w:highlight w:val="none"/>
        </w:rPr>
        <w:t xml:space="preserve">36.5.1  </w:t>
      </w:r>
      <w:r>
        <w:rPr>
          <w:rFonts w:hint="eastAsia"/>
          <w:kern w:val="10"/>
          <w:highlight w:val="none"/>
        </w:rPr>
        <w:t>投标供应商以他人的名义投标或出现下列串通投标、弄虚作假投标嫌疑的：</w:t>
      </w:r>
    </w:p>
    <w:p>
      <w:pPr>
        <w:tabs>
          <w:tab w:val="clear" w:pos="426"/>
        </w:tabs>
        <w:rPr>
          <w:kern w:val="10"/>
          <w:highlight w:val="none"/>
        </w:rPr>
      </w:pPr>
      <w:r>
        <w:rPr>
          <w:kern w:val="10"/>
          <w:highlight w:val="none"/>
        </w:rPr>
        <w:t xml:space="preserve">36.5.1.1  </w:t>
      </w:r>
      <w:r>
        <w:rPr>
          <w:rFonts w:hint="eastAsia"/>
          <w:kern w:val="10"/>
          <w:highlight w:val="none"/>
        </w:rPr>
        <w:t>不同投标供应商的投标文件内容存在非正常一致的；</w:t>
      </w:r>
    </w:p>
    <w:p>
      <w:pPr>
        <w:tabs>
          <w:tab w:val="clear" w:pos="426"/>
        </w:tabs>
        <w:rPr>
          <w:kern w:val="10"/>
          <w:highlight w:val="none"/>
        </w:rPr>
      </w:pPr>
      <w:r>
        <w:rPr>
          <w:kern w:val="10"/>
          <w:highlight w:val="none"/>
        </w:rPr>
        <w:t xml:space="preserve">36.5.1.2  </w:t>
      </w:r>
      <w:r>
        <w:rPr>
          <w:rFonts w:hint="eastAsia"/>
          <w:kern w:val="10"/>
          <w:highlight w:val="none"/>
        </w:rPr>
        <w:t>不同投标供应商的投标文件错漏之处一致的；</w:t>
      </w:r>
    </w:p>
    <w:p>
      <w:pPr>
        <w:tabs>
          <w:tab w:val="clear" w:pos="426"/>
        </w:tabs>
        <w:rPr>
          <w:kern w:val="10"/>
          <w:highlight w:val="none"/>
        </w:rPr>
      </w:pPr>
      <w:r>
        <w:rPr>
          <w:kern w:val="10"/>
          <w:highlight w:val="none"/>
        </w:rPr>
        <w:t xml:space="preserve">36.5.1.3  </w:t>
      </w:r>
      <w:r>
        <w:rPr>
          <w:rFonts w:hint="eastAsia"/>
          <w:kern w:val="10"/>
          <w:highlight w:val="none"/>
        </w:rPr>
        <w:t>不同投标供应商的投标报价或者报价组成异常一致或者呈规律性变化的；</w:t>
      </w:r>
    </w:p>
    <w:p>
      <w:pPr>
        <w:tabs>
          <w:tab w:val="clear" w:pos="426"/>
        </w:tabs>
        <w:rPr>
          <w:kern w:val="10"/>
          <w:highlight w:val="none"/>
        </w:rPr>
      </w:pPr>
      <w:r>
        <w:rPr>
          <w:kern w:val="10"/>
          <w:highlight w:val="none"/>
        </w:rPr>
        <w:t xml:space="preserve">36.5.1.4  </w:t>
      </w:r>
      <w:r>
        <w:rPr>
          <w:rFonts w:hint="eastAsia"/>
          <w:kern w:val="10"/>
          <w:highlight w:val="none"/>
        </w:rPr>
        <w:t>不同投标供应商的投标文件由同一单位或者同一个人编制的；</w:t>
      </w:r>
    </w:p>
    <w:p>
      <w:pPr>
        <w:tabs>
          <w:tab w:val="clear" w:pos="426"/>
        </w:tabs>
        <w:rPr>
          <w:kern w:val="10"/>
          <w:highlight w:val="none"/>
        </w:rPr>
      </w:pPr>
      <w:r>
        <w:rPr>
          <w:kern w:val="10"/>
          <w:highlight w:val="none"/>
        </w:rPr>
        <w:t xml:space="preserve">36.5.1.5  </w:t>
      </w:r>
      <w:r>
        <w:rPr>
          <w:rFonts w:hint="eastAsia"/>
          <w:kern w:val="10"/>
          <w:highlight w:val="none"/>
        </w:rPr>
        <w:t>不同投标供应商的投标文件载明的项目负责人与主要技术人员出现同一人的；</w:t>
      </w:r>
    </w:p>
    <w:p>
      <w:pPr>
        <w:tabs>
          <w:tab w:val="clear" w:pos="426"/>
        </w:tabs>
        <w:rPr>
          <w:kern w:val="10"/>
          <w:highlight w:val="none"/>
        </w:rPr>
      </w:pPr>
      <w:r>
        <w:rPr>
          <w:kern w:val="10"/>
          <w:highlight w:val="none"/>
        </w:rPr>
        <w:t xml:space="preserve">36.5.1.6  </w:t>
      </w:r>
      <w:r>
        <w:rPr>
          <w:rFonts w:hint="eastAsia"/>
          <w:kern w:val="10"/>
          <w:highlight w:val="none"/>
        </w:rPr>
        <w:t>不同投标供应商的投标文件相互混装的；</w:t>
      </w:r>
    </w:p>
    <w:p>
      <w:pPr>
        <w:tabs>
          <w:tab w:val="clear" w:pos="426"/>
        </w:tabs>
        <w:rPr>
          <w:kern w:val="10"/>
          <w:highlight w:val="none"/>
        </w:rPr>
      </w:pPr>
      <w:r>
        <w:rPr>
          <w:kern w:val="10"/>
          <w:highlight w:val="none"/>
        </w:rPr>
        <w:t xml:space="preserve">36.5.1.7  </w:t>
      </w:r>
      <w:r>
        <w:rPr>
          <w:rFonts w:hint="eastAsia"/>
          <w:kern w:val="10"/>
          <w:highlight w:val="none"/>
        </w:rPr>
        <w:t>不同投标供应商委托同一人投标的；</w:t>
      </w:r>
    </w:p>
    <w:p>
      <w:pPr>
        <w:tabs>
          <w:tab w:val="clear" w:pos="426"/>
        </w:tabs>
        <w:rPr>
          <w:kern w:val="10"/>
          <w:highlight w:val="none"/>
        </w:rPr>
      </w:pPr>
      <w:r>
        <w:rPr>
          <w:kern w:val="10"/>
          <w:highlight w:val="none"/>
        </w:rPr>
        <w:t xml:space="preserve">36.5.1.8  </w:t>
      </w:r>
      <w:r>
        <w:rPr>
          <w:rFonts w:hint="eastAsia"/>
          <w:kern w:val="10"/>
          <w:highlight w:val="none"/>
        </w:rPr>
        <w:t>不同投标供应商聘请同一人为其投标提供技术或者经济咨询服务的，但招标工程本身要求采用专有技术的除外；</w:t>
      </w:r>
    </w:p>
    <w:p>
      <w:pPr>
        <w:tabs>
          <w:tab w:val="clear" w:pos="426"/>
        </w:tabs>
        <w:rPr>
          <w:kern w:val="10"/>
          <w:highlight w:val="none"/>
        </w:rPr>
      </w:pPr>
      <w:r>
        <w:rPr>
          <w:kern w:val="10"/>
          <w:highlight w:val="none"/>
        </w:rPr>
        <w:t xml:space="preserve">36.5.1.9  </w:t>
      </w:r>
      <w:r>
        <w:rPr>
          <w:rFonts w:hint="eastAsia"/>
          <w:kern w:val="10"/>
          <w:highlight w:val="none"/>
        </w:rPr>
        <w:t>评标委员会认定的其他串通投标情形。</w:t>
      </w:r>
    </w:p>
    <w:p>
      <w:pPr>
        <w:tabs>
          <w:tab w:val="clear" w:pos="426"/>
        </w:tabs>
        <w:rPr>
          <w:highlight w:val="none"/>
        </w:rPr>
      </w:pPr>
      <w:r>
        <w:rPr>
          <w:kern w:val="10"/>
          <w:highlight w:val="none"/>
        </w:rPr>
        <w:t xml:space="preserve">36.5.2 </w:t>
      </w:r>
      <w:r>
        <w:rPr>
          <w:rFonts w:hint="eastAsia"/>
          <w:highlight w:val="none"/>
        </w:rPr>
        <w:t>投标文件不满足招标文件规定的任何一项实质性要求的；</w:t>
      </w:r>
    </w:p>
    <w:p>
      <w:pPr>
        <w:tabs>
          <w:tab w:val="clear" w:pos="426"/>
        </w:tabs>
        <w:rPr>
          <w:highlight w:val="none"/>
        </w:rPr>
      </w:pPr>
      <w:r>
        <w:rPr>
          <w:bCs/>
          <w:kern w:val="10"/>
          <w:highlight w:val="none"/>
        </w:rPr>
        <w:t xml:space="preserve">36.5.3 </w:t>
      </w:r>
      <w:r>
        <w:rPr>
          <w:rFonts w:hint="eastAsia"/>
          <w:highlight w:val="none"/>
        </w:rPr>
        <w:t>投标文件对招标文件规定的非实质性要求的偏离，超出允许偏离的最大范围或最高项数的；</w:t>
      </w:r>
    </w:p>
    <w:p>
      <w:pPr>
        <w:tabs>
          <w:tab w:val="clear" w:pos="426"/>
        </w:tabs>
        <w:rPr>
          <w:highlight w:val="none"/>
        </w:rPr>
      </w:pPr>
      <w:r>
        <w:rPr>
          <w:kern w:val="10"/>
          <w:highlight w:val="none"/>
        </w:rPr>
        <w:t xml:space="preserve">36.5.4 </w:t>
      </w:r>
      <w:r>
        <w:rPr>
          <w:rFonts w:hint="eastAsia"/>
          <w:highlight w:val="none"/>
        </w:rPr>
        <w:t>评标委员会根据招标文件的规定对投标文件的投标价格进行调整，投标供应商不接受调整方式的，或不接受调整后的价格的；</w:t>
      </w:r>
    </w:p>
    <w:p>
      <w:pPr>
        <w:tabs>
          <w:tab w:val="clear" w:pos="426"/>
        </w:tabs>
        <w:rPr>
          <w:kern w:val="10"/>
          <w:highlight w:val="none"/>
        </w:rPr>
      </w:pPr>
      <w:r>
        <w:rPr>
          <w:kern w:val="10"/>
          <w:highlight w:val="none"/>
        </w:rPr>
        <w:t xml:space="preserve">36.6  </w:t>
      </w:r>
      <w:r>
        <w:rPr>
          <w:rFonts w:hint="eastAsia"/>
          <w:kern w:val="10"/>
          <w:highlight w:val="none"/>
        </w:rPr>
        <w:t>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kern w:val="10"/>
          <w:highlight w:val="none"/>
        </w:rPr>
      </w:pPr>
      <w:r>
        <w:rPr>
          <w:kern w:val="10"/>
          <w:highlight w:val="none"/>
        </w:rPr>
        <w:t xml:space="preserve">36.7 </w:t>
      </w:r>
      <w:r>
        <w:rPr>
          <w:rFonts w:hint="eastAsia"/>
          <w:kern w:val="10"/>
          <w:highlight w:val="none"/>
        </w:rPr>
        <w:t>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highlight w:val="none"/>
        </w:rPr>
      </w:pPr>
      <w:r>
        <w:rPr>
          <w:highlight w:val="none"/>
        </w:rPr>
        <w:t>37.</w:t>
      </w:r>
      <w:r>
        <w:rPr>
          <w:rFonts w:hint="eastAsia"/>
          <w:highlight w:val="none"/>
        </w:rPr>
        <w:t>实地考察、演示或设备测试</w:t>
      </w:r>
    </w:p>
    <w:p>
      <w:pPr>
        <w:tabs>
          <w:tab w:val="clear" w:pos="426"/>
        </w:tabs>
        <w:rPr>
          <w:highlight w:val="none"/>
        </w:rPr>
      </w:pPr>
      <w:r>
        <w:rPr>
          <w:highlight w:val="none"/>
        </w:rPr>
        <w:t>37.1</w:t>
      </w:r>
      <w:r>
        <w:rPr>
          <w:rFonts w:hint="eastAsia"/>
          <w:highlight w:val="none"/>
        </w:rPr>
        <w:t>在招标过程中，评标委员会有权决定是否对本项目投标供应商进行现场勘察或实地考察或检验有关证明材料的原件。投标供应商应随时做好接受检查的准备。</w:t>
      </w:r>
    </w:p>
    <w:p>
      <w:pPr>
        <w:tabs>
          <w:tab w:val="clear" w:pos="426"/>
        </w:tabs>
        <w:rPr>
          <w:highlight w:val="none"/>
        </w:rPr>
      </w:pPr>
      <w:r>
        <w:rPr>
          <w:highlight w:val="none"/>
        </w:rPr>
        <w:t>37.2</w:t>
      </w:r>
      <w:r>
        <w:rPr>
          <w:rFonts w:hint="eastAsia"/>
          <w:highlight w:val="none"/>
        </w:rPr>
        <w:t>若招标文件要求进行现场演示或设备测试的，投标供应商应做好相应准备。</w:t>
      </w:r>
    </w:p>
    <w:p>
      <w:pPr>
        <w:tabs>
          <w:tab w:val="clear" w:pos="426"/>
        </w:tabs>
        <w:rPr>
          <w:highlight w:val="none"/>
        </w:rPr>
      </w:pPr>
      <w:r>
        <w:rPr>
          <w:highlight w:val="none"/>
        </w:rPr>
        <w:t>38</w:t>
      </w:r>
      <w:r>
        <w:rPr>
          <w:rFonts w:hint="eastAsia"/>
          <w:highlight w:val="none"/>
        </w:rPr>
        <w:t>．评标方法</w:t>
      </w:r>
    </w:p>
    <w:p>
      <w:pPr>
        <w:tabs>
          <w:tab w:val="clear" w:pos="426"/>
        </w:tabs>
        <w:rPr>
          <w:szCs w:val="21"/>
          <w:highlight w:val="none"/>
        </w:rPr>
      </w:pPr>
      <w:r>
        <w:rPr>
          <w:szCs w:val="21"/>
          <w:highlight w:val="none"/>
        </w:rPr>
        <w:t>38.1</w:t>
      </w:r>
      <w:r>
        <w:rPr>
          <w:rFonts w:hint="eastAsia"/>
          <w:highlight w:val="none"/>
        </w:rPr>
        <w:t>根据有关要求，</w:t>
      </w:r>
      <w:r>
        <w:rPr>
          <w:rFonts w:hint="eastAsia"/>
          <w:szCs w:val="21"/>
          <w:highlight w:val="none"/>
        </w:rPr>
        <w:t>项目评标方法根据是否是评定分离项目进行选择。</w:t>
      </w:r>
    </w:p>
    <w:p>
      <w:pPr>
        <w:tabs>
          <w:tab w:val="clear" w:pos="426"/>
        </w:tabs>
        <w:rPr>
          <w:highlight w:val="none"/>
        </w:rPr>
      </w:pPr>
      <w:r>
        <w:rPr>
          <w:highlight w:val="none"/>
        </w:rPr>
        <w:t>38.2</w:t>
      </w:r>
      <w:r>
        <w:rPr>
          <w:rFonts w:hint="eastAsia"/>
          <w:highlight w:val="none"/>
        </w:rPr>
        <w:t>非评定分离项目</w:t>
      </w:r>
    </w:p>
    <w:p>
      <w:pPr>
        <w:tabs>
          <w:tab w:val="clear" w:pos="426"/>
        </w:tabs>
        <w:rPr>
          <w:highlight w:val="none"/>
        </w:rPr>
      </w:pPr>
      <w:r>
        <w:rPr>
          <w:rFonts w:hint="eastAsia"/>
          <w:highlight w:val="none"/>
        </w:rPr>
        <w:t>非评定分离项目评分方法为最低评标价法、综合评标法、性价比法及法律、法规允许的其它评标办法。</w:t>
      </w:r>
    </w:p>
    <w:p>
      <w:pPr>
        <w:tabs>
          <w:tab w:val="clear" w:pos="426"/>
        </w:tabs>
        <w:rPr>
          <w:b/>
          <w:highlight w:val="none"/>
        </w:rPr>
      </w:pPr>
      <w:r>
        <w:rPr>
          <w:highlight w:val="none"/>
        </w:rPr>
        <w:t>38.2.1</w:t>
      </w:r>
      <w:r>
        <w:rPr>
          <w:rFonts w:hint="eastAsia"/>
          <w:highlight w:val="none"/>
        </w:rPr>
        <w:t>最低评标价法</w:t>
      </w:r>
    </w:p>
    <w:p>
      <w:pPr>
        <w:tabs>
          <w:tab w:val="clear" w:pos="426"/>
        </w:tabs>
        <w:rPr>
          <w:highlight w:val="none"/>
        </w:rPr>
      </w:pPr>
      <w:r>
        <w:rPr>
          <w:rFonts w:hint="eastAsia"/>
          <w:highlight w:val="none"/>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b/>
          <w:highlight w:val="none"/>
        </w:rPr>
      </w:pPr>
      <w:r>
        <w:rPr>
          <w:highlight w:val="none"/>
        </w:rPr>
        <w:t>38.2.2</w:t>
      </w:r>
      <w:r>
        <w:rPr>
          <w:rFonts w:hint="eastAsia"/>
          <w:highlight w:val="none"/>
        </w:rPr>
        <w:t>综合评分法</w:t>
      </w:r>
    </w:p>
    <w:p>
      <w:pPr>
        <w:tabs>
          <w:tab w:val="clear" w:pos="426"/>
        </w:tabs>
        <w:rPr>
          <w:highlight w:val="none"/>
        </w:rPr>
      </w:pPr>
      <w:r>
        <w:rPr>
          <w:rFonts w:hint="eastAsia"/>
          <w:highlight w:val="none"/>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b/>
          <w:bCs/>
          <w:highlight w:val="none"/>
        </w:rPr>
      </w:pPr>
      <w:r>
        <w:rPr>
          <w:highlight w:val="none"/>
        </w:rPr>
        <w:t>38.2.3</w:t>
      </w:r>
      <w:r>
        <w:rPr>
          <w:rFonts w:hint="eastAsia"/>
          <w:bCs/>
          <w:highlight w:val="none"/>
        </w:rPr>
        <w:t>性价比法</w:t>
      </w:r>
    </w:p>
    <w:p>
      <w:pPr>
        <w:tabs>
          <w:tab w:val="clear" w:pos="426"/>
        </w:tabs>
        <w:rPr>
          <w:highlight w:val="none"/>
        </w:rPr>
      </w:pPr>
      <w:r>
        <w:rPr>
          <w:rFonts w:hint="eastAsia"/>
          <w:highlight w:val="none"/>
        </w:rPr>
        <w:t>性价比法是指除价格因素外，经对投标文件进行评审，计算出评分因素的总分，除以投标报价，以商数最高的投标供应商作为中标候选供应商或中标供应商的评标方法。</w:t>
      </w:r>
    </w:p>
    <w:p>
      <w:pPr>
        <w:tabs>
          <w:tab w:val="clear" w:pos="426"/>
        </w:tabs>
        <w:rPr>
          <w:highlight w:val="none"/>
        </w:rPr>
      </w:pPr>
      <w:r>
        <w:rPr>
          <w:highlight w:val="none"/>
        </w:rPr>
        <w:t>38.3</w:t>
      </w:r>
      <w:r>
        <w:rPr>
          <w:rFonts w:hint="eastAsia"/>
          <w:highlight w:val="none"/>
        </w:rPr>
        <w:t>评定分离项目</w:t>
      </w:r>
    </w:p>
    <w:p>
      <w:pPr>
        <w:tabs>
          <w:tab w:val="clear" w:pos="426"/>
        </w:tabs>
        <w:rPr>
          <w:highlight w:val="none"/>
        </w:rPr>
      </w:pPr>
      <w:r>
        <w:rPr>
          <w:rFonts w:hint="eastAsia"/>
          <w:highlight w:val="none"/>
        </w:rPr>
        <w:t>评定分离项目，评审委员会应当按照综合评分法、定性评审法、最低价法或者法律、法规及规章规定的其他评审方法对投标文件进行评审。</w:t>
      </w:r>
    </w:p>
    <w:p>
      <w:pPr>
        <w:tabs>
          <w:tab w:val="clear" w:pos="426"/>
        </w:tabs>
        <w:rPr>
          <w:b/>
          <w:highlight w:val="none"/>
        </w:rPr>
      </w:pPr>
      <w:r>
        <w:rPr>
          <w:highlight w:val="none"/>
        </w:rPr>
        <w:t>38.3.1</w:t>
      </w:r>
      <w:r>
        <w:rPr>
          <w:rFonts w:hint="eastAsia"/>
          <w:highlight w:val="none"/>
        </w:rPr>
        <w:t>综合评分法</w:t>
      </w:r>
    </w:p>
    <w:p>
      <w:pPr>
        <w:tabs>
          <w:tab w:val="clear" w:pos="426"/>
        </w:tabs>
        <w:rPr>
          <w:highlight w:val="none"/>
        </w:rPr>
      </w:pPr>
      <w:r>
        <w:rPr>
          <w:rFonts w:hint="eastAsia"/>
          <w:highlight w:val="none"/>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sz w:val="18"/>
          <w:szCs w:val="18"/>
          <w:highlight w:val="none"/>
          <w:shd w:val="clear" w:color="auto" w:fill="FFFFFF"/>
        </w:rPr>
      </w:pPr>
      <w:r>
        <w:rPr>
          <w:highlight w:val="none"/>
        </w:rPr>
        <w:t>38.3.2</w:t>
      </w:r>
      <w:r>
        <w:rPr>
          <w:rFonts w:hint="eastAsia"/>
          <w:bCs/>
          <w:highlight w:val="none"/>
        </w:rPr>
        <w:t>定性评审法</w:t>
      </w:r>
    </w:p>
    <w:p>
      <w:pPr>
        <w:tabs>
          <w:tab w:val="clear" w:pos="426"/>
        </w:tabs>
        <w:rPr>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highlight w:val="none"/>
        </w:rPr>
      </w:pPr>
      <w:r>
        <w:rPr>
          <w:highlight w:val="none"/>
        </w:rPr>
        <w:t>38.3.3</w:t>
      </w:r>
      <w:r>
        <w:rPr>
          <w:rFonts w:hint="eastAsia"/>
          <w:highlight w:val="none"/>
        </w:rPr>
        <w:t>最低价法</w:t>
      </w:r>
    </w:p>
    <w:p>
      <w:pPr>
        <w:tabs>
          <w:tab w:val="clear" w:pos="426"/>
        </w:tabs>
        <w:rPr>
          <w:highlight w:val="none"/>
        </w:rPr>
      </w:pPr>
      <w:r>
        <w:rPr>
          <w:rFonts w:hint="eastAsia"/>
          <w:highlight w:val="none"/>
        </w:rPr>
        <w:t>最低价法是指以价格为主要因素确定候选中标供应商的评审方法。</w:t>
      </w:r>
    </w:p>
    <w:p>
      <w:pPr>
        <w:tabs>
          <w:tab w:val="clear" w:pos="426"/>
        </w:tabs>
        <w:rPr>
          <w:highlight w:val="none"/>
        </w:rPr>
      </w:pPr>
      <w:r>
        <w:rPr>
          <w:highlight w:val="none"/>
        </w:rPr>
        <w:t>38.4</w:t>
      </w:r>
      <w:r>
        <w:rPr>
          <w:rFonts w:hint="eastAsia"/>
          <w:highlight w:val="none"/>
        </w:rPr>
        <w:t>本项目采用的评标方法见本项目招标文件专用条款的相关内容。</w:t>
      </w:r>
    </w:p>
    <w:p>
      <w:pPr>
        <w:pStyle w:val="5"/>
        <w:numPr>
          <w:ilvl w:val="3"/>
          <w:numId w:val="0"/>
        </w:numPr>
        <w:shd w:val="clear" w:color="auto" w:fill="auto"/>
        <w:tabs>
          <w:tab w:val="clear" w:pos="1680"/>
        </w:tabs>
        <w:rPr>
          <w:rFonts w:hint="eastAsia" w:cs="Times New Roman"/>
          <w:highlight w:val="none"/>
        </w:rPr>
      </w:pPr>
      <w:bookmarkStart w:id="190" w:name="_Toc152759244"/>
      <w:bookmarkStart w:id="191" w:name="_Toc14427260"/>
      <w:bookmarkStart w:id="192" w:name="_Toc530152528"/>
      <w:bookmarkStart w:id="193" w:name="_Toc529280587"/>
      <w:r>
        <w:rPr>
          <w:rFonts w:hint="eastAsia" w:cs="Times New Roman"/>
          <w:highlight w:val="none"/>
        </w:rPr>
        <w:t>第七章定标及公示</w:t>
      </w:r>
      <w:bookmarkEnd w:id="190"/>
      <w:bookmarkEnd w:id="191"/>
      <w:bookmarkEnd w:id="192"/>
      <w:bookmarkEnd w:id="193"/>
    </w:p>
    <w:p>
      <w:pPr>
        <w:tabs>
          <w:tab w:val="clear" w:pos="426"/>
        </w:tabs>
        <w:rPr>
          <w:highlight w:val="none"/>
        </w:rPr>
      </w:pPr>
      <w:r>
        <w:rPr>
          <w:highlight w:val="none"/>
        </w:rPr>
        <w:t>39</w:t>
      </w:r>
      <w:r>
        <w:rPr>
          <w:rFonts w:hint="eastAsia"/>
          <w:highlight w:val="none"/>
        </w:rPr>
        <w:t>．定标方法</w:t>
      </w:r>
    </w:p>
    <w:p>
      <w:pPr>
        <w:tabs>
          <w:tab w:val="clear" w:pos="426"/>
        </w:tabs>
        <w:rPr>
          <w:highlight w:val="none"/>
        </w:rPr>
      </w:pPr>
      <w:r>
        <w:rPr>
          <w:highlight w:val="none"/>
        </w:rPr>
        <w:t>39.1</w:t>
      </w:r>
      <w:r>
        <w:rPr>
          <w:rFonts w:hint="eastAsia"/>
          <w:highlight w:val="none"/>
        </w:rPr>
        <w:t>项目定标方法根据是否是评定分离项目进行选择。</w:t>
      </w:r>
    </w:p>
    <w:p>
      <w:pPr>
        <w:tabs>
          <w:tab w:val="clear" w:pos="426"/>
        </w:tabs>
        <w:rPr>
          <w:highlight w:val="none"/>
        </w:rPr>
      </w:pPr>
      <w:r>
        <w:rPr>
          <w:highlight w:val="none"/>
        </w:rPr>
        <w:t>39.2</w:t>
      </w:r>
      <w:r>
        <w:rPr>
          <w:rFonts w:hint="eastAsia"/>
          <w:highlight w:val="none"/>
        </w:rPr>
        <w:t>非评定分离项目</w:t>
      </w:r>
    </w:p>
    <w:p>
      <w:pPr>
        <w:tabs>
          <w:tab w:val="clear" w:pos="426"/>
        </w:tabs>
        <w:rPr>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highlight w:val="none"/>
        </w:rPr>
      </w:pPr>
      <w:r>
        <w:rPr>
          <w:highlight w:val="none"/>
        </w:rPr>
        <w:t>39.2.1</w:t>
      </w:r>
      <w:r>
        <w:rPr>
          <w:rFonts w:hint="eastAsia"/>
          <w:highlight w:val="none"/>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highlight w:val="none"/>
        </w:rPr>
      </w:pPr>
      <w:r>
        <w:rPr>
          <w:highlight w:val="none"/>
        </w:rPr>
        <w:t>39.2.2</w:t>
      </w:r>
      <w:r>
        <w:rPr>
          <w:rFonts w:hint="eastAsia"/>
          <w:highlight w:val="none"/>
        </w:rPr>
        <w:t>采用综合评分法的，按评审后得分由高到低顺序排列。得分相同的，按投标报价由低到高顺序排列。得分且投标报价相同的，按技术指标优劣顺序排列。</w:t>
      </w:r>
    </w:p>
    <w:p>
      <w:pPr>
        <w:tabs>
          <w:tab w:val="clear" w:pos="426"/>
        </w:tabs>
        <w:rPr>
          <w:highlight w:val="none"/>
        </w:rPr>
      </w:pPr>
      <w:r>
        <w:rPr>
          <w:highlight w:val="none"/>
        </w:rPr>
        <w:t>39.2.3</w:t>
      </w:r>
      <w:r>
        <w:rPr>
          <w:rFonts w:hint="eastAsia"/>
          <w:highlight w:val="none"/>
        </w:rPr>
        <w:t>采用性价比法的，按商数得分由高到低顺序排列。商数得分相同的，按投标报价由低到高顺序排列。商数得分且投标报价相同的，按技术指标优劣顺序排列。</w:t>
      </w:r>
    </w:p>
    <w:p>
      <w:pPr>
        <w:tabs>
          <w:tab w:val="clear" w:pos="426"/>
        </w:tabs>
        <w:rPr>
          <w:highlight w:val="none"/>
        </w:rPr>
      </w:pPr>
      <w:r>
        <w:rPr>
          <w:highlight w:val="none"/>
        </w:rPr>
        <w:t>39.3</w:t>
      </w:r>
      <w:r>
        <w:rPr>
          <w:rFonts w:hint="eastAsia"/>
          <w:highlight w:val="none"/>
        </w:rPr>
        <w:t>评定分离项目</w:t>
      </w:r>
    </w:p>
    <w:p>
      <w:pPr>
        <w:tabs>
          <w:tab w:val="clear" w:pos="426"/>
        </w:tabs>
        <w:rPr>
          <w:highlight w:val="none"/>
        </w:rPr>
      </w:pPr>
      <w:r>
        <w:rPr>
          <w:rFonts w:hint="eastAsia"/>
          <w:highlight w:val="none"/>
        </w:rPr>
        <w:t>适用评定分离的采购项目，采购人应当根据不同的项目选用自定法、抽签法、竞价法或者法律、法规及规章规定的其他定标方法确定中标供应商。</w:t>
      </w:r>
    </w:p>
    <w:p>
      <w:pPr>
        <w:tabs>
          <w:tab w:val="clear" w:pos="426"/>
        </w:tabs>
        <w:rPr>
          <w:highlight w:val="none"/>
        </w:rPr>
      </w:pPr>
      <w:r>
        <w:rPr>
          <w:highlight w:val="none"/>
        </w:rPr>
        <w:t>39.3.1</w:t>
      </w:r>
      <w:r>
        <w:rPr>
          <w:rFonts w:hint="eastAsia"/>
          <w:highlight w:val="none"/>
        </w:rPr>
        <w:t>自定法是指采购人组织定标委员会，由定标委员会在候选中标供应商中确定中标供应商。</w:t>
      </w:r>
    </w:p>
    <w:p>
      <w:pPr>
        <w:tabs>
          <w:tab w:val="clear" w:pos="426"/>
        </w:tabs>
        <w:rPr>
          <w:highlight w:val="none"/>
        </w:rPr>
      </w:pPr>
      <w:r>
        <w:rPr>
          <w:highlight w:val="none"/>
        </w:rPr>
        <w:t>39.3.2</w:t>
      </w:r>
      <w:r>
        <w:rPr>
          <w:rFonts w:hint="eastAsia"/>
          <w:highlight w:val="none"/>
        </w:rPr>
        <w:t> 抽签法是指候选中标供应商产生后，由采购人委托招标机构按照随机抽签的方式在候选中标供应商中确定中标供应商。 </w:t>
      </w:r>
    </w:p>
    <w:p>
      <w:pPr>
        <w:tabs>
          <w:tab w:val="clear" w:pos="426"/>
        </w:tabs>
        <w:rPr>
          <w:highlight w:val="none"/>
        </w:rPr>
      </w:pPr>
      <w:r>
        <w:rPr>
          <w:highlight w:val="none"/>
        </w:rPr>
        <w:t>39.3.3</w:t>
      </w:r>
      <w:r>
        <w:rPr>
          <w:rFonts w:hint="eastAsia"/>
          <w:highlight w:val="none"/>
        </w:rPr>
        <w:t>竞价法是指候选中标供应商产生后，由采购人委托招标机构组织候选中标供应商进行二次竞价，最终报价最低的为中标供应商</w:t>
      </w:r>
    </w:p>
    <w:p>
      <w:pPr>
        <w:tabs>
          <w:tab w:val="clear" w:pos="426"/>
        </w:tabs>
        <w:rPr>
          <w:highlight w:val="none"/>
        </w:rPr>
      </w:pPr>
      <w:r>
        <w:rPr>
          <w:highlight w:val="none"/>
        </w:rPr>
        <w:t>39.4</w:t>
      </w:r>
      <w:r>
        <w:rPr>
          <w:rFonts w:hint="eastAsia"/>
          <w:highlight w:val="none"/>
        </w:rPr>
        <w:t>本项目采用的定标方法见本项目招标文件专用条款的相关内容。</w:t>
      </w:r>
    </w:p>
    <w:p>
      <w:pPr>
        <w:tabs>
          <w:tab w:val="clear" w:pos="426"/>
        </w:tabs>
        <w:rPr>
          <w:highlight w:val="none"/>
        </w:rPr>
      </w:pPr>
      <w:r>
        <w:rPr>
          <w:highlight w:val="none"/>
        </w:rPr>
        <w:t>40</w:t>
      </w:r>
      <w:r>
        <w:rPr>
          <w:rFonts w:hint="eastAsia"/>
          <w:highlight w:val="none"/>
        </w:rPr>
        <w:t>．编写评标报告</w:t>
      </w:r>
    </w:p>
    <w:p>
      <w:pPr>
        <w:tabs>
          <w:tab w:val="clear" w:pos="426"/>
        </w:tabs>
        <w:rPr>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highlight w:val="none"/>
        </w:rPr>
      </w:pPr>
      <w:r>
        <w:rPr>
          <w:highlight w:val="none"/>
        </w:rPr>
        <w:t>41</w:t>
      </w:r>
      <w:r>
        <w:rPr>
          <w:rFonts w:hint="eastAsia"/>
          <w:highlight w:val="none"/>
        </w:rPr>
        <w:t>．中标公告</w:t>
      </w:r>
    </w:p>
    <w:p>
      <w:pPr>
        <w:tabs>
          <w:tab w:val="clear" w:pos="426"/>
        </w:tabs>
        <w:rPr>
          <w:b/>
          <w:bCs/>
          <w:highlight w:val="none"/>
        </w:rPr>
      </w:pPr>
      <w:r>
        <w:rPr>
          <w:b/>
          <w:bCs/>
          <w:highlight w:val="none"/>
        </w:rPr>
        <w:t>41.1</w:t>
      </w:r>
      <w:r>
        <w:rPr>
          <w:rFonts w:hint="eastAsia"/>
          <w:b/>
          <w:bCs/>
          <w:highlight w:val="none"/>
        </w:rPr>
        <w:t>为体现“公开、公平、公正”的原则，评标结束后，将在中国政府采购网（</w:t>
      </w:r>
      <w:r>
        <w:rPr>
          <w:b/>
          <w:bCs/>
          <w:highlight w:val="none"/>
        </w:rPr>
        <w:t>http://www.ccgp.gov.cn</w:t>
      </w:r>
      <w:r>
        <w:rPr>
          <w:rFonts w:hint="eastAsia"/>
          <w:b/>
          <w:bCs/>
          <w:highlight w:val="none"/>
        </w:rPr>
        <w:t>）、采购代理机构官网：（</w:t>
      </w:r>
      <w:r>
        <w:rPr>
          <w:b/>
          <w:bCs/>
          <w:highlight w:val="none"/>
        </w:rPr>
        <w:t>http://www.szsszx.com/</w:t>
      </w:r>
      <w:r>
        <w:rPr>
          <w:rFonts w:hint="eastAsia"/>
          <w:b/>
          <w:bCs/>
          <w:highlight w:val="none"/>
        </w:rPr>
        <w:t>）上发布中标结果公告，公示期为</w:t>
      </w:r>
      <w:r>
        <w:rPr>
          <w:b/>
          <w:bCs/>
          <w:highlight w:val="none"/>
        </w:rPr>
        <w:t>1</w:t>
      </w:r>
      <w:r>
        <w:rPr>
          <w:rFonts w:hint="eastAsia"/>
          <w:b/>
          <w:bCs/>
          <w:highlight w:val="none"/>
        </w:rPr>
        <w:t>个工作日。供应商如对评标结果有异议，请于公示期内，以书面的形式向我公司反映。若在公示期内未提出异议，则视为认同该评标结果。</w:t>
      </w:r>
    </w:p>
    <w:p>
      <w:pPr>
        <w:tabs>
          <w:tab w:val="clear" w:pos="426"/>
        </w:tabs>
        <w:rPr>
          <w:highlight w:val="none"/>
        </w:rPr>
      </w:pPr>
      <w:r>
        <w:rPr>
          <w:highlight w:val="none"/>
        </w:rPr>
        <w:t>41.2</w:t>
      </w:r>
      <w:r>
        <w:rPr>
          <w:rFonts w:hint="eastAsia"/>
          <w:highlight w:val="none"/>
        </w:rPr>
        <w:t>质疑投诉人应保证质疑投诉内容的真实性和可靠性，并承担相应的法律责任。</w:t>
      </w:r>
    </w:p>
    <w:p>
      <w:pPr>
        <w:tabs>
          <w:tab w:val="clear" w:pos="426"/>
        </w:tabs>
        <w:rPr>
          <w:highlight w:val="none"/>
        </w:rPr>
      </w:pPr>
      <w:r>
        <w:rPr>
          <w:highlight w:val="none"/>
        </w:rPr>
        <w:t>42</w:t>
      </w:r>
      <w:r>
        <w:rPr>
          <w:rFonts w:hint="eastAsia"/>
          <w:highlight w:val="none"/>
        </w:rPr>
        <w:t>．中标通知书</w:t>
      </w:r>
    </w:p>
    <w:p>
      <w:pPr>
        <w:tabs>
          <w:tab w:val="clear" w:pos="426"/>
        </w:tabs>
        <w:rPr>
          <w:highlight w:val="none"/>
        </w:rPr>
      </w:pPr>
      <w:r>
        <w:rPr>
          <w:highlight w:val="none"/>
        </w:rPr>
        <w:t>42.1</w:t>
      </w:r>
      <w:r>
        <w:rPr>
          <w:rFonts w:hint="eastAsia"/>
          <w:highlight w:val="none"/>
        </w:rPr>
        <w:t>中标公告公布后</w:t>
      </w:r>
      <w:r>
        <w:rPr>
          <w:highlight w:val="none"/>
        </w:rPr>
        <w:t>,</w:t>
      </w:r>
      <w:r>
        <w:rPr>
          <w:rFonts w:hint="eastAsia"/>
          <w:highlight w:val="none"/>
        </w:rPr>
        <w:t>公示期内无人投诉</w:t>
      </w:r>
      <w:r>
        <w:rPr>
          <w:highlight w:val="none"/>
        </w:rPr>
        <w:t>,</w:t>
      </w:r>
      <w:r>
        <w:rPr>
          <w:rFonts w:hint="eastAsia"/>
          <w:highlight w:val="none"/>
        </w:rPr>
        <w:t>请中标供应商凭单位证明及本人身份证到采购代理机构领取《中标通知书》。</w:t>
      </w:r>
    </w:p>
    <w:p>
      <w:pPr>
        <w:tabs>
          <w:tab w:val="clear" w:pos="426"/>
        </w:tabs>
        <w:rPr>
          <w:highlight w:val="none"/>
        </w:rPr>
      </w:pPr>
      <w:r>
        <w:rPr>
          <w:highlight w:val="none"/>
        </w:rPr>
        <w:t>42.2</w:t>
      </w:r>
      <w:r>
        <w:rPr>
          <w:rFonts w:hint="eastAsia"/>
          <w:highlight w:val="none"/>
        </w:rPr>
        <w:t>中标通知书是合同的重要组成部分。</w:t>
      </w:r>
    </w:p>
    <w:p>
      <w:pPr>
        <w:tabs>
          <w:tab w:val="clear" w:pos="426"/>
        </w:tabs>
        <w:rPr>
          <w:highlight w:val="none"/>
        </w:rPr>
      </w:pPr>
      <w:r>
        <w:rPr>
          <w:highlight w:val="none"/>
        </w:rPr>
        <w:t>42.3</w:t>
      </w:r>
      <w:r>
        <w:rPr>
          <w:rFonts w:hint="eastAsia"/>
          <w:highlight w:val="none"/>
        </w:rPr>
        <w:t>因质疑投诉或其它原因导致项目结果变更或采购终止的，我公司有权收回中标通知书或终止采购合同。</w:t>
      </w:r>
    </w:p>
    <w:p>
      <w:pPr>
        <w:pStyle w:val="5"/>
        <w:numPr>
          <w:ilvl w:val="3"/>
          <w:numId w:val="0"/>
        </w:numPr>
        <w:shd w:val="clear" w:color="auto" w:fill="auto"/>
        <w:tabs>
          <w:tab w:val="clear" w:pos="1680"/>
        </w:tabs>
        <w:rPr>
          <w:rFonts w:hint="eastAsia" w:cs="Times New Roman"/>
          <w:highlight w:val="none"/>
        </w:rPr>
      </w:pPr>
      <w:bookmarkStart w:id="194" w:name="_Toc152759245"/>
      <w:bookmarkStart w:id="195" w:name="_Toc14427261"/>
      <w:bookmarkStart w:id="196" w:name="_Toc529280588"/>
      <w:bookmarkStart w:id="197" w:name="_Toc530152529"/>
      <w:r>
        <w:rPr>
          <w:rFonts w:hint="eastAsia" w:cs="Times New Roman"/>
          <w:highlight w:val="none"/>
        </w:rPr>
        <w:t>第八章公开招标失败的后续处理</w:t>
      </w:r>
      <w:bookmarkEnd w:id="194"/>
      <w:bookmarkEnd w:id="195"/>
      <w:bookmarkEnd w:id="196"/>
      <w:bookmarkEnd w:id="197"/>
    </w:p>
    <w:p>
      <w:pPr>
        <w:tabs>
          <w:tab w:val="clear" w:pos="426"/>
        </w:tabs>
        <w:rPr>
          <w:highlight w:val="none"/>
        </w:rPr>
      </w:pPr>
      <w:r>
        <w:rPr>
          <w:highlight w:val="none"/>
        </w:rPr>
        <w:t>43</w:t>
      </w:r>
      <w:r>
        <w:rPr>
          <w:rFonts w:hint="eastAsia"/>
          <w:highlight w:val="none"/>
        </w:rPr>
        <w:t>．公开招标失败的处理</w:t>
      </w:r>
    </w:p>
    <w:p>
      <w:pPr>
        <w:tabs>
          <w:tab w:val="clear" w:pos="426"/>
        </w:tabs>
        <w:rPr>
          <w:highlight w:val="none"/>
        </w:rPr>
      </w:pPr>
      <w:r>
        <w:rPr>
          <w:szCs w:val="21"/>
          <w:highlight w:val="none"/>
        </w:rPr>
        <w:t>43.1</w:t>
      </w:r>
      <w:r>
        <w:rPr>
          <w:rFonts w:hint="eastAsia"/>
          <w:szCs w:val="21"/>
          <w:highlight w:val="none"/>
        </w:rPr>
        <w:t>本项目公开招标过程中若由于投标截止后</w:t>
      </w:r>
      <w:r>
        <w:rPr>
          <w:rFonts w:hint="eastAsia"/>
          <w:highlight w:val="none"/>
        </w:rPr>
        <w:t>实际递交投标文件的供应商数量不足、经评标委员会评审对招标文件作实质响应的供应商不足等原因造成公开招标失败，可由采购代理机构重新组织采购。</w:t>
      </w:r>
    </w:p>
    <w:p>
      <w:pPr>
        <w:tabs>
          <w:tab w:val="clear" w:pos="426"/>
        </w:tabs>
        <w:rPr>
          <w:highlight w:val="none"/>
        </w:rPr>
      </w:pPr>
      <w:r>
        <w:rPr>
          <w:highlight w:val="none"/>
        </w:rPr>
        <w:t>43.2</w:t>
      </w:r>
      <w:r>
        <w:rPr>
          <w:rFonts w:hint="eastAsia"/>
          <w:highlight w:val="none"/>
        </w:rPr>
        <w:t>对公开招标失败的项目，评标委员会在出具该项目招标失败结论的同时，提出重新采购组织形式的建议，以及进一步完善招标文件的资格、技术、商务要求的修改建议。</w:t>
      </w:r>
    </w:p>
    <w:p>
      <w:pPr>
        <w:tabs>
          <w:tab w:val="clear" w:pos="426"/>
        </w:tabs>
        <w:rPr>
          <w:highlight w:val="none"/>
        </w:rPr>
      </w:pPr>
      <w:r>
        <w:rPr>
          <w:highlight w:val="none"/>
        </w:rPr>
        <w:t>43.3</w:t>
      </w:r>
      <w:r>
        <w:rPr>
          <w:rFonts w:hint="eastAsia"/>
          <w:highlight w:val="none"/>
        </w:rPr>
        <w:t>重新组织采购有以下两种组织形式：</w:t>
      </w:r>
    </w:p>
    <w:p>
      <w:pPr>
        <w:tabs>
          <w:tab w:val="clear" w:pos="426"/>
        </w:tabs>
        <w:rPr>
          <w:highlight w:val="none"/>
        </w:rPr>
      </w:pPr>
      <w:r>
        <w:rPr>
          <w:rFonts w:hint="eastAsia"/>
          <w:highlight w:val="none"/>
        </w:rPr>
        <w:t>（</w:t>
      </w:r>
      <w:r>
        <w:rPr>
          <w:highlight w:val="none"/>
        </w:rPr>
        <w:t>1</w:t>
      </w:r>
      <w:r>
        <w:rPr>
          <w:rFonts w:hint="eastAsia"/>
          <w:highlight w:val="none"/>
        </w:rPr>
        <w:t>）由采购代理机构重新组织公开招标；</w:t>
      </w:r>
    </w:p>
    <w:p>
      <w:pPr>
        <w:tabs>
          <w:tab w:val="clear" w:pos="426"/>
        </w:tabs>
        <w:rPr>
          <w:highlight w:val="none"/>
        </w:rPr>
      </w:pPr>
      <w:r>
        <w:rPr>
          <w:rFonts w:hint="eastAsia"/>
          <w:highlight w:val="none"/>
        </w:rPr>
        <w:t>（</w:t>
      </w:r>
      <w:r>
        <w:rPr>
          <w:highlight w:val="none"/>
        </w:rPr>
        <w:t>2</w:t>
      </w:r>
      <w:r>
        <w:rPr>
          <w:rFonts w:hint="eastAsia"/>
          <w:highlight w:val="none"/>
        </w:rPr>
        <w:t>）根据实际情况需要向相关监督管理部门提出非公开采购人式申请，经相关监督管理部门批准公开招标失败采购项目可转为竞争性谈判或单一来源谈判方式采购。</w:t>
      </w:r>
    </w:p>
    <w:p>
      <w:pPr>
        <w:tabs>
          <w:tab w:val="clear" w:pos="426"/>
        </w:tabs>
        <w:rPr>
          <w:highlight w:val="none"/>
        </w:rPr>
      </w:pPr>
      <w:r>
        <w:rPr>
          <w:highlight w:val="none"/>
        </w:rPr>
        <w:t>43.4</w:t>
      </w:r>
      <w:r>
        <w:rPr>
          <w:rFonts w:hint="eastAsia"/>
          <w:highlight w:val="none"/>
        </w:rPr>
        <w:t>公开招标失败的采购项目重新组织公开招标，采购代理机构要重新按公开招标流程发布招标公告和招标文件、组成评标委员会等组织采购活动。</w:t>
      </w:r>
    </w:p>
    <w:p>
      <w:pPr>
        <w:tabs>
          <w:tab w:val="clear" w:pos="426"/>
        </w:tabs>
        <w:rPr>
          <w:highlight w:val="none"/>
        </w:rPr>
      </w:pPr>
      <w:r>
        <w:rPr>
          <w:highlight w:val="none"/>
        </w:rPr>
        <w:t>43.5</w:t>
      </w:r>
      <w:r>
        <w:rPr>
          <w:rFonts w:hint="eastAsia"/>
          <w:highlight w:val="none"/>
        </w:rPr>
        <w:t>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highlight w:val="none"/>
        </w:rPr>
      </w:pPr>
      <w:r>
        <w:rPr>
          <w:highlight w:val="none"/>
        </w:rPr>
        <w:t>44</w:t>
      </w:r>
      <w:r>
        <w:rPr>
          <w:rFonts w:hint="eastAsia"/>
          <w:highlight w:val="none"/>
        </w:rPr>
        <w:t>．公开招标失败项目转为竞争性谈判方式采购的</w:t>
      </w:r>
    </w:p>
    <w:p>
      <w:pPr>
        <w:tabs>
          <w:tab w:val="clear" w:pos="426"/>
        </w:tabs>
        <w:rPr>
          <w:highlight w:val="none"/>
        </w:rPr>
      </w:pPr>
      <w:r>
        <w:rPr>
          <w:highlight w:val="none"/>
        </w:rPr>
        <w:t>44.1</w:t>
      </w:r>
      <w:r>
        <w:rPr>
          <w:rFonts w:hint="eastAsia"/>
          <w:highlight w:val="none"/>
        </w:rPr>
        <w:t>谈判文件</w:t>
      </w:r>
    </w:p>
    <w:p>
      <w:pPr>
        <w:tabs>
          <w:tab w:val="clear" w:pos="426"/>
        </w:tabs>
        <w:rPr>
          <w:highlight w:val="none"/>
        </w:rPr>
      </w:pPr>
      <w:r>
        <w:rPr>
          <w:highlight w:val="none"/>
        </w:rPr>
        <w:t>44.1.1</w:t>
      </w:r>
      <w:r>
        <w:rPr>
          <w:rFonts w:hint="eastAsia"/>
          <w:highlight w:val="none"/>
        </w:rPr>
        <w:t>公开招标失败项目转为竞争性谈判方式采购的，原招标文件转为谈判文件。</w:t>
      </w:r>
    </w:p>
    <w:p>
      <w:pPr>
        <w:tabs>
          <w:tab w:val="clear" w:pos="426"/>
        </w:tabs>
        <w:rPr>
          <w:highlight w:val="none"/>
        </w:rPr>
      </w:pPr>
      <w:r>
        <w:rPr>
          <w:highlight w:val="none"/>
        </w:rPr>
        <w:t>44.2</w:t>
      </w:r>
      <w:r>
        <w:rPr>
          <w:rFonts w:hint="eastAsia"/>
          <w:highlight w:val="none"/>
        </w:rPr>
        <w:t>谈判小组</w:t>
      </w:r>
    </w:p>
    <w:p>
      <w:pPr>
        <w:tabs>
          <w:tab w:val="clear" w:pos="426"/>
        </w:tabs>
        <w:rPr>
          <w:highlight w:val="none"/>
        </w:rPr>
      </w:pPr>
      <w:r>
        <w:rPr>
          <w:highlight w:val="none"/>
        </w:rPr>
        <w:t>44.2.1</w:t>
      </w:r>
      <w:r>
        <w:rPr>
          <w:rFonts w:hint="eastAsia"/>
          <w:highlight w:val="none"/>
        </w:rPr>
        <w:t>公开招标失败项目转为竞争性谈判方式采购后，评标委员会转为谈判小组；专家可重新抽取也可继续采用评标委员会内专家。</w:t>
      </w:r>
    </w:p>
    <w:p>
      <w:pPr>
        <w:tabs>
          <w:tab w:val="clear" w:pos="426"/>
        </w:tabs>
        <w:rPr>
          <w:highlight w:val="none"/>
        </w:rPr>
      </w:pPr>
      <w:r>
        <w:rPr>
          <w:szCs w:val="21"/>
          <w:highlight w:val="none"/>
        </w:rPr>
        <w:t>44.2.2</w:t>
      </w:r>
      <w:r>
        <w:rPr>
          <w:rFonts w:hint="eastAsia"/>
          <w:highlight w:val="none"/>
        </w:rPr>
        <w:t>谈判前，谈判小组将对各供应商的谈判应答文件进行审查，</w:t>
      </w:r>
      <w:r>
        <w:rPr>
          <w:rFonts w:hint="eastAsia"/>
          <w:bCs/>
          <w:highlight w:val="none"/>
        </w:rPr>
        <w:t>当谈判应答文件出现下列情况之一的将视为无效，按无效标或废标处理，不得进入谈判，</w:t>
      </w:r>
      <w:r>
        <w:rPr>
          <w:rFonts w:hint="eastAsia"/>
          <w:highlight w:val="none"/>
        </w:rPr>
        <w:t>具体内容见原招标文件中“资格、符合性评审</w:t>
      </w:r>
      <w:r>
        <w:rPr>
          <w:rFonts w:hint="eastAsia"/>
          <w:bCs/>
          <w:highlight w:val="none"/>
        </w:rPr>
        <w:t>”</w:t>
      </w:r>
      <w:r>
        <w:rPr>
          <w:rFonts w:hint="eastAsia"/>
          <w:highlight w:val="none"/>
        </w:rPr>
        <w:t>部分以及谈判邀请中相应的变动部分。</w:t>
      </w:r>
    </w:p>
    <w:p>
      <w:pPr>
        <w:tabs>
          <w:tab w:val="clear" w:pos="426"/>
        </w:tabs>
        <w:rPr>
          <w:highlight w:val="none"/>
        </w:rPr>
      </w:pPr>
      <w:r>
        <w:rPr>
          <w:highlight w:val="none"/>
        </w:rPr>
        <w:t>44.3</w:t>
      </w:r>
      <w:r>
        <w:rPr>
          <w:rFonts w:hint="eastAsia"/>
          <w:highlight w:val="none"/>
        </w:rPr>
        <w:t>谈判程序</w:t>
      </w:r>
    </w:p>
    <w:p>
      <w:pPr>
        <w:tabs>
          <w:tab w:val="clear" w:pos="426"/>
        </w:tabs>
        <w:rPr>
          <w:highlight w:val="none"/>
        </w:rPr>
      </w:pPr>
      <w:r>
        <w:rPr>
          <w:highlight w:val="none"/>
        </w:rPr>
        <w:t>44.3.1</w:t>
      </w:r>
      <w:r>
        <w:rPr>
          <w:rFonts w:hint="eastAsia"/>
          <w:highlight w:val="none"/>
        </w:rPr>
        <w:t>参加谈判的供应商和谈判小组成员填写谈判登记表，并交验证明文件（法定代表人证明书、法人授权委托书、被授权的谈判代表身份证原件）。</w:t>
      </w:r>
    </w:p>
    <w:p>
      <w:pPr>
        <w:tabs>
          <w:tab w:val="clear" w:pos="426"/>
        </w:tabs>
        <w:rPr>
          <w:highlight w:val="none"/>
        </w:rPr>
      </w:pPr>
      <w:r>
        <w:rPr>
          <w:highlight w:val="none"/>
        </w:rPr>
        <w:t>44.3.2</w:t>
      </w:r>
      <w:r>
        <w:rPr>
          <w:rFonts w:hint="eastAsia"/>
          <w:highlight w:val="none"/>
        </w:rPr>
        <w:t>谈判小组主持人宣布谈判规则和谈判纪律。</w:t>
      </w:r>
    </w:p>
    <w:p>
      <w:pPr>
        <w:tabs>
          <w:tab w:val="clear" w:pos="426"/>
        </w:tabs>
        <w:rPr>
          <w:highlight w:val="none"/>
        </w:rPr>
      </w:pPr>
      <w:r>
        <w:rPr>
          <w:highlight w:val="none"/>
        </w:rPr>
        <w:t>44.3.3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w:t>
      </w:r>
      <w:r>
        <w:rPr>
          <w:highlight w:val="none"/>
        </w:rPr>
        <w:t>2</w:t>
      </w:r>
      <w:r>
        <w:rPr>
          <w:rFonts w:hint="eastAsia"/>
          <w:highlight w:val="none"/>
        </w:rPr>
        <w:t>）报价；</w:t>
      </w:r>
    </w:p>
    <w:p>
      <w:pPr>
        <w:tabs>
          <w:tab w:val="clear" w:pos="426"/>
        </w:tabs>
        <w:rPr>
          <w:highlight w:val="none"/>
        </w:rPr>
      </w:pPr>
      <w:r>
        <w:rPr>
          <w:rFonts w:hint="eastAsia"/>
          <w:highlight w:val="none"/>
        </w:rPr>
        <w:t>（</w:t>
      </w:r>
      <w:r>
        <w:rPr>
          <w:highlight w:val="none"/>
        </w:rPr>
        <w:t>3</w:t>
      </w:r>
      <w:r>
        <w:rPr>
          <w:rFonts w:hint="eastAsia"/>
          <w:highlight w:val="none"/>
        </w:rPr>
        <w:t>）其它相关事项。</w:t>
      </w:r>
    </w:p>
    <w:p>
      <w:pPr>
        <w:tabs>
          <w:tab w:val="clear" w:pos="426"/>
        </w:tabs>
        <w:rPr>
          <w:highlight w:val="none"/>
        </w:rPr>
      </w:pPr>
      <w:r>
        <w:rPr>
          <w:rFonts w:hint="eastAsia"/>
          <w:highlight w:val="none"/>
        </w:rPr>
        <w:t>原招标文件或谈判邀请文件有实质性变动的，谈判小组应当通过采购代理机构通知所有参加谈判的供应商。</w:t>
      </w:r>
    </w:p>
    <w:p>
      <w:pPr>
        <w:tabs>
          <w:tab w:val="clear" w:pos="426"/>
        </w:tabs>
        <w:rPr>
          <w:highlight w:val="none"/>
        </w:rPr>
      </w:pPr>
      <w:r>
        <w:rPr>
          <w:highlight w:val="none"/>
        </w:rPr>
        <w:t>44.3.4</w:t>
      </w:r>
      <w:r>
        <w:rPr>
          <w:rFonts w:hint="eastAsia"/>
          <w:highlight w:val="none"/>
        </w:rPr>
        <w:t>谈判小组可以用书面形式要求各供应商对其谈判应答文件含义不明确的内容作必要的澄清或者说明，重要问题供应商应以书面形式进行澄清、说明。</w:t>
      </w:r>
    </w:p>
    <w:p>
      <w:pPr>
        <w:tabs>
          <w:tab w:val="clear" w:pos="426"/>
        </w:tabs>
        <w:rPr>
          <w:highlight w:val="none"/>
        </w:rPr>
      </w:pPr>
      <w:r>
        <w:rPr>
          <w:highlight w:val="none"/>
        </w:rPr>
        <w:t xml:space="preserve">44.3.5 </w:t>
      </w:r>
      <w:r>
        <w:rPr>
          <w:rFonts w:hint="eastAsia"/>
          <w:highlight w:val="none"/>
        </w:rPr>
        <w:t>允许供应商在谈判结束之前根据谈判小组提出的内容进行澄清、修改或完善，或对项目方案进行相应的调整。</w:t>
      </w:r>
    </w:p>
    <w:p>
      <w:pPr>
        <w:tabs>
          <w:tab w:val="clear" w:pos="426"/>
        </w:tabs>
        <w:rPr>
          <w:highlight w:val="none"/>
        </w:rPr>
      </w:pPr>
      <w:r>
        <w:rPr>
          <w:highlight w:val="none"/>
        </w:rPr>
        <w:t>44.3.6</w:t>
      </w:r>
      <w:r>
        <w:rPr>
          <w:rFonts w:hint="eastAsia"/>
          <w:highlight w:val="none"/>
        </w:rPr>
        <w:t>供应商对谈判应答文件进行修改，都应形成文字材料，并经供应商谈判授权人签字认可。</w:t>
      </w:r>
    </w:p>
    <w:p>
      <w:pPr>
        <w:tabs>
          <w:tab w:val="clear" w:pos="426"/>
        </w:tabs>
        <w:rPr>
          <w:highlight w:val="none"/>
        </w:rPr>
      </w:pPr>
      <w:r>
        <w:rPr>
          <w:highlight w:val="none"/>
        </w:rPr>
        <w:t>44.3.7</w:t>
      </w:r>
      <w:r>
        <w:rPr>
          <w:rFonts w:hint="eastAsia"/>
          <w:highlight w:val="none"/>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highlight w:val="none"/>
        </w:rPr>
      </w:pPr>
      <w:r>
        <w:rPr>
          <w:szCs w:val="21"/>
          <w:highlight w:val="none"/>
        </w:rPr>
        <w:t>44.3.8</w:t>
      </w:r>
      <w:r>
        <w:rPr>
          <w:rFonts w:hint="eastAsia"/>
          <w:szCs w:val="21"/>
          <w:highlight w:val="none"/>
        </w:rPr>
        <w:t>有下列情形之一的，该供应商的谈判结果</w:t>
      </w:r>
      <w:r>
        <w:rPr>
          <w:rFonts w:hint="eastAsia"/>
          <w:bCs/>
          <w:highlight w:val="none"/>
        </w:rPr>
        <w:t>按无效标或废标处理</w:t>
      </w:r>
      <w:r>
        <w:rPr>
          <w:rFonts w:hint="eastAsia"/>
          <w:szCs w:val="21"/>
          <w:highlight w:val="none"/>
        </w:rPr>
        <w:t>，</w:t>
      </w:r>
      <w:r>
        <w:rPr>
          <w:rFonts w:hint="eastAsia"/>
          <w:highlight w:val="none"/>
        </w:rPr>
        <w:t>具体内容见原招标文件中不符合“资格、符合性评审条款”部分以及谈判邀请中相应的变动部分。</w:t>
      </w:r>
    </w:p>
    <w:p>
      <w:pPr>
        <w:tabs>
          <w:tab w:val="clear" w:pos="426"/>
        </w:tabs>
        <w:rPr>
          <w:highlight w:val="none"/>
        </w:rPr>
      </w:pPr>
      <w:r>
        <w:rPr>
          <w:highlight w:val="none"/>
        </w:rPr>
        <w:t>44.3.9</w:t>
      </w:r>
      <w:r>
        <w:rPr>
          <w:rFonts w:hint="eastAsia"/>
          <w:highlight w:val="none"/>
        </w:rPr>
        <w:t>谈判结束后，谈判小组根据供应商提供的谈判应答文件、谈判过程中产生的相关资料，对供应商谈判应答文件进行评估与比较，提出书面评审意见。</w:t>
      </w:r>
    </w:p>
    <w:p>
      <w:pPr>
        <w:tabs>
          <w:tab w:val="clear" w:pos="426"/>
        </w:tabs>
        <w:rPr>
          <w:highlight w:val="none"/>
        </w:rPr>
      </w:pPr>
      <w:r>
        <w:rPr>
          <w:highlight w:val="none"/>
        </w:rPr>
        <w:t>44.3.10</w:t>
      </w:r>
      <w:r>
        <w:rPr>
          <w:rFonts w:hint="eastAsia"/>
          <w:highlight w:val="none"/>
        </w:rPr>
        <w:t>谈判小组将对谈判过程进行记录，以存档备查。</w:t>
      </w:r>
    </w:p>
    <w:p>
      <w:pPr>
        <w:tabs>
          <w:tab w:val="clear" w:pos="426"/>
        </w:tabs>
        <w:rPr>
          <w:highlight w:val="none"/>
        </w:rPr>
      </w:pPr>
      <w:r>
        <w:rPr>
          <w:highlight w:val="none"/>
        </w:rPr>
        <w:t>44.4</w:t>
      </w:r>
      <w:r>
        <w:rPr>
          <w:rFonts w:hint="eastAsia"/>
          <w:highlight w:val="none"/>
        </w:rPr>
        <w:t>评标方法和定标原则</w:t>
      </w:r>
    </w:p>
    <w:p>
      <w:pPr>
        <w:tabs>
          <w:tab w:val="clear" w:pos="426"/>
        </w:tabs>
        <w:rPr>
          <w:highlight w:val="none"/>
        </w:rPr>
      </w:pPr>
      <w:r>
        <w:rPr>
          <w:highlight w:val="none"/>
        </w:rPr>
        <w:t>44.4.1</w:t>
      </w:r>
      <w:r>
        <w:rPr>
          <w:rFonts w:hint="eastAsia"/>
          <w:highlight w:val="none"/>
        </w:rPr>
        <w:t>竞争性谈判采购项目的评标方法要比照最低评标价法规定执行。如确因实际情况需要采用其他评标方法的，应报经同级相关监督管理部门批准。原招标文件若采用</w:t>
      </w:r>
      <w:r>
        <w:rPr>
          <w:rFonts w:hint="eastAsia"/>
          <w:bCs/>
          <w:highlight w:val="none"/>
        </w:rPr>
        <w:t>最低评标价法以外的评标方法，转为竞争性谈判后，评标方法应采用</w:t>
      </w:r>
      <w:r>
        <w:rPr>
          <w:rFonts w:hint="eastAsia"/>
          <w:highlight w:val="none"/>
        </w:rPr>
        <w:t>最低评标价法。</w:t>
      </w:r>
    </w:p>
    <w:p>
      <w:pPr>
        <w:tabs>
          <w:tab w:val="clear" w:pos="426"/>
        </w:tabs>
        <w:rPr>
          <w:highlight w:val="none"/>
        </w:rPr>
      </w:pPr>
      <w:r>
        <w:rPr>
          <w:szCs w:val="21"/>
          <w:highlight w:val="none"/>
        </w:rPr>
        <w:t>44.4.2</w:t>
      </w:r>
      <w:r>
        <w:rPr>
          <w:rFonts w:hint="eastAsia"/>
          <w:szCs w:val="21"/>
          <w:highlight w:val="none"/>
        </w:rPr>
        <w:t>对公开招标失败转为竞争性谈判方式采购的项目，谈判小组</w:t>
      </w:r>
      <w:r>
        <w:rPr>
          <w:rFonts w:hint="eastAsia"/>
          <w:highlight w:val="none"/>
        </w:rPr>
        <w:t>对谈判应答文件进行评审和比较，综合各家供应商最终的方案、服务和投资等谈判结果并按本通用条款第</w:t>
      </w:r>
      <w:r>
        <w:rPr>
          <w:bCs/>
          <w:szCs w:val="21"/>
          <w:highlight w:val="none"/>
        </w:rPr>
        <w:t>37.1.1</w:t>
      </w:r>
      <w:r>
        <w:rPr>
          <w:rFonts w:hint="eastAsia"/>
          <w:bCs/>
          <w:szCs w:val="21"/>
          <w:highlight w:val="none"/>
        </w:rPr>
        <w:t>款</w:t>
      </w:r>
      <w:r>
        <w:rPr>
          <w:rFonts w:hint="eastAsia"/>
          <w:highlight w:val="none"/>
        </w:rPr>
        <w:t>的</w:t>
      </w:r>
      <w:r>
        <w:rPr>
          <w:rFonts w:hint="eastAsia"/>
          <w:bCs/>
          <w:highlight w:val="none"/>
        </w:rPr>
        <w:t>最低评标价法</w:t>
      </w:r>
      <w:r>
        <w:rPr>
          <w:rFonts w:hint="eastAsia"/>
          <w:highlight w:val="none"/>
        </w:rPr>
        <w:t>进行评审。</w:t>
      </w:r>
    </w:p>
    <w:p>
      <w:pPr>
        <w:tabs>
          <w:tab w:val="clear" w:pos="426"/>
        </w:tabs>
        <w:rPr>
          <w:highlight w:val="none"/>
        </w:rPr>
      </w:pPr>
      <w:r>
        <w:rPr>
          <w:highlight w:val="none"/>
        </w:rPr>
        <w:t>44.4.3</w:t>
      </w:r>
      <w:r>
        <w:rPr>
          <w:rFonts w:hint="eastAsia"/>
          <w:highlight w:val="none"/>
        </w:rPr>
        <w:t>若要采用其他评标方法的，必须报经相关监督管理部门批准，谈判小组按批准的评标方法进行评审。谈判邀请文件中应注明批准的评标方法。</w:t>
      </w:r>
    </w:p>
    <w:p>
      <w:pPr>
        <w:tabs>
          <w:tab w:val="clear" w:pos="426"/>
        </w:tabs>
        <w:rPr>
          <w:highlight w:val="none"/>
        </w:rPr>
      </w:pPr>
      <w:r>
        <w:rPr>
          <w:highlight w:val="none"/>
        </w:rPr>
        <w:t>44.4.4</w:t>
      </w:r>
      <w:r>
        <w:rPr>
          <w:rFonts w:hint="eastAsia"/>
          <w:highlight w:val="none"/>
        </w:rPr>
        <w:t>谈判小组向采购代理机构提交书面评标报告，并推荐中标候选人或确定中标供应商。</w:t>
      </w:r>
    </w:p>
    <w:p>
      <w:pPr>
        <w:tabs>
          <w:tab w:val="clear" w:pos="426"/>
        </w:tabs>
        <w:rPr>
          <w:highlight w:val="none"/>
        </w:rPr>
      </w:pPr>
      <w:r>
        <w:rPr>
          <w:highlight w:val="none"/>
        </w:rPr>
        <w:t>45</w:t>
      </w:r>
      <w:r>
        <w:rPr>
          <w:rFonts w:hint="eastAsia"/>
          <w:highlight w:val="none"/>
        </w:rPr>
        <w:t>．公开招标失败项目转为单一来源谈判方式采购</w:t>
      </w:r>
    </w:p>
    <w:p>
      <w:pPr>
        <w:tabs>
          <w:tab w:val="clear" w:pos="426"/>
        </w:tabs>
        <w:rPr>
          <w:highlight w:val="none"/>
        </w:rPr>
      </w:pPr>
      <w:r>
        <w:rPr>
          <w:highlight w:val="none"/>
        </w:rPr>
        <w:t>45.1</w:t>
      </w:r>
      <w:r>
        <w:rPr>
          <w:rFonts w:hint="eastAsia"/>
          <w:highlight w:val="none"/>
        </w:rPr>
        <w:t>谈判文件</w:t>
      </w:r>
    </w:p>
    <w:p>
      <w:pPr>
        <w:tabs>
          <w:tab w:val="clear" w:pos="426"/>
        </w:tabs>
        <w:rPr>
          <w:highlight w:val="none"/>
        </w:rPr>
      </w:pPr>
      <w:r>
        <w:rPr>
          <w:highlight w:val="none"/>
        </w:rPr>
        <w:t>45.1.1</w:t>
      </w:r>
      <w:r>
        <w:rPr>
          <w:rFonts w:hint="eastAsia"/>
          <w:highlight w:val="none"/>
        </w:rPr>
        <w:t>公开招标失败项目转为单一来源谈判方式采购的，原招标文件转为谈判文件。</w:t>
      </w:r>
    </w:p>
    <w:p>
      <w:pPr>
        <w:tabs>
          <w:tab w:val="clear" w:pos="426"/>
        </w:tabs>
        <w:rPr>
          <w:highlight w:val="none"/>
        </w:rPr>
      </w:pPr>
      <w:r>
        <w:rPr>
          <w:highlight w:val="none"/>
        </w:rPr>
        <w:t>45.2</w:t>
      </w:r>
      <w:r>
        <w:rPr>
          <w:rFonts w:hint="eastAsia"/>
          <w:highlight w:val="none"/>
        </w:rPr>
        <w:t>谈判小组</w:t>
      </w:r>
    </w:p>
    <w:p>
      <w:pPr>
        <w:tabs>
          <w:tab w:val="clear" w:pos="426"/>
        </w:tabs>
        <w:rPr>
          <w:highlight w:val="none"/>
        </w:rPr>
      </w:pPr>
      <w:r>
        <w:rPr>
          <w:highlight w:val="none"/>
        </w:rPr>
        <w:t>45.2.1</w:t>
      </w:r>
      <w:r>
        <w:rPr>
          <w:rFonts w:hint="eastAsia"/>
          <w:highlight w:val="none"/>
        </w:rPr>
        <w:t>公开招标失败项目转为单一来源谈判方式采购后，评标委员会转为谈判小组，专家可重新抽取也可继续采用评标委员会内专家。</w:t>
      </w:r>
    </w:p>
    <w:p>
      <w:pPr>
        <w:tabs>
          <w:tab w:val="clear" w:pos="426"/>
        </w:tabs>
        <w:rPr>
          <w:highlight w:val="none"/>
        </w:rPr>
      </w:pPr>
      <w:r>
        <w:rPr>
          <w:szCs w:val="21"/>
          <w:highlight w:val="none"/>
        </w:rPr>
        <w:t>45.2.2</w:t>
      </w:r>
      <w:r>
        <w:rPr>
          <w:rFonts w:hint="eastAsia"/>
          <w:highlight w:val="none"/>
        </w:rPr>
        <w:t>谈判前，谈判小组将对单一来源供应商的谈判应答文件进行审查，</w:t>
      </w:r>
      <w:r>
        <w:rPr>
          <w:rFonts w:hint="eastAsia"/>
          <w:bCs/>
          <w:highlight w:val="none"/>
        </w:rPr>
        <w:t>当谈判应答文件出现下列情况之一的将视为无效，按无效标或废标处理，不得进入谈判，</w:t>
      </w:r>
      <w:r>
        <w:rPr>
          <w:rFonts w:hint="eastAsia"/>
          <w:highlight w:val="none"/>
        </w:rPr>
        <w:t>具体内容见原招标文件中“资格、符合性评审条款</w:t>
      </w:r>
      <w:r>
        <w:rPr>
          <w:rFonts w:hint="eastAsia"/>
          <w:bCs/>
          <w:highlight w:val="none"/>
        </w:rPr>
        <w:t>”</w:t>
      </w:r>
      <w:r>
        <w:rPr>
          <w:rFonts w:hint="eastAsia"/>
          <w:highlight w:val="none"/>
        </w:rPr>
        <w:t>部分以及谈判邀请中相应的变动部分。</w:t>
      </w:r>
    </w:p>
    <w:p>
      <w:pPr>
        <w:tabs>
          <w:tab w:val="clear" w:pos="426"/>
        </w:tabs>
        <w:rPr>
          <w:highlight w:val="none"/>
        </w:rPr>
      </w:pPr>
      <w:r>
        <w:rPr>
          <w:highlight w:val="none"/>
        </w:rPr>
        <w:t>45.3</w:t>
      </w:r>
      <w:r>
        <w:rPr>
          <w:rFonts w:hint="eastAsia"/>
          <w:highlight w:val="none"/>
        </w:rPr>
        <w:t>谈判程序</w:t>
      </w:r>
    </w:p>
    <w:p>
      <w:pPr>
        <w:tabs>
          <w:tab w:val="clear" w:pos="426"/>
        </w:tabs>
        <w:rPr>
          <w:highlight w:val="none"/>
        </w:rPr>
      </w:pPr>
      <w:r>
        <w:rPr>
          <w:highlight w:val="none"/>
        </w:rPr>
        <w:t>45.3.1</w:t>
      </w:r>
      <w:r>
        <w:rPr>
          <w:rFonts w:hint="eastAsia"/>
          <w:highlight w:val="none"/>
        </w:rPr>
        <w:t>参加谈判的供应商和谈判小组成员填写谈判登记表，并交验证明文件（法定代表人证明书、法人授权委托书、被授权的谈判代表身份证原件）。</w:t>
      </w:r>
    </w:p>
    <w:p>
      <w:pPr>
        <w:tabs>
          <w:tab w:val="clear" w:pos="426"/>
        </w:tabs>
        <w:rPr>
          <w:highlight w:val="none"/>
        </w:rPr>
      </w:pPr>
      <w:r>
        <w:rPr>
          <w:highlight w:val="none"/>
        </w:rPr>
        <w:t>45.3.2</w:t>
      </w:r>
      <w:r>
        <w:rPr>
          <w:rFonts w:hint="eastAsia"/>
          <w:highlight w:val="none"/>
        </w:rPr>
        <w:t>谈判小组主持人宣布谈判规则和谈判纪律。</w:t>
      </w:r>
    </w:p>
    <w:p>
      <w:pPr>
        <w:tabs>
          <w:tab w:val="clear" w:pos="426"/>
        </w:tabs>
        <w:rPr>
          <w:highlight w:val="none"/>
        </w:rPr>
      </w:pPr>
      <w:r>
        <w:rPr>
          <w:highlight w:val="none"/>
        </w:rPr>
        <w:t>45.3.3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w:t>
      </w:r>
      <w:r>
        <w:rPr>
          <w:highlight w:val="none"/>
        </w:rPr>
        <w:t>2</w:t>
      </w:r>
      <w:r>
        <w:rPr>
          <w:rFonts w:hint="eastAsia"/>
          <w:highlight w:val="none"/>
        </w:rPr>
        <w:t>）报价；</w:t>
      </w:r>
    </w:p>
    <w:p>
      <w:pPr>
        <w:tabs>
          <w:tab w:val="clear" w:pos="426"/>
        </w:tabs>
        <w:rPr>
          <w:highlight w:val="none"/>
        </w:rPr>
      </w:pPr>
      <w:r>
        <w:rPr>
          <w:rFonts w:hint="eastAsia"/>
          <w:highlight w:val="none"/>
        </w:rPr>
        <w:t>（</w:t>
      </w:r>
      <w:r>
        <w:rPr>
          <w:highlight w:val="none"/>
        </w:rPr>
        <w:t>3</w:t>
      </w:r>
      <w:r>
        <w:rPr>
          <w:rFonts w:hint="eastAsia"/>
          <w:highlight w:val="none"/>
        </w:rPr>
        <w:t>）其它相关事项。</w:t>
      </w:r>
    </w:p>
    <w:p>
      <w:pPr>
        <w:tabs>
          <w:tab w:val="clear" w:pos="426"/>
        </w:tabs>
        <w:rPr>
          <w:highlight w:val="none"/>
        </w:rPr>
      </w:pPr>
      <w:r>
        <w:rPr>
          <w:rFonts w:hint="eastAsia"/>
          <w:highlight w:val="none"/>
        </w:rPr>
        <w:t>原招标文件或谈判邀请文件有实质性变动的，谈判小组应当通过采购代理机构通知供应商。</w:t>
      </w:r>
    </w:p>
    <w:p>
      <w:pPr>
        <w:tabs>
          <w:tab w:val="clear" w:pos="426"/>
        </w:tabs>
        <w:rPr>
          <w:highlight w:val="none"/>
        </w:rPr>
      </w:pPr>
      <w:r>
        <w:rPr>
          <w:highlight w:val="none"/>
        </w:rPr>
        <w:t>45.3.4</w:t>
      </w:r>
      <w:r>
        <w:rPr>
          <w:rFonts w:hint="eastAsia"/>
          <w:highlight w:val="none"/>
        </w:rPr>
        <w:t>谈判小组可以用书面形式要求供应商对其谈判应答文件含义不明确的内容作必要的澄清或者说明，重要问题供应商应以书面形式进行澄清、说明。</w:t>
      </w:r>
    </w:p>
    <w:p>
      <w:pPr>
        <w:tabs>
          <w:tab w:val="clear" w:pos="426"/>
        </w:tabs>
        <w:rPr>
          <w:highlight w:val="none"/>
        </w:rPr>
      </w:pPr>
      <w:r>
        <w:rPr>
          <w:highlight w:val="none"/>
        </w:rPr>
        <w:t xml:space="preserve">45.3.5 </w:t>
      </w:r>
      <w:r>
        <w:rPr>
          <w:rFonts w:hint="eastAsia"/>
          <w:highlight w:val="none"/>
        </w:rPr>
        <w:t>允许供应商在谈判结束之前根据谈判小组提出的内容进行澄清、修改或完善，或对项目方案进行相应的调整。</w:t>
      </w:r>
    </w:p>
    <w:p>
      <w:pPr>
        <w:tabs>
          <w:tab w:val="clear" w:pos="426"/>
        </w:tabs>
        <w:rPr>
          <w:highlight w:val="none"/>
        </w:rPr>
      </w:pPr>
      <w:r>
        <w:rPr>
          <w:highlight w:val="none"/>
        </w:rPr>
        <w:t>45.3.6</w:t>
      </w:r>
      <w:r>
        <w:rPr>
          <w:rFonts w:hint="eastAsia"/>
          <w:highlight w:val="none"/>
        </w:rPr>
        <w:t>供应商对谈判应答文件进行修改，都应形成文字材料，并经供应商谈判授权人签字认可。</w:t>
      </w:r>
    </w:p>
    <w:p>
      <w:pPr>
        <w:tabs>
          <w:tab w:val="clear" w:pos="426"/>
        </w:tabs>
        <w:rPr>
          <w:highlight w:val="none"/>
        </w:rPr>
      </w:pPr>
      <w:r>
        <w:rPr>
          <w:highlight w:val="none"/>
        </w:rPr>
        <w:t>45.3.7</w:t>
      </w:r>
      <w:r>
        <w:rPr>
          <w:rFonts w:hint="eastAsia"/>
          <w:highlight w:val="none"/>
        </w:rPr>
        <w:t>谈判小组与单一来源供应商进行谈判。供应商有两次更改机会；供应商应在规定的时间内提出最后更改及书面承诺。</w:t>
      </w:r>
    </w:p>
    <w:p>
      <w:pPr>
        <w:tabs>
          <w:tab w:val="clear" w:pos="426"/>
        </w:tabs>
        <w:rPr>
          <w:szCs w:val="21"/>
          <w:highlight w:val="none"/>
        </w:rPr>
      </w:pPr>
      <w:r>
        <w:rPr>
          <w:szCs w:val="21"/>
          <w:highlight w:val="none"/>
        </w:rPr>
        <w:t>45.3.8</w:t>
      </w:r>
      <w:r>
        <w:rPr>
          <w:rFonts w:hint="eastAsia"/>
          <w:szCs w:val="21"/>
          <w:highlight w:val="none"/>
        </w:rPr>
        <w:t>有下列情形之一的，供应商的谈判结果作废标处理，</w:t>
      </w:r>
      <w:r>
        <w:rPr>
          <w:rFonts w:hint="eastAsia"/>
          <w:highlight w:val="none"/>
        </w:rPr>
        <w:t>具体内容见原招标文件中不符合“资格、符合性评审条款”部分以及谈判邀请中相应的变动部分。</w:t>
      </w:r>
    </w:p>
    <w:p>
      <w:pPr>
        <w:tabs>
          <w:tab w:val="clear" w:pos="426"/>
        </w:tabs>
        <w:rPr>
          <w:highlight w:val="none"/>
        </w:rPr>
      </w:pPr>
      <w:r>
        <w:rPr>
          <w:highlight w:val="none"/>
        </w:rPr>
        <w:t>45.3.9</w:t>
      </w:r>
      <w:r>
        <w:rPr>
          <w:rFonts w:hint="eastAsia"/>
          <w:highlight w:val="none"/>
        </w:rPr>
        <w:t>谈判结束后，谈判小组根据供应商提供的谈判应答文件、谈判过程中产生的相关资料，对供应商谈判应答文件进行评估与比较，提出书面评审意见。</w:t>
      </w:r>
    </w:p>
    <w:p>
      <w:pPr>
        <w:tabs>
          <w:tab w:val="clear" w:pos="426"/>
        </w:tabs>
        <w:rPr>
          <w:highlight w:val="none"/>
        </w:rPr>
      </w:pPr>
      <w:r>
        <w:rPr>
          <w:highlight w:val="none"/>
        </w:rPr>
        <w:t>45.3.10</w:t>
      </w:r>
      <w:r>
        <w:rPr>
          <w:rFonts w:hint="eastAsia"/>
          <w:highlight w:val="none"/>
        </w:rPr>
        <w:t>谈判小组将对谈判过程进行记录，以存档备查。</w:t>
      </w:r>
    </w:p>
    <w:p>
      <w:pPr>
        <w:tabs>
          <w:tab w:val="clear" w:pos="426"/>
        </w:tabs>
        <w:rPr>
          <w:highlight w:val="none"/>
        </w:rPr>
      </w:pPr>
      <w:r>
        <w:rPr>
          <w:highlight w:val="none"/>
        </w:rPr>
        <w:t>45.4</w:t>
      </w:r>
      <w:r>
        <w:rPr>
          <w:rFonts w:hint="eastAsia"/>
          <w:highlight w:val="none"/>
        </w:rPr>
        <w:t>评标方法和定标原则</w:t>
      </w:r>
    </w:p>
    <w:p>
      <w:pPr>
        <w:tabs>
          <w:tab w:val="clear" w:pos="426"/>
        </w:tabs>
        <w:rPr>
          <w:highlight w:val="none"/>
        </w:rPr>
      </w:pPr>
      <w:r>
        <w:rPr>
          <w:szCs w:val="21"/>
          <w:highlight w:val="none"/>
        </w:rPr>
        <w:t>45.4.1</w:t>
      </w:r>
      <w:r>
        <w:rPr>
          <w:rFonts w:hint="eastAsia"/>
          <w:szCs w:val="21"/>
          <w:highlight w:val="none"/>
        </w:rPr>
        <w:t>单一来源谈判采用最低评标价法。</w:t>
      </w:r>
      <w:r>
        <w:rPr>
          <w:rFonts w:hint="eastAsia"/>
          <w:highlight w:val="none"/>
        </w:rPr>
        <w:t>原招标文件若采用</w:t>
      </w:r>
      <w:r>
        <w:rPr>
          <w:rFonts w:hint="eastAsia"/>
          <w:bCs/>
          <w:highlight w:val="none"/>
        </w:rPr>
        <w:t>最低评标价法以外的评标方法，转为单一来源谈判后，评标方法改为</w:t>
      </w:r>
      <w:r>
        <w:rPr>
          <w:rFonts w:hint="eastAsia"/>
          <w:szCs w:val="21"/>
          <w:highlight w:val="none"/>
        </w:rPr>
        <w:t>最低评标价法。谈判小组</w:t>
      </w:r>
      <w:r>
        <w:rPr>
          <w:rFonts w:hint="eastAsia"/>
          <w:highlight w:val="none"/>
        </w:rPr>
        <w:t>对谈判应答文件进行评审和比较，对供应商最终的方案、服务和投资等谈判结果按本通用条款第</w:t>
      </w:r>
      <w:r>
        <w:rPr>
          <w:highlight w:val="none"/>
        </w:rPr>
        <w:t>37.1.1</w:t>
      </w:r>
      <w:r>
        <w:rPr>
          <w:rFonts w:hint="eastAsia"/>
          <w:highlight w:val="none"/>
        </w:rPr>
        <w:t>的</w:t>
      </w:r>
      <w:r>
        <w:rPr>
          <w:rFonts w:hint="eastAsia"/>
          <w:bCs/>
          <w:highlight w:val="none"/>
        </w:rPr>
        <w:t>最低评标价法</w:t>
      </w:r>
      <w:r>
        <w:rPr>
          <w:rFonts w:hint="eastAsia"/>
          <w:highlight w:val="none"/>
        </w:rPr>
        <w:t>进行评审。</w:t>
      </w:r>
    </w:p>
    <w:p>
      <w:pPr>
        <w:tabs>
          <w:tab w:val="clear" w:pos="426"/>
        </w:tabs>
        <w:rPr>
          <w:szCs w:val="21"/>
          <w:highlight w:val="none"/>
        </w:rPr>
      </w:pPr>
      <w:r>
        <w:rPr>
          <w:highlight w:val="none"/>
        </w:rPr>
        <w:t>45.4.2</w:t>
      </w:r>
      <w:r>
        <w:rPr>
          <w:rFonts w:hint="eastAsia"/>
          <w:highlight w:val="none"/>
        </w:rPr>
        <w:t>谈判小组向采购代理机构提交书面评标报告，并推荐中标候选人或确定中标供应商。</w:t>
      </w:r>
    </w:p>
    <w:p>
      <w:pPr>
        <w:pStyle w:val="5"/>
        <w:numPr>
          <w:ilvl w:val="3"/>
          <w:numId w:val="0"/>
        </w:numPr>
        <w:shd w:val="clear" w:color="auto" w:fill="auto"/>
        <w:tabs>
          <w:tab w:val="clear" w:pos="1680"/>
        </w:tabs>
        <w:rPr>
          <w:rFonts w:hint="eastAsia" w:cs="Times New Roman"/>
          <w:highlight w:val="none"/>
        </w:rPr>
      </w:pPr>
      <w:bookmarkStart w:id="198" w:name="_Toc530152530"/>
      <w:bookmarkStart w:id="199" w:name="_Toc152759246"/>
      <w:bookmarkStart w:id="200" w:name="_Toc14427262"/>
      <w:bookmarkStart w:id="201" w:name="_Toc529280589"/>
      <w:r>
        <w:rPr>
          <w:rFonts w:hint="eastAsia" w:cs="Times New Roman"/>
          <w:highlight w:val="none"/>
        </w:rPr>
        <w:t>第九章合同的授予与备案</w:t>
      </w:r>
      <w:bookmarkEnd w:id="198"/>
      <w:bookmarkEnd w:id="199"/>
      <w:bookmarkEnd w:id="200"/>
      <w:bookmarkEnd w:id="201"/>
    </w:p>
    <w:p>
      <w:pPr>
        <w:tabs>
          <w:tab w:val="clear" w:pos="426"/>
        </w:tabs>
        <w:rPr>
          <w:highlight w:val="none"/>
        </w:rPr>
      </w:pPr>
      <w:r>
        <w:rPr>
          <w:highlight w:val="none"/>
        </w:rPr>
        <w:t>46</w:t>
      </w:r>
      <w:r>
        <w:rPr>
          <w:rFonts w:hint="eastAsia"/>
          <w:highlight w:val="none"/>
        </w:rPr>
        <w:t>．履约担保</w:t>
      </w:r>
    </w:p>
    <w:p>
      <w:pPr>
        <w:tabs>
          <w:tab w:val="clear" w:pos="426"/>
        </w:tabs>
        <w:rPr>
          <w:highlight w:val="none"/>
        </w:rPr>
      </w:pPr>
      <w:r>
        <w:rPr>
          <w:highlight w:val="none"/>
        </w:rPr>
        <w:t xml:space="preserve">46.1  </w:t>
      </w:r>
      <w:r>
        <w:rPr>
          <w:rFonts w:hint="eastAsia"/>
          <w:highlight w:val="none"/>
        </w:rPr>
        <w:t>本项目履约担保的相关要求：详见“投标须知前附表”。</w:t>
      </w:r>
    </w:p>
    <w:p>
      <w:pPr>
        <w:tabs>
          <w:tab w:val="clear" w:pos="426"/>
        </w:tabs>
        <w:rPr>
          <w:highlight w:val="none"/>
        </w:rPr>
      </w:pPr>
      <w:r>
        <w:rPr>
          <w:highlight w:val="none"/>
        </w:rPr>
        <w:t xml:space="preserve">46.2  </w:t>
      </w:r>
      <w:r>
        <w:rPr>
          <w:rFonts w:hint="eastAsia"/>
          <w:highlight w:val="none"/>
        </w:rPr>
        <w:t>在签订合同前，中标供应商应按规定向采购人提交履约担保，采用履约保函形式的可参照使用本招标文件提供的格式。</w:t>
      </w:r>
    </w:p>
    <w:p>
      <w:pPr>
        <w:tabs>
          <w:tab w:val="clear" w:pos="426"/>
        </w:tabs>
        <w:rPr>
          <w:highlight w:val="none"/>
        </w:rPr>
      </w:pPr>
      <w:r>
        <w:rPr>
          <w:highlight w:val="none"/>
        </w:rPr>
        <w:t xml:space="preserve">46.3  </w:t>
      </w:r>
      <w:r>
        <w:rPr>
          <w:rFonts w:hint="eastAsia"/>
          <w:highlight w:val="none"/>
        </w:rPr>
        <w:t>联合体中标的，其履约担保由联合体牵头人提交，并应符合本节第</w:t>
      </w:r>
      <w:r>
        <w:rPr>
          <w:highlight w:val="none"/>
        </w:rPr>
        <w:t>42.1</w:t>
      </w:r>
      <w:r>
        <w:rPr>
          <w:rFonts w:hint="eastAsia"/>
          <w:highlight w:val="none"/>
        </w:rPr>
        <w:t>条、第</w:t>
      </w:r>
      <w:r>
        <w:rPr>
          <w:highlight w:val="none"/>
        </w:rPr>
        <w:t>45.2</w:t>
      </w:r>
      <w:r>
        <w:rPr>
          <w:rFonts w:hint="eastAsia"/>
          <w:highlight w:val="none"/>
        </w:rPr>
        <w:t>条的规定。</w:t>
      </w:r>
    </w:p>
    <w:p>
      <w:pPr>
        <w:tabs>
          <w:tab w:val="clear" w:pos="426"/>
        </w:tabs>
        <w:rPr>
          <w:highlight w:val="none"/>
        </w:rPr>
      </w:pPr>
      <w:r>
        <w:rPr>
          <w:highlight w:val="none"/>
        </w:rPr>
        <w:t xml:space="preserve">46.4  </w:t>
      </w:r>
      <w:r>
        <w:rPr>
          <w:rFonts w:hint="eastAsia"/>
          <w:highlight w:val="none"/>
        </w:rPr>
        <w:t>如果中标供应商拒不提交本节第</w:t>
      </w:r>
      <w:r>
        <w:rPr>
          <w:highlight w:val="none"/>
        </w:rPr>
        <w:t>42.1</w:t>
      </w:r>
      <w:r>
        <w:rPr>
          <w:rFonts w:hint="eastAsia"/>
          <w:highlight w:val="none"/>
        </w:rPr>
        <w:t>条、第</w:t>
      </w:r>
      <w:r>
        <w:rPr>
          <w:highlight w:val="none"/>
        </w:rPr>
        <w:t>42.2</w:t>
      </w:r>
      <w:r>
        <w:rPr>
          <w:rFonts w:hint="eastAsia"/>
          <w:highlight w:val="none"/>
        </w:rPr>
        <w:t>条要求的履约担保的，采购人可取消其中标资格，并没收其投标担保。</w:t>
      </w:r>
    </w:p>
    <w:p>
      <w:pPr>
        <w:tabs>
          <w:tab w:val="clear" w:pos="426"/>
        </w:tabs>
        <w:rPr>
          <w:highlight w:val="none"/>
        </w:rPr>
      </w:pPr>
      <w:r>
        <w:rPr>
          <w:highlight w:val="none"/>
        </w:rPr>
        <w:t>47</w:t>
      </w:r>
      <w:r>
        <w:rPr>
          <w:rFonts w:hint="eastAsia"/>
          <w:highlight w:val="none"/>
        </w:rPr>
        <w:t>．签订合同</w:t>
      </w:r>
    </w:p>
    <w:p>
      <w:pPr>
        <w:tabs>
          <w:tab w:val="clear" w:pos="426"/>
        </w:tabs>
        <w:rPr>
          <w:highlight w:val="none"/>
        </w:rPr>
      </w:pPr>
      <w:r>
        <w:rPr>
          <w:highlight w:val="none"/>
        </w:rPr>
        <w:t xml:space="preserve">47.1  </w:t>
      </w:r>
      <w:r>
        <w:rPr>
          <w:rFonts w:hint="eastAsia"/>
          <w:highlight w:val="none"/>
        </w:rPr>
        <w:t>采购人和中标供应商应当按“投标须知前附表”的规定，依据招标文件和中标供应商的投标文件订立书面合同。</w:t>
      </w:r>
    </w:p>
    <w:p>
      <w:pPr>
        <w:tabs>
          <w:tab w:val="clear" w:pos="426"/>
        </w:tabs>
        <w:rPr>
          <w:highlight w:val="none"/>
        </w:rPr>
      </w:pPr>
      <w:r>
        <w:rPr>
          <w:highlight w:val="none"/>
        </w:rPr>
        <w:t xml:space="preserve">47.2  </w:t>
      </w:r>
      <w:r>
        <w:rPr>
          <w:rFonts w:hint="eastAsia"/>
          <w:highlight w:val="none"/>
        </w:rPr>
        <w:t>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numPr>
          <w:ilvl w:val="3"/>
          <w:numId w:val="0"/>
        </w:numPr>
        <w:shd w:val="clear" w:color="auto" w:fill="auto"/>
        <w:tabs>
          <w:tab w:val="clear" w:pos="1680"/>
        </w:tabs>
        <w:rPr>
          <w:rFonts w:hint="eastAsia" w:cs="Times New Roman"/>
          <w:highlight w:val="none"/>
        </w:rPr>
      </w:pPr>
      <w:bookmarkStart w:id="202" w:name="_Toc152759247"/>
      <w:bookmarkStart w:id="203" w:name="_Toc14427263"/>
      <w:bookmarkStart w:id="204" w:name="_Toc530152531"/>
      <w:bookmarkStart w:id="205" w:name="_Toc529280590"/>
      <w:r>
        <w:rPr>
          <w:rFonts w:hint="eastAsia" w:cs="Times New Roman"/>
          <w:highlight w:val="none"/>
        </w:rPr>
        <w:t>第十章质疑受理</w:t>
      </w:r>
      <w:bookmarkEnd w:id="202"/>
      <w:bookmarkEnd w:id="203"/>
      <w:bookmarkEnd w:id="204"/>
      <w:bookmarkEnd w:id="205"/>
    </w:p>
    <w:p>
      <w:pPr>
        <w:tabs>
          <w:tab w:val="clear" w:pos="426"/>
        </w:tabs>
        <w:rPr>
          <w:highlight w:val="none"/>
        </w:rPr>
      </w:pPr>
      <w:r>
        <w:rPr>
          <w:highlight w:val="none"/>
        </w:rPr>
        <w:t>48.</w:t>
      </w:r>
      <w:r>
        <w:rPr>
          <w:rFonts w:hint="eastAsia"/>
          <w:highlight w:val="none"/>
        </w:rPr>
        <w:t>质疑受理机构</w:t>
      </w:r>
    </w:p>
    <w:p>
      <w:pPr>
        <w:tabs>
          <w:tab w:val="clear" w:pos="426"/>
        </w:tabs>
        <w:rPr>
          <w:sz w:val="22"/>
          <w:szCs w:val="22"/>
          <w:highlight w:val="none"/>
        </w:rPr>
      </w:pPr>
      <w:r>
        <w:rPr>
          <w:rFonts w:hint="eastAsia"/>
          <w:highlight w:val="none"/>
        </w:rPr>
        <w:t>采购代理机构及采购人负责受理和答复质疑</w:t>
      </w:r>
      <w:r>
        <w:rPr>
          <w:rFonts w:hint="eastAsia"/>
          <w:sz w:val="22"/>
          <w:szCs w:val="22"/>
          <w:highlight w:val="none"/>
        </w:rPr>
        <w:t>。</w:t>
      </w:r>
    </w:p>
    <w:p>
      <w:pPr>
        <w:tabs>
          <w:tab w:val="clear" w:pos="426"/>
        </w:tabs>
        <w:rPr>
          <w:highlight w:val="none"/>
        </w:rPr>
      </w:pPr>
      <w:r>
        <w:rPr>
          <w:highlight w:val="none"/>
        </w:rPr>
        <w:t>49.</w:t>
      </w:r>
      <w:r>
        <w:rPr>
          <w:rFonts w:hint="eastAsia"/>
          <w:highlight w:val="none"/>
        </w:rPr>
        <w:t>质疑处理原则</w:t>
      </w:r>
    </w:p>
    <w:p>
      <w:pPr>
        <w:tabs>
          <w:tab w:val="clear" w:pos="426"/>
        </w:tabs>
        <w:rPr>
          <w:highlight w:val="none"/>
        </w:rPr>
      </w:pPr>
      <w:r>
        <w:rPr>
          <w:highlight w:val="none"/>
        </w:rPr>
        <w:t>49.1</w:t>
      </w:r>
      <w:r>
        <w:rPr>
          <w:rFonts w:hint="eastAsia"/>
          <w:highlight w:val="none"/>
        </w:rPr>
        <w:t>质疑处理遵循公平、公正、规范、高效的原则。</w:t>
      </w:r>
    </w:p>
    <w:p>
      <w:pPr>
        <w:tabs>
          <w:tab w:val="clear" w:pos="426"/>
        </w:tabs>
        <w:rPr>
          <w:highlight w:val="none"/>
        </w:rPr>
      </w:pPr>
      <w:r>
        <w:rPr>
          <w:highlight w:val="none"/>
        </w:rPr>
        <w:t>49.2</w:t>
      </w:r>
      <w:r>
        <w:rPr>
          <w:rFonts w:hint="eastAsia"/>
          <w:highlight w:val="none"/>
        </w:rPr>
        <w:t>供应商质疑实行实名制和</w:t>
      </w:r>
      <w:r>
        <w:rPr>
          <w:highlight w:val="none"/>
        </w:rPr>
        <w:t>“</w:t>
      </w:r>
      <w:r>
        <w:rPr>
          <w:rFonts w:hint="eastAsia"/>
          <w:highlight w:val="none"/>
        </w:rPr>
        <w:t>谁质疑，谁举证</w:t>
      </w:r>
      <w:r>
        <w:rPr>
          <w:highlight w:val="none"/>
        </w:rPr>
        <w:t>”</w:t>
      </w:r>
      <w:r>
        <w:rPr>
          <w:rFonts w:hint="eastAsia"/>
          <w:highlight w:val="none"/>
        </w:rPr>
        <w:t>的原则，质疑应有具体的事项及事实根据。</w:t>
      </w:r>
    </w:p>
    <w:p>
      <w:pPr>
        <w:tabs>
          <w:tab w:val="clear" w:pos="426"/>
        </w:tabs>
        <w:rPr>
          <w:highlight w:val="none"/>
        </w:rPr>
      </w:pPr>
      <w:r>
        <w:rPr>
          <w:highlight w:val="none"/>
        </w:rPr>
        <w:t>50.</w:t>
      </w:r>
      <w:r>
        <w:rPr>
          <w:rFonts w:hint="eastAsia"/>
          <w:highlight w:val="none"/>
        </w:rPr>
        <w:t>质疑受理的时效和范围</w:t>
      </w:r>
    </w:p>
    <w:p>
      <w:pPr>
        <w:tabs>
          <w:tab w:val="clear" w:pos="426"/>
        </w:tabs>
        <w:rPr>
          <w:highlight w:val="none"/>
        </w:rPr>
      </w:pPr>
      <w:r>
        <w:rPr>
          <w:highlight w:val="none"/>
        </w:rPr>
        <w:t>50.1</w:t>
      </w:r>
      <w:r>
        <w:rPr>
          <w:rFonts w:hint="eastAsia"/>
          <w:highlight w:val="none"/>
        </w:rPr>
        <w:t>供应商认为采购文件、采购过程和中标、成交结果使自己权益受到损害的，可以在知道或者应知其权益受到损害之日起</w:t>
      </w:r>
      <w:r>
        <w:rPr>
          <w:highlight w:val="none"/>
        </w:rPr>
        <w:t>10</w:t>
      </w:r>
      <w:r>
        <w:rPr>
          <w:rFonts w:hint="eastAsia"/>
          <w:highlight w:val="none"/>
        </w:rPr>
        <w:t>个工作日内，以书面形式向采购代理机构提出质疑。</w:t>
      </w:r>
    </w:p>
    <w:p>
      <w:pPr>
        <w:tabs>
          <w:tab w:val="clear" w:pos="426"/>
        </w:tabs>
        <w:rPr>
          <w:highlight w:val="none"/>
        </w:rPr>
      </w:pPr>
      <w:r>
        <w:rPr>
          <w:highlight w:val="none"/>
        </w:rPr>
        <w:t>50.2</w:t>
      </w:r>
      <w:r>
        <w:rPr>
          <w:rFonts w:hint="eastAsia"/>
          <w:highlight w:val="none"/>
        </w:rPr>
        <w:t>供应商对采购文件有疑问的，采购代理机构及采购人按答疑程序处理；供应商对采购文件有异议的，按质疑程序处理。</w:t>
      </w:r>
    </w:p>
    <w:p>
      <w:pPr>
        <w:tabs>
          <w:tab w:val="clear" w:pos="426"/>
        </w:tabs>
        <w:rPr>
          <w:highlight w:val="none"/>
        </w:rPr>
      </w:pPr>
      <w:r>
        <w:rPr>
          <w:highlight w:val="none"/>
        </w:rPr>
        <w:t>51.</w:t>
      </w:r>
      <w:r>
        <w:rPr>
          <w:rFonts w:hint="eastAsia"/>
          <w:highlight w:val="none"/>
        </w:rPr>
        <w:t>质疑条件</w:t>
      </w:r>
    </w:p>
    <w:p>
      <w:pPr>
        <w:tabs>
          <w:tab w:val="clear" w:pos="426"/>
        </w:tabs>
        <w:rPr>
          <w:highlight w:val="none"/>
        </w:rPr>
      </w:pPr>
      <w:r>
        <w:rPr>
          <w:highlight w:val="none"/>
        </w:rPr>
        <w:t>51.1</w:t>
      </w:r>
      <w:r>
        <w:rPr>
          <w:rFonts w:hint="eastAsia"/>
          <w:highlight w:val="none"/>
        </w:rPr>
        <w:t>提出质疑的应是直接参与相应采购项目的供应商。以联合体形式参与的，由联合体共同提出；</w:t>
      </w:r>
    </w:p>
    <w:p>
      <w:pPr>
        <w:tabs>
          <w:tab w:val="clear" w:pos="426"/>
        </w:tabs>
        <w:rPr>
          <w:highlight w:val="none"/>
        </w:rPr>
      </w:pPr>
      <w:r>
        <w:rPr>
          <w:highlight w:val="none"/>
        </w:rPr>
        <w:t>51.2</w:t>
      </w:r>
      <w:r>
        <w:rPr>
          <w:rFonts w:hint="eastAsia"/>
          <w:highlight w:val="none"/>
        </w:rPr>
        <w:t>提供质疑的项目名称和编号、质疑供应商的单位名称、详细地址、邮政编码、联系人及联系电话等基本情况；</w:t>
      </w:r>
    </w:p>
    <w:p>
      <w:pPr>
        <w:tabs>
          <w:tab w:val="clear" w:pos="426"/>
        </w:tabs>
        <w:rPr>
          <w:highlight w:val="none"/>
        </w:rPr>
      </w:pPr>
      <w:r>
        <w:rPr>
          <w:highlight w:val="none"/>
        </w:rPr>
        <w:t>51.3</w:t>
      </w:r>
      <w:r>
        <w:rPr>
          <w:rFonts w:hint="eastAsia"/>
          <w:highlight w:val="none"/>
        </w:rPr>
        <w:t>有质疑的具体事项、请求及理由，并附相关证据材料；</w:t>
      </w:r>
    </w:p>
    <w:p>
      <w:pPr>
        <w:tabs>
          <w:tab w:val="clear" w:pos="426"/>
        </w:tabs>
        <w:rPr>
          <w:highlight w:val="none"/>
        </w:rPr>
      </w:pPr>
      <w:r>
        <w:rPr>
          <w:highlight w:val="none"/>
        </w:rPr>
        <w:t>51.4</w:t>
      </w:r>
      <w:r>
        <w:rPr>
          <w:rFonts w:hint="eastAsia"/>
          <w:highlight w:val="none"/>
        </w:rPr>
        <w:t>质疑书加盖公章，被授权人进行质疑的同时提交法人授权委托书；</w:t>
      </w:r>
    </w:p>
    <w:p>
      <w:pPr>
        <w:tabs>
          <w:tab w:val="clear" w:pos="426"/>
        </w:tabs>
        <w:rPr>
          <w:highlight w:val="none"/>
        </w:rPr>
      </w:pPr>
      <w:r>
        <w:rPr>
          <w:highlight w:val="none"/>
        </w:rPr>
        <w:t>51.5</w:t>
      </w:r>
      <w:r>
        <w:rPr>
          <w:rFonts w:hint="eastAsia"/>
          <w:highlight w:val="none"/>
        </w:rPr>
        <w:t>质疑材料中有外文资料的，应一并附上中文译本，并以中文译本为准。</w:t>
      </w:r>
    </w:p>
    <w:p>
      <w:pPr>
        <w:tabs>
          <w:tab w:val="clear" w:pos="426"/>
        </w:tabs>
        <w:rPr>
          <w:highlight w:val="none"/>
        </w:rPr>
      </w:pPr>
      <w:r>
        <w:rPr>
          <w:highlight w:val="none"/>
        </w:rPr>
        <w:t>51.6</w:t>
      </w:r>
      <w:r>
        <w:rPr>
          <w:rFonts w:hint="eastAsia"/>
          <w:highlight w:val="none"/>
        </w:rPr>
        <w:t>质疑不得超过质疑受理的时效和范围。</w:t>
      </w:r>
    </w:p>
    <w:p>
      <w:pPr>
        <w:tabs>
          <w:tab w:val="clear" w:pos="426"/>
        </w:tabs>
        <w:rPr>
          <w:highlight w:val="none"/>
        </w:rPr>
      </w:pPr>
      <w:r>
        <w:rPr>
          <w:rFonts w:hint="eastAsia"/>
          <w:highlight w:val="none"/>
        </w:rPr>
        <w:t>不符合上述条件的，我采购代理机构不予受理。</w:t>
      </w:r>
    </w:p>
    <w:p>
      <w:pPr>
        <w:tabs>
          <w:tab w:val="clear" w:pos="426"/>
        </w:tabs>
        <w:rPr>
          <w:highlight w:val="none"/>
        </w:rPr>
      </w:pPr>
      <w:r>
        <w:rPr>
          <w:highlight w:val="none"/>
        </w:rPr>
        <w:t>52.</w:t>
      </w:r>
      <w:r>
        <w:rPr>
          <w:rFonts w:hint="eastAsia"/>
          <w:highlight w:val="none"/>
        </w:rPr>
        <w:t>受理质疑办理程序</w:t>
      </w:r>
    </w:p>
    <w:p>
      <w:pPr>
        <w:tabs>
          <w:tab w:val="clear" w:pos="426"/>
        </w:tabs>
        <w:rPr>
          <w:highlight w:val="none"/>
        </w:rPr>
      </w:pPr>
      <w:r>
        <w:rPr>
          <w:highlight w:val="none"/>
        </w:rPr>
        <w:t>52.1</w:t>
      </w:r>
      <w:r>
        <w:rPr>
          <w:rFonts w:hint="eastAsia"/>
          <w:highlight w:val="none"/>
        </w:rPr>
        <w:t>先与质疑供应商进行沟通，以消除因误解或对采购规则和程序的不了解而引起的质疑。对沟通情况满意的，供应商撤回质疑，质疑处理程序终止。</w:t>
      </w:r>
    </w:p>
    <w:p>
      <w:pPr>
        <w:tabs>
          <w:tab w:val="clear" w:pos="426"/>
        </w:tabs>
        <w:rPr>
          <w:highlight w:val="none"/>
        </w:rPr>
      </w:pPr>
      <w:r>
        <w:rPr>
          <w:highlight w:val="none"/>
        </w:rPr>
        <w:t>52.2</w:t>
      </w:r>
      <w:r>
        <w:rPr>
          <w:rFonts w:hint="eastAsia"/>
          <w:highlight w:val="none"/>
        </w:rPr>
        <w:t>处理质疑一般进行书面审查；必要时听取各方当事人的陈述和申辩、进行相关调查；组织原评标委员会或谈判小组进行复议。</w:t>
      </w:r>
    </w:p>
    <w:p>
      <w:pPr>
        <w:tabs>
          <w:tab w:val="clear" w:pos="426"/>
        </w:tabs>
        <w:rPr>
          <w:highlight w:val="none"/>
        </w:rPr>
      </w:pPr>
      <w:r>
        <w:rPr>
          <w:highlight w:val="none"/>
        </w:rPr>
        <w:t>52.3</w:t>
      </w:r>
      <w:r>
        <w:rPr>
          <w:rFonts w:hint="eastAsia"/>
          <w:highlight w:val="none"/>
        </w:rPr>
        <w:t>在质疑处理期间，采购代理机构视情形决定暂停采购活动。</w:t>
      </w:r>
    </w:p>
    <w:p>
      <w:pPr>
        <w:tabs>
          <w:tab w:val="clear" w:pos="426"/>
        </w:tabs>
        <w:rPr>
          <w:highlight w:val="none"/>
        </w:rPr>
      </w:pPr>
      <w:r>
        <w:rPr>
          <w:highlight w:val="none"/>
        </w:rPr>
        <w:t>52.4</w:t>
      </w:r>
      <w:r>
        <w:rPr>
          <w:rFonts w:hint="eastAsia"/>
          <w:highlight w:val="none"/>
        </w:rPr>
        <w:t>采购代理机构原则上在质疑受理之日起</w:t>
      </w:r>
      <w:r>
        <w:rPr>
          <w:highlight w:val="none"/>
        </w:rPr>
        <w:t>7</w:t>
      </w:r>
      <w:r>
        <w:rPr>
          <w:rFonts w:hint="eastAsia"/>
          <w:highlight w:val="none"/>
        </w:rPr>
        <w:t>个工作日内书面答复质疑供应商。答复函以直接领取、传真或邮寄方式送达。</w:t>
      </w:r>
    </w:p>
    <w:p>
      <w:pPr>
        <w:tabs>
          <w:tab w:val="clear" w:pos="426"/>
        </w:tabs>
        <w:rPr>
          <w:highlight w:val="none"/>
        </w:rPr>
      </w:pPr>
      <w:r>
        <w:rPr>
          <w:highlight w:val="none"/>
        </w:rPr>
        <w:t>52.5</w:t>
      </w:r>
      <w:r>
        <w:rPr>
          <w:rFonts w:hint="eastAsia"/>
          <w:highlight w:val="none"/>
        </w:rPr>
        <w:t>供应商向采购代理机构提出质疑后，在质疑处理期限内，不得同时向其他方面提起同一质疑。质疑供应商如已就同一事项提起投诉、提请行政复议或诉讼的，质疑程序终止。</w:t>
      </w:r>
    </w:p>
    <w:p>
      <w:pPr>
        <w:tabs>
          <w:tab w:val="clear" w:pos="426"/>
        </w:tabs>
        <w:rPr>
          <w:highlight w:val="none"/>
        </w:rPr>
      </w:pPr>
      <w:r>
        <w:rPr>
          <w:highlight w:val="none"/>
        </w:rPr>
        <w:t>53.</w:t>
      </w:r>
      <w:r>
        <w:rPr>
          <w:rFonts w:hint="eastAsia"/>
          <w:highlight w:val="none"/>
        </w:rPr>
        <w:t>相关责任与义务</w:t>
      </w:r>
    </w:p>
    <w:p>
      <w:pPr>
        <w:tabs>
          <w:tab w:val="clear" w:pos="426"/>
        </w:tabs>
        <w:rPr>
          <w:highlight w:val="none"/>
        </w:rPr>
      </w:pPr>
      <w:r>
        <w:rPr>
          <w:highlight w:val="none"/>
        </w:rPr>
        <w:t>53.1</w:t>
      </w:r>
      <w:r>
        <w:rPr>
          <w:rFonts w:hint="eastAsia"/>
          <w:highlight w:val="none"/>
        </w:rPr>
        <w:t>采购人、评标专家和相关供应商等当事人应积极配合采购代理机构进行质疑调查，如实反映情况，及时提供证明材料。</w:t>
      </w:r>
    </w:p>
    <w:p>
      <w:pPr>
        <w:tabs>
          <w:tab w:val="clear" w:pos="426"/>
        </w:tabs>
        <w:rPr>
          <w:highlight w:val="none"/>
        </w:rPr>
      </w:pPr>
      <w:r>
        <w:rPr>
          <w:highlight w:val="none"/>
        </w:rPr>
        <w:t>53.2</w:t>
      </w:r>
      <w:r>
        <w:rPr>
          <w:rFonts w:hint="eastAsia"/>
          <w:highlight w:val="none"/>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highlight w:val="none"/>
        </w:rPr>
      </w:pPr>
      <w:r>
        <w:rPr>
          <w:highlight w:val="none"/>
        </w:rPr>
        <w:t>53.2.1</w:t>
      </w:r>
      <w:r>
        <w:rPr>
          <w:rFonts w:hint="eastAsia"/>
          <w:highlight w:val="none"/>
        </w:rPr>
        <w:t>捏造事实或提供虚假证明材料的；</w:t>
      </w:r>
    </w:p>
    <w:p>
      <w:pPr>
        <w:tabs>
          <w:tab w:val="clear" w:pos="426"/>
        </w:tabs>
        <w:rPr>
          <w:highlight w:val="none"/>
        </w:rPr>
      </w:pPr>
      <w:r>
        <w:rPr>
          <w:highlight w:val="none"/>
        </w:rPr>
        <w:t>53.2.2</w:t>
      </w:r>
      <w:r>
        <w:rPr>
          <w:rFonts w:hint="eastAsia"/>
          <w:highlight w:val="none"/>
        </w:rPr>
        <w:t>假冒他人名义进行质疑的；</w:t>
      </w:r>
    </w:p>
    <w:p>
      <w:pPr>
        <w:tabs>
          <w:tab w:val="clear" w:pos="426"/>
        </w:tabs>
        <w:rPr>
          <w:highlight w:val="none"/>
        </w:rPr>
      </w:pPr>
      <w:r>
        <w:rPr>
          <w:highlight w:val="none"/>
        </w:rPr>
        <w:t>53.2.3</w:t>
      </w:r>
      <w:r>
        <w:rPr>
          <w:rFonts w:hint="eastAsia"/>
          <w:highlight w:val="none"/>
        </w:rPr>
        <w:t>拒不配合进行有关调查、情节严重的。</w:t>
      </w:r>
    </w:p>
    <w:p>
      <w:pPr>
        <w:tabs>
          <w:tab w:val="clear" w:pos="426"/>
        </w:tabs>
        <w:rPr>
          <w:b/>
          <w:highlight w:val="none"/>
        </w:rPr>
      </w:pPr>
      <w:r>
        <w:rPr>
          <w:highlight w:val="none"/>
        </w:rPr>
        <w:t>54</w:t>
      </w:r>
      <w:r>
        <w:rPr>
          <w:rFonts w:hint="eastAsia"/>
          <w:highlight w:val="none"/>
        </w:rPr>
        <w:t>．</w:t>
      </w:r>
      <w:r>
        <w:rPr>
          <w:rFonts w:hint="eastAsia"/>
          <w:b/>
          <w:highlight w:val="none"/>
        </w:rPr>
        <w:t>其他</w:t>
      </w:r>
    </w:p>
    <w:p>
      <w:pPr>
        <w:tabs>
          <w:tab w:val="clear" w:pos="426"/>
        </w:tabs>
        <w:rPr>
          <w:highlight w:val="none"/>
        </w:rPr>
      </w:pPr>
      <w:r>
        <w:rPr>
          <w:highlight w:val="none"/>
        </w:rPr>
        <w:t xml:space="preserve">54.1  </w:t>
      </w:r>
      <w:r>
        <w:rPr>
          <w:rFonts w:hint="eastAsia"/>
          <w:highlight w:val="none"/>
        </w:rPr>
        <w:t>本招标文件的解释权归采购代理机构所有，采购代理机构在征得采购人或相关主管部门同意后，有权在法律允许范围内调整本次招标活动的细节及保留最终解释权。</w:t>
      </w:r>
    </w:p>
    <w:p>
      <w:pPr>
        <w:tabs>
          <w:tab w:val="clear" w:pos="426"/>
        </w:tabs>
        <w:rPr>
          <w:highlight w:val="none"/>
        </w:rPr>
      </w:pPr>
      <w:r>
        <w:rPr>
          <w:highlight w:val="none"/>
        </w:rPr>
        <w:t xml:space="preserve">54.2 </w:t>
      </w:r>
      <w:r>
        <w:rPr>
          <w:rFonts w:hint="eastAsia"/>
          <w:highlight w:val="none"/>
        </w:rPr>
        <w:t>采购代理机构向投标供应商提供的资料和数据，是采购代理机构现有的能供投标供应商利用的资料，采购代理机构对投标供应商由此而作出的推论、理解和结论概不负责。</w:t>
      </w:r>
    </w:p>
    <w:p>
      <w:pPr>
        <w:tabs>
          <w:tab w:val="clear" w:pos="426"/>
        </w:tabs>
        <w:rPr>
          <w:highlight w:val="none"/>
        </w:rPr>
      </w:pPr>
      <w:r>
        <w:rPr>
          <w:highlight w:val="none"/>
        </w:rPr>
        <w:t xml:space="preserve">54.3 </w:t>
      </w:r>
      <w:r>
        <w:rPr>
          <w:rFonts w:hint="eastAsia"/>
          <w:highlight w:val="none"/>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highlight w:val="none"/>
        </w:rPr>
      </w:pPr>
      <w:r>
        <w:rPr>
          <w:highlight w:val="none"/>
        </w:rPr>
        <w:t xml:space="preserve">54.4 </w:t>
      </w:r>
      <w:r>
        <w:rPr>
          <w:rFonts w:hint="eastAsia"/>
          <w:highlight w:val="none"/>
        </w:rPr>
        <w:t>中标无效的，发出的中标通知书和签订的合同自始没有法律约束力，但不影响合同中存在的有关解决争议方法的条款的效力。</w:t>
      </w:r>
    </w:p>
    <w:p>
      <w:pPr>
        <w:tabs>
          <w:tab w:val="clear" w:pos="426"/>
        </w:tabs>
        <w:rPr>
          <w:highlight w:val="none"/>
        </w:rPr>
      </w:pPr>
      <w:r>
        <w:rPr>
          <w:highlight w:val="none"/>
        </w:rPr>
        <w:t xml:space="preserve">54.5 </w:t>
      </w:r>
      <w:r>
        <w:rPr>
          <w:rFonts w:hint="eastAsia"/>
          <w:highlight w:val="none"/>
        </w:rPr>
        <w:t>本招标文件所有的附件与本招标文件具有同等效力。</w:t>
      </w:r>
    </w:p>
    <w:p>
      <w:pPr>
        <w:tabs>
          <w:tab w:val="clear" w:pos="426"/>
        </w:tabs>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81"/>
        <w:tabs>
          <w:tab w:val="clear" w:pos="426"/>
        </w:tabs>
        <w:rPr>
          <w:highlight w:val="none"/>
        </w:rPr>
      </w:pPr>
      <w:bookmarkStart w:id="206" w:name="_Toc152759248"/>
      <w:bookmarkStart w:id="207" w:name="_Toc14427264"/>
      <w:bookmarkStart w:id="208" w:name="_Toc3627284"/>
      <w:r>
        <w:rPr>
          <w:rFonts w:hint="eastAsia"/>
          <w:highlight w:val="none"/>
        </w:rPr>
        <w:t>招标代理服务取费说明</w:t>
      </w:r>
      <w:bookmarkEnd w:id="206"/>
      <w:bookmarkEnd w:id="207"/>
      <w:bookmarkEnd w:id="208"/>
    </w:p>
    <w:p>
      <w:pPr>
        <w:tabs>
          <w:tab w:val="clear" w:pos="426"/>
        </w:tabs>
        <w:ind w:firstLine="440" w:firstLineChars="200"/>
        <w:rPr>
          <w:sz w:val="22"/>
          <w:highlight w:val="none"/>
        </w:rPr>
      </w:pPr>
    </w:p>
    <w:p>
      <w:pPr>
        <w:shd w:val="clear" w:color="auto" w:fill="FFFFFF"/>
        <w:tabs>
          <w:tab w:val="clear" w:pos="426"/>
        </w:tabs>
        <w:ind w:firstLine="440" w:firstLineChars="200"/>
        <w:rPr>
          <w:rFonts w:hint="eastAsia" w:ascii="宋体" w:hAnsi="Times New Roman" w:eastAsia="宋体" w:cs="宋体"/>
          <w:sz w:val="22"/>
          <w:highlight w:val="none"/>
        </w:rPr>
      </w:pPr>
      <w:r>
        <w:rPr>
          <w:rFonts w:hint="eastAsia" w:ascii="宋体" w:hAnsi="Times New Roman" w:eastAsia="宋体" w:cs="宋体"/>
          <w:sz w:val="22"/>
          <w:highlight w:val="none"/>
        </w:rPr>
        <w:t>招标代理服务收费以各包预算金额为计算基数，依据采购人与代理机构约定的招标代理服务费收费办法，按差额定率累进法计算，下浮20%后向中标供应商收取。低于人民币5000元的，按最低人民币5000元收费。收费标准如下表所列：</w:t>
      </w:r>
    </w:p>
    <w:p>
      <w:pPr>
        <w:tabs>
          <w:tab w:val="clear" w:pos="426"/>
        </w:tabs>
        <w:ind w:firstLine="440" w:firstLineChars="200"/>
        <w:rPr>
          <w:sz w:val="22"/>
          <w:highlight w:val="none"/>
        </w:rPr>
      </w:pPr>
      <w:r>
        <w:rPr>
          <w:rFonts w:hint="eastAsia"/>
          <w:sz w:val="22"/>
          <w:highlight w:val="none"/>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highlight w:val="none"/>
              </w:rPr>
            </w:pPr>
            <w:r>
              <w:rPr>
                <w:rFonts w:hint="eastAsia"/>
                <w:szCs w:val="21"/>
                <w:highlight w:val="none"/>
              </w:rPr>
              <w:t>服务类型</w:t>
            </w:r>
          </w:p>
          <w:p>
            <w:pPr>
              <w:tabs>
                <w:tab w:val="clear" w:pos="426"/>
              </w:tabs>
              <w:spacing w:line="300" w:lineRule="auto"/>
              <w:jc w:val="center"/>
              <w:rPr>
                <w:szCs w:val="21"/>
                <w:highlight w:val="none"/>
              </w:rPr>
            </w:pPr>
            <w:r>
              <w:rPr>
                <w:rFonts w:hint="eastAsia"/>
                <w:szCs w:val="21"/>
                <w:highlight w:val="none"/>
              </w:rPr>
              <w:t>费率</w:t>
            </w:r>
          </w:p>
          <w:p>
            <w:pPr>
              <w:tabs>
                <w:tab w:val="clear" w:pos="426"/>
              </w:tabs>
              <w:spacing w:line="300" w:lineRule="auto"/>
              <w:rPr>
                <w:szCs w:val="21"/>
                <w:highlight w:val="none"/>
              </w:rPr>
            </w:pPr>
            <w:r>
              <w:rPr>
                <w:rFonts w:hint="eastAsia"/>
                <w:szCs w:val="21"/>
                <w:highlight w:val="none"/>
              </w:rPr>
              <w:t>中标金额</w:t>
            </w:r>
          </w:p>
        </w:tc>
        <w:tc>
          <w:tcPr>
            <w:tcW w:w="1845" w:type="dxa"/>
            <w:vAlign w:val="center"/>
          </w:tcPr>
          <w:p>
            <w:pPr>
              <w:spacing w:line="240" w:lineRule="auto"/>
              <w:jc w:val="center"/>
              <w:rPr>
                <w:szCs w:val="21"/>
                <w:highlight w:val="none"/>
              </w:rPr>
            </w:pPr>
            <w:r>
              <w:rPr>
                <w:rFonts w:hint="eastAsia"/>
                <w:szCs w:val="21"/>
                <w:highlight w:val="none"/>
              </w:rPr>
              <w:t>货物采购</w:t>
            </w:r>
          </w:p>
        </w:tc>
        <w:tc>
          <w:tcPr>
            <w:tcW w:w="1845" w:type="dxa"/>
            <w:vAlign w:val="center"/>
          </w:tcPr>
          <w:p>
            <w:pPr>
              <w:spacing w:line="240" w:lineRule="auto"/>
              <w:jc w:val="center"/>
              <w:rPr>
                <w:szCs w:val="21"/>
                <w:highlight w:val="none"/>
              </w:rPr>
            </w:pPr>
            <w:r>
              <w:rPr>
                <w:rFonts w:hint="eastAsia"/>
                <w:szCs w:val="21"/>
                <w:highlight w:val="none"/>
              </w:rPr>
              <w:t>服务采购</w:t>
            </w:r>
          </w:p>
        </w:tc>
        <w:tc>
          <w:tcPr>
            <w:tcW w:w="1846" w:type="dxa"/>
            <w:vAlign w:val="center"/>
          </w:tcPr>
          <w:p>
            <w:pPr>
              <w:spacing w:line="240" w:lineRule="auto"/>
              <w:jc w:val="center"/>
              <w:rPr>
                <w:szCs w:val="21"/>
                <w:highlight w:val="none"/>
              </w:rPr>
            </w:pPr>
            <w:r>
              <w:rPr>
                <w:rFonts w:hint="eastAsia"/>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szCs w:val="21"/>
                <w:highlight w:val="none"/>
              </w:rPr>
            </w:pPr>
            <w:r>
              <w:rPr>
                <w:szCs w:val="21"/>
                <w:highlight w:val="none"/>
              </w:rPr>
              <w:t>100</w:t>
            </w:r>
            <w:r>
              <w:rPr>
                <w:rFonts w:hint="eastAsia"/>
                <w:szCs w:val="21"/>
                <w:highlight w:val="none"/>
              </w:rPr>
              <w:t>万元以下</w:t>
            </w:r>
          </w:p>
        </w:tc>
        <w:tc>
          <w:tcPr>
            <w:tcW w:w="1845" w:type="dxa"/>
            <w:vAlign w:val="center"/>
          </w:tcPr>
          <w:p>
            <w:pPr>
              <w:spacing w:line="240" w:lineRule="auto"/>
              <w:jc w:val="center"/>
              <w:rPr>
                <w:szCs w:val="21"/>
                <w:highlight w:val="none"/>
              </w:rPr>
            </w:pPr>
            <w:r>
              <w:rPr>
                <w:szCs w:val="21"/>
                <w:highlight w:val="none"/>
              </w:rPr>
              <w:t>1.500%</w:t>
            </w:r>
          </w:p>
        </w:tc>
        <w:tc>
          <w:tcPr>
            <w:tcW w:w="1845" w:type="dxa"/>
            <w:vAlign w:val="center"/>
          </w:tcPr>
          <w:p>
            <w:pPr>
              <w:spacing w:line="240" w:lineRule="auto"/>
              <w:jc w:val="center"/>
              <w:rPr>
                <w:szCs w:val="21"/>
                <w:highlight w:val="none"/>
              </w:rPr>
            </w:pPr>
            <w:r>
              <w:rPr>
                <w:szCs w:val="21"/>
                <w:highlight w:val="none"/>
              </w:rPr>
              <w:t>1.500%</w:t>
            </w:r>
          </w:p>
        </w:tc>
        <w:tc>
          <w:tcPr>
            <w:tcW w:w="1846" w:type="dxa"/>
            <w:vAlign w:val="center"/>
          </w:tcPr>
          <w:p>
            <w:pPr>
              <w:spacing w:line="240" w:lineRule="auto"/>
              <w:jc w:val="center"/>
              <w:rPr>
                <w:szCs w:val="21"/>
                <w:highlight w:val="none"/>
              </w:rPr>
            </w:pPr>
            <w:r>
              <w:rPr>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100</w:t>
            </w:r>
            <w:r>
              <w:rPr>
                <w:rFonts w:hint="eastAsia"/>
                <w:szCs w:val="21"/>
                <w:highlight w:val="none"/>
              </w:rPr>
              <w:t>万元（含）</w:t>
            </w:r>
            <w:r>
              <w:rPr>
                <w:szCs w:val="21"/>
                <w:highlight w:val="none"/>
              </w:rPr>
              <w:t>-500</w:t>
            </w:r>
            <w:r>
              <w:rPr>
                <w:rFonts w:hint="eastAsia"/>
                <w:szCs w:val="21"/>
                <w:highlight w:val="none"/>
              </w:rPr>
              <w:t>万元</w:t>
            </w:r>
          </w:p>
        </w:tc>
        <w:tc>
          <w:tcPr>
            <w:tcW w:w="1845" w:type="dxa"/>
            <w:vAlign w:val="center"/>
          </w:tcPr>
          <w:p>
            <w:pPr>
              <w:spacing w:line="240" w:lineRule="auto"/>
              <w:jc w:val="center"/>
              <w:rPr>
                <w:szCs w:val="21"/>
                <w:highlight w:val="none"/>
              </w:rPr>
            </w:pPr>
            <w:r>
              <w:rPr>
                <w:szCs w:val="21"/>
                <w:highlight w:val="none"/>
              </w:rPr>
              <w:t>1.100%</w:t>
            </w:r>
          </w:p>
        </w:tc>
        <w:tc>
          <w:tcPr>
            <w:tcW w:w="1845" w:type="dxa"/>
            <w:vAlign w:val="center"/>
          </w:tcPr>
          <w:p>
            <w:pPr>
              <w:spacing w:line="240" w:lineRule="auto"/>
              <w:jc w:val="center"/>
              <w:rPr>
                <w:szCs w:val="21"/>
                <w:highlight w:val="none"/>
              </w:rPr>
            </w:pPr>
            <w:r>
              <w:rPr>
                <w:szCs w:val="21"/>
                <w:highlight w:val="none"/>
              </w:rPr>
              <w:t>0.800%</w:t>
            </w:r>
          </w:p>
        </w:tc>
        <w:tc>
          <w:tcPr>
            <w:tcW w:w="1846" w:type="dxa"/>
            <w:vAlign w:val="center"/>
          </w:tcPr>
          <w:p>
            <w:pPr>
              <w:spacing w:line="240" w:lineRule="auto"/>
              <w:jc w:val="center"/>
              <w:rPr>
                <w:szCs w:val="21"/>
                <w:highlight w:val="none"/>
              </w:rPr>
            </w:pPr>
            <w:r>
              <w:rPr>
                <w:szCs w:val="21"/>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500</w:t>
            </w:r>
            <w:r>
              <w:rPr>
                <w:rFonts w:hint="eastAsia"/>
                <w:szCs w:val="21"/>
                <w:highlight w:val="none"/>
              </w:rPr>
              <w:t>万元（含）</w:t>
            </w:r>
            <w:r>
              <w:rPr>
                <w:szCs w:val="21"/>
                <w:highlight w:val="none"/>
              </w:rPr>
              <w:t>-1000</w:t>
            </w:r>
            <w:r>
              <w:rPr>
                <w:rFonts w:hint="eastAsia"/>
                <w:szCs w:val="21"/>
                <w:highlight w:val="none"/>
              </w:rPr>
              <w:t>万元</w:t>
            </w:r>
          </w:p>
        </w:tc>
        <w:tc>
          <w:tcPr>
            <w:tcW w:w="1845" w:type="dxa"/>
            <w:vAlign w:val="center"/>
          </w:tcPr>
          <w:p>
            <w:pPr>
              <w:spacing w:line="240" w:lineRule="auto"/>
              <w:jc w:val="center"/>
              <w:rPr>
                <w:szCs w:val="21"/>
                <w:highlight w:val="none"/>
              </w:rPr>
            </w:pPr>
            <w:r>
              <w:rPr>
                <w:szCs w:val="21"/>
                <w:highlight w:val="none"/>
              </w:rPr>
              <w:t>0.800%</w:t>
            </w:r>
          </w:p>
        </w:tc>
        <w:tc>
          <w:tcPr>
            <w:tcW w:w="1845" w:type="dxa"/>
            <w:vAlign w:val="center"/>
          </w:tcPr>
          <w:p>
            <w:pPr>
              <w:spacing w:line="240" w:lineRule="auto"/>
              <w:jc w:val="center"/>
              <w:rPr>
                <w:szCs w:val="21"/>
                <w:highlight w:val="none"/>
              </w:rPr>
            </w:pPr>
            <w:r>
              <w:rPr>
                <w:szCs w:val="21"/>
                <w:highlight w:val="none"/>
              </w:rPr>
              <w:t>0.450%</w:t>
            </w:r>
          </w:p>
        </w:tc>
        <w:tc>
          <w:tcPr>
            <w:tcW w:w="1846" w:type="dxa"/>
            <w:vAlign w:val="center"/>
          </w:tcPr>
          <w:p>
            <w:pPr>
              <w:spacing w:line="240" w:lineRule="auto"/>
              <w:jc w:val="center"/>
              <w:rPr>
                <w:szCs w:val="21"/>
                <w:highlight w:val="none"/>
              </w:rPr>
            </w:pPr>
            <w:r>
              <w:rPr>
                <w:szCs w:val="21"/>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1000</w:t>
            </w:r>
            <w:r>
              <w:rPr>
                <w:rFonts w:hint="eastAsia"/>
                <w:szCs w:val="21"/>
                <w:highlight w:val="none"/>
              </w:rPr>
              <w:t>万元（含）</w:t>
            </w:r>
            <w:r>
              <w:rPr>
                <w:szCs w:val="21"/>
                <w:highlight w:val="none"/>
              </w:rPr>
              <w:t>-5000</w:t>
            </w:r>
            <w:r>
              <w:rPr>
                <w:rFonts w:hint="eastAsia"/>
                <w:szCs w:val="21"/>
                <w:highlight w:val="none"/>
              </w:rPr>
              <w:t>万元</w:t>
            </w:r>
          </w:p>
        </w:tc>
        <w:tc>
          <w:tcPr>
            <w:tcW w:w="1845" w:type="dxa"/>
            <w:vAlign w:val="center"/>
          </w:tcPr>
          <w:p>
            <w:pPr>
              <w:spacing w:line="240" w:lineRule="auto"/>
              <w:jc w:val="center"/>
              <w:rPr>
                <w:szCs w:val="21"/>
                <w:highlight w:val="none"/>
              </w:rPr>
            </w:pPr>
            <w:r>
              <w:rPr>
                <w:szCs w:val="21"/>
                <w:highlight w:val="none"/>
              </w:rPr>
              <w:t>0.500%</w:t>
            </w:r>
          </w:p>
        </w:tc>
        <w:tc>
          <w:tcPr>
            <w:tcW w:w="1845" w:type="dxa"/>
            <w:vAlign w:val="center"/>
          </w:tcPr>
          <w:p>
            <w:pPr>
              <w:spacing w:line="240" w:lineRule="auto"/>
              <w:jc w:val="center"/>
              <w:rPr>
                <w:szCs w:val="21"/>
                <w:highlight w:val="none"/>
              </w:rPr>
            </w:pPr>
            <w:r>
              <w:rPr>
                <w:szCs w:val="21"/>
                <w:highlight w:val="none"/>
              </w:rPr>
              <w:t>0.250%</w:t>
            </w:r>
          </w:p>
        </w:tc>
        <w:tc>
          <w:tcPr>
            <w:tcW w:w="1846" w:type="dxa"/>
            <w:vAlign w:val="center"/>
          </w:tcPr>
          <w:p>
            <w:pPr>
              <w:spacing w:line="240" w:lineRule="auto"/>
              <w:jc w:val="center"/>
              <w:rPr>
                <w:szCs w:val="21"/>
                <w:highlight w:val="none"/>
              </w:rPr>
            </w:pPr>
            <w:r>
              <w:rPr>
                <w:szCs w:val="21"/>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5000</w:t>
            </w:r>
            <w:r>
              <w:rPr>
                <w:rFonts w:hint="eastAsia"/>
                <w:szCs w:val="21"/>
                <w:highlight w:val="none"/>
              </w:rPr>
              <w:t>万元（含）</w:t>
            </w:r>
            <w:r>
              <w:rPr>
                <w:szCs w:val="21"/>
                <w:highlight w:val="none"/>
              </w:rPr>
              <w:t>-1</w:t>
            </w:r>
            <w:r>
              <w:rPr>
                <w:rFonts w:hint="eastAsia"/>
                <w:szCs w:val="21"/>
                <w:highlight w:val="none"/>
              </w:rPr>
              <w:t>亿元</w:t>
            </w:r>
          </w:p>
        </w:tc>
        <w:tc>
          <w:tcPr>
            <w:tcW w:w="1845" w:type="dxa"/>
            <w:vAlign w:val="center"/>
          </w:tcPr>
          <w:p>
            <w:pPr>
              <w:spacing w:line="240" w:lineRule="auto"/>
              <w:jc w:val="center"/>
              <w:rPr>
                <w:szCs w:val="21"/>
                <w:highlight w:val="none"/>
              </w:rPr>
            </w:pPr>
            <w:r>
              <w:rPr>
                <w:szCs w:val="21"/>
                <w:highlight w:val="none"/>
              </w:rPr>
              <w:t>0.250%</w:t>
            </w:r>
          </w:p>
        </w:tc>
        <w:tc>
          <w:tcPr>
            <w:tcW w:w="1845" w:type="dxa"/>
            <w:vAlign w:val="center"/>
          </w:tcPr>
          <w:p>
            <w:pPr>
              <w:spacing w:line="240" w:lineRule="auto"/>
              <w:jc w:val="center"/>
              <w:rPr>
                <w:szCs w:val="21"/>
                <w:highlight w:val="none"/>
              </w:rPr>
            </w:pPr>
            <w:r>
              <w:rPr>
                <w:szCs w:val="21"/>
                <w:highlight w:val="none"/>
              </w:rPr>
              <w:t>0.100%</w:t>
            </w:r>
          </w:p>
        </w:tc>
        <w:tc>
          <w:tcPr>
            <w:tcW w:w="1846" w:type="dxa"/>
            <w:vAlign w:val="center"/>
          </w:tcPr>
          <w:p>
            <w:pPr>
              <w:spacing w:line="240" w:lineRule="auto"/>
              <w:jc w:val="center"/>
              <w:rPr>
                <w:szCs w:val="21"/>
                <w:highlight w:val="none"/>
              </w:rPr>
            </w:pPr>
            <w:r>
              <w:rPr>
                <w:szCs w:val="21"/>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1</w:t>
            </w:r>
            <w:r>
              <w:rPr>
                <w:rFonts w:hint="eastAsia"/>
                <w:szCs w:val="21"/>
                <w:highlight w:val="none"/>
              </w:rPr>
              <w:t>亿元（含）</w:t>
            </w:r>
            <w:r>
              <w:rPr>
                <w:szCs w:val="21"/>
                <w:highlight w:val="none"/>
              </w:rPr>
              <w:t>-5</w:t>
            </w:r>
            <w:r>
              <w:rPr>
                <w:rFonts w:hint="eastAsia"/>
                <w:szCs w:val="21"/>
                <w:highlight w:val="none"/>
              </w:rPr>
              <w:t>亿元</w:t>
            </w:r>
          </w:p>
        </w:tc>
        <w:tc>
          <w:tcPr>
            <w:tcW w:w="1845" w:type="dxa"/>
            <w:vAlign w:val="center"/>
          </w:tcPr>
          <w:p>
            <w:pPr>
              <w:spacing w:line="240" w:lineRule="auto"/>
              <w:jc w:val="center"/>
              <w:rPr>
                <w:szCs w:val="21"/>
                <w:highlight w:val="none"/>
              </w:rPr>
            </w:pPr>
            <w:r>
              <w:rPr>
                <w:szCs w:val="21"/>
                <w:highlight w:val="none"/>
              </w:rPr>
              <w:t>0.050%</w:t>
            </w:r>
          </w:p>
        </w:tc>
        <w:tc>
          <w:tcPr>
            <w:tcW w:w="1845" w:type="dxa"/>
            <w:vAlign w:val="center"/>
          </w:tcPr>
          <w:p>
            <w:pPr>
              <w:spacing w:line="240" w:lineRule="auto"/>
              <w:jc w:val="center"/>
              <w:rPr>
                <w:szCs w:val="21"/>
                <w:highlight w:val="none"/>
              </w:rPr>
            </w:pPr>
            <w:r>
              <w:rPr>
                <w:szCs w:val="21"/>
                <w:highlight w:val="none"/>
              </w:rPr>
              <w:t>0.050%</w:t>
            </w:r>
          </w:p>
        </w:tc>
        <w:tc>
          <w:tcPr>
            <w:tcW w:w="1846" w:type="dxa"/>
            <w:vAlign w:val="center"/>
          </w:tcPr>
          <w:p>
            <w:pPr>
              <w:spacing w:line="240" w:lineRule="auto"/>
              <w:jc w:val="center"/>
              <w:rPr>
                <w:szCs w:val="21"/>
                <w:highlight w:val="none"/>
              </w:rPr>
            </w:pPr>
            <w:r>
              <w:rPr>
                <w:szCs w:val="21"/>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5</w:t>
            </w:r>
            <w:r>
              <w:rPr>
                <w:rFonts w:hint="eastAsia"/>
                <w:szCs w:val="21"/>
                <w:highlight w:val="none"/>
              </w:rPr>
              <w:t>亿元（含）</w:t>
            </w:r>
            <w:r>
              <w:rPr>
                <w:szCs w:val="21"/>
                <w:highlight w:val="none"/>
              </w:rPr>
              <w:t>-10</w:t>
            </w:r>
            <w:r>
              <w:rPr>
                <w:rFonts w:hint="eastAsia"/>
                <w:szCs w:val="21"/>
                <w:highlight w:val="none"/>
              </w:rPr>
              <w:t>亿元</w:t>
            </w:r>
          </w:p>
        </w:tc>
        <w:tc>
          <w:tcPr>
            <w:tcW w:w="1845" w:type="dxa"/>
            <w:vAlign w:val="center"/>
          </w:tcPr>
          <w:p>
            <w:pPr>
              <w:spacing w:line="240" w:lineRule="auto"/>
              <w:jc w:val="center"/>
              <w:rPr>
                <w:szCs w:val="21"/>
                <w:highlight w:val="none"/>
              </w:rPr>
            </w:pPr>
            <w:r>
              <w:rPr>
                <w:szCs w:val="21"/>
                <w:highlight w:val="none"/>
              </w:rPr>
              <w:t>0.035%</w:t>
            </w:r>
          </w:p>
        </w:tc>
        <w:tc>
          <w:tcPr>
            <w:tcW w:w="1845" w:type="dxa"/>
            <w:vAlign w:val="center"/>
          </w:tcPr>
          <w:p>
            <w:pPr>
              <w:spacing w:line="240" w:lineRule="auto"/>
              <w:jc w:val="center"/>
              <w:rPr>
                <w:szCs w:val="21"/>
                <w:highlight w:val="none"/>
              </w:rPr>
            </w:pPr>
            <w:r>
              <w:rPr>
                <w:szCs w:val="21"/>
                <w:highlight w:val="none"/>
              </w:rPr>
              <w:t>0.035%</w:t>
            </w:r>
          </w:p>
        </w:tc>
        <w:tc>
          <w:tcPr>
            <w:tcW w:w="1846" w:type="dxa"/>
            <w:vAlign w:val="center"/>
          </w:tcPr>
          <w:p>
            <w:pPr>
              <w:spacing w:line="240" w:lineRule="auto"/>
              <w:jc w:val="center"/>
              <w:rPr>
                <w:szCs w:val="21"/>
                <w:highlight w:val="none"/>
              </w:rPr>
            </w:pPr>
            <w:r>
              <w:rPr>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10</w:t>
            </w:r>
            <w:r>
              <w:rPr>
                <w:rFonts w:hint="eastAsia"/>
                <w:szCs w:val="21"/>
                <w:highlight w:val="none"/>
              </w:rPr>
              <w:t>亿元（含）</w:t>
            </w:r>
            <w:r>
              <w:rPr>
                <w:szCs w:val="21"/>
                <w:highlight w:val="none"/>
              </w:rPr>
              <w:t>-50</w:t>
            </w:r>
            <w:r>
              <w:rPr>
                <w:rFonts w:hint="eastAsia"/>
                <w:szCs w:val="21"/>
                <w:highlight w:val="none"/>
              </w:rPr>
              <w:t>亿元</w:t>
            </w:r>
          </w:p>
        </w:tc>
        <w:tc>
          <w:tcPr>
            <w:tcW w:w="1845" w:type="dxa"/>
            <w:vAlign w:val="center"/>
          </w:tcPr>
          <w:p>
            <w:pPr>
              <w:spacing w:line="240" w:lineRule="auto"/>
              <w:jc w:val="center"/>
              <w:rPr>
                <w:szCs w:val="21"/>
                <w:highlight w:val="none"/>
              </w:rPr>
            </w:pPr>
            <w:r>
              <w:rPr>
                <w:szCs w:val="21"/>
                <w:highlight w:val="none"/>
              </w:rPr>
              <w:t>0.008%</w:t>
            </w:r>
          </w:p>
        </w:tc>
        <w:tc>
          <w:tcPr>
            <w:tcW w:w="1845" w:type="dxa"/>
            <w:vAlign w:val="center"/>
          </w:tcPr>
          <w:p>
            <w:pPr>
              <w:spacing w:line="240" w:lineRule="auto"/>
              <w:jc w:val="center"/>
              <w:rPr>
                <w:szCs w:val="21"/>
                <w:highlight w:val="none"/>
              </w:rPr>
            </w:pPr>
            <w:r>
              <w:rPr>
                <w:szCs w:val="21"/>
                <w:highlight w:val="none"/>
              </w:rPr>
              <w:t>0.008%</w:t>
            </w:r>
          </w:p>
        </w:tc>
        <w:tc>
          <w:tcPr>
            <w:tcW w:w="1846" w:type="dxa"/>
            <w:vAlign w:val="center"/>
          </w:tcPr>
          <w:p>
            <w:pPr>
              <w:spacing w:line="240" w:lineRule="auto"/>
              <w:jc w:val="center"/>
              <w:rPr>
                <w:szCs w:val="21"/>
                <w:highlight w:val="none"/>
              </w:rPr>
            </w:pPr>
            <w:r>
              <w:rPr>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szCs w:val="21"/>
                <w:highlight w:val="none"/>
              </w:rPr>
            </w:pPr>
            <w:r>
              <w:rPr>
                <w:szCs w:val="21"/>
                <w:highlight w:val="none"/>
              </w:rPr>
              <w:t>50</w:t>
            </w:r>
            <w:r>
              <w:rPr>
                <w:rFonts w:hint="eastAsia"/>
                <w:szCs w:val="21"/>
                <w:highlight w:val="none"/>
              </w:rPr>
              <w:t>亿元（含）</w:t>
            </w:r>
            <w:r>
              <w:rPr>
                <w:szCs w:val="21"/>
                <w:highlight w:val="none"/>
              </w:rPr>
              <w:t>-100</w:t>
            </w:r>
            <w:r>
              <w:rPr>
                <w:rFonts w:hint="eastAsia"/>
                <w:szCs w:val="21"/>
                <w:highlight w:val="none"/>
              </w:rPr>
              <w:t>亿元</w:t>
            </w:r>
          </w:p>
        </w:tc>
        <w:tc>
          <w:tcPr>
            <w:tcW w:w="1845" w:type="dxa"/>
            <w:vAlign w:val="center"/>
          </w:tcPr>
          <w:p>
            <w:pPr>
              <w:spacing w:line="240" w:lineRule="auto"/>
              <w:jc w:val="center"/>
              <w:rPr>
                <w:szCs w:val="21"/>
                <w:highlight w:val="none"/>
              </w:rPr>
            </w:pPr>
            <w:r>
              <w:rPr>
                <w:szCs w:val="21"/>
                <w:highlight w:val="none"/>
              </w:rPr>
              <w:t>0.006%</w:t>
            </w:r>
          </w:p>
        </w:tc>
        <w:tc>
          <w:tcPr>
            <w:tcW w:w="1845" w:type="dxa"/>
            <w:vAlign w:val="center"/>
          </w:tcPr>
          <w:p>
            <w:pPr>
              <w:spacing w:line="240" w:lineRule="auto"/>
              <w:jc w:val="center"/>
              <w:rPr>
                <w:szCs w:val="21"/>
                <w:highlight w:val="none"/>
              </w:rPr>
            </w:pPr>
            <w:r>
              <w:rPr>
                <w:szCs w:val="21"/>
                <w:highlight w:val="none"/>
              </w:rPr>
              <w:t>0.006%</w:t>
            </w:r>
          </w:p>
        </w:tc>
        <w:tc>
          <w:tcPr>
            <w:tcW w:w="1846" w:type="dxa"/>
            <w:vAlign w:val="center"/>
          </w:tcPr>
          <w:p>
            <w:pPr>
              <w:spacing w:line="240" w:lineRule="auto"/>
              <w:jc w:val="center"/>
              <w:rPr>
                <w:szCs w:val="21"/>
                <w:highlight w:val="none"/>
              </w:rPr>
            </w:pPr>
            <w:r>
              <w:rPr>
                <w:szCs w:val="21"/>
                <w:highlight w:val="none"/>
              </w:rPr>
              <w:t>0.006%</w:t>
            </w:r>
          </w:p>
        </w:tc>
      </w:tr>
    </w:tbl>
    <w:p>
      <w:pPr>
        <w:tabs>
          <w:tab w:val="clear" w:pos="426"/>
        </w:tabs>
        <w:ind w:left="424" w:leftChars="202" w:firstLine="440" w:firstLineChars="200"/>
        <w:rPr>
          <w:sz w:val="22"/>
          <w:highlight w:val="none"/>
        </w:rPr>
      </w:pPr>
      <w:r>
        <w:rPr>
          <w:rFonts w:hint="eastAsia"/>
          <w:sz w:val="22"/>
          <w:highlight w:val="none"/>
        </w:rPr>
        <w:t>以某</w:t>
      </w:r>
      <w:r>
        <w:rPr>
          <w:rFonts w:hint="eastAsia"/>
          <w:sz w:val="22"/>
          <w:highlight w:val="none"/>
          <w:lang w:val="en-US" w:eastAsia="zh-CN"/>
        </w:rPr>
        <w:t>150</w:t>
      </w:r>
      <w:r>
        <w:rPr>
          <w:rFonts w:hint="eastAsia"/>
          <w:sz w:val="22"/>
          <w:highlight w:val="none"/>
        </w:rPr>
        <w:t>万项目服务类招标为例：</w:t>
      </w:r>
    </w:p>
    <w:p>
      <w:pPr>
        <w:tabs>
          <w:tab w:val="clear" w:pos="426"/>
        </w:tabs>
        <w:ind w:left="424" w:leftChars="202" w:firstLine="440" w:firstLineChars="200"/>
        <w:rPr>
          <w:sz w:val="22"/>
          <w:highlight w:val="none"/>
        </w:rPr>
      </w:pPr>
      <w:r>
        <w:rPr>
          <w:rFonts w:hint="eastAsia"/>
          <w:sz w:val="22"/>
          <w:highlight w:val="none"/>
        </w:rPr>
        <w:t>计算基准价为中标价</w:t>
      </w:r>
      <w:r>
        <w:rPr>
          <w:rFonts w:hint="eastAsia"/>
          <w:sz w:val="22"/>
          <w:highlight w:val="none"/>
          <w:lang w:val="en-US" w:eastAsia="zh-CN"/>
        </w:rPr>
        <w:t>150</w:t>
      </w:r>
      <w:r>
        <w:rPr>
          <w:rFonts w:hint="eastAsia"/>
          <w:sz w:val="22"/>
          <w:highlight w:val="none"/>
        </w:rPr>
        <w:t>万元，则招标代理服务费计算为：</w:t>
      </w:r>
    </w:p>
    <w:p>
      <w:pPr>
        <w:tabs>
          <w:tab w:val="clear" w:pos="426"/>
        </w:tabs>
        <w:ind w:left="424" w:leftChars="202" w:firstLine="440" w:firstLineChars="200"/>
        <w:rPr>
          <w:sz w:val="22"/>
          <w:highlight w:val="none"/>
        </w:rPr>
      </w:pPr>
      <w:r>
        <w:rPr>
          <w:sz w:val="22"/>
          <w:highlight w:val="none"/>
        </w:rPr>
        <w:t>100</w:t>
      </w:r>
      <w:r>
        <w:rPr>
          <w:rFonts w:hint="eastAsia"/>
          <w:sz w:val="22"/>
          <w:highlight w:val="none"/>
        </w:rPr>
        <w:t>万元×</w:t>
      </w:r>
      <w:r>
        <w:rPr>
          <w:sz w:val="22"/>
          <w:highlight w:val="none"/>
        </w:rPr>
        <w:t>1.5%=1.5</w:t>
      </w:r>
      <w:r>
        <w:rPr>
          <w:rFonts w:hint="eastAsia"/>
          <w:sz w:val="22"/>
          <w:highlight w:val="none"/>
        </w:rPr>
        <w:t>万元</w:t>
      </w:r>
    </w:p>
    <w:p>
      <w:pPr>
        <w:tabs>
          <w:tab w:val="clear" w:pos="426"/>
        </w:tabs>
        <w:ind w:left="424" w:leftChars="202" w:firstLine="440" w:firstLineChars="200"/>
        <w:rPr>
          <w:sz w:val="22"/>
          <w:highlight w:val="none"/>
        </w:rPr>
      </w:pPr>
      <w:r>
        <w:rPr>
          <w:rFonts w:hint="eastAsia"/>
          <w:sz w:val="22"/>
          <w:highlight w:val="none"/>
        </w:rPr>
        <w:t>（</w:t>
      </w:r>
      <w:r>
        <w:rPr>
          <w:rFonts w:hint="eastAsia"/>
          <w:sz w:val="22"/>
          <w:highlight w:val="none"/>
          <w:lang w:val="en-US" w:eastAsia="zh-CN"/>
        </w:rPr>
        <w:t>150</w:t>
      </w:r>
      <w:r>
        <w:rPr>
          <w:sz w:val="22"/>
          <w:highlight w:val="none"/>
        </w:rPr>
        <w:t>-100</w:t>
      </w:r>
      <w:r>
        <w:rPr>
          <w:rFonts w:hint="eastAsia"/>
          <w:sz w:val="22"/>
          <w:highlight w:val="none"/>
        </w:rPr>
        <w:t>）万元×</w:t>
      </w:r>
      <w:r>
        <w:rPr>
          <w:sz w:val="22"/>
          <w:highlight w:val="none"/>
        </w:rPr>
        <w:t>0.8%=</w:t>
      </w:r>
      <w:r>
        <w:rPr>
          <w:rFonts w:hint="eastAsia"/>
          <w:sz w:val="22"/>
          <w:highlight w:val="none"/>
          <w:lang w:val="en-US" w:eastAsia="zh-CN"/>
        </w:rPr>
        <w:t>0.4</w:t>
      </w:r>
      <w:r>
        <w:rPr>
          <w:rFonts w:hint="eastAsia"/>
          <w:sz w:val="22"/>
          <w:highlight w:val="none"/>
        </w:rPr>
        <w:t>万元</w:t>
      </w:r>
    </w:p>
    <w:p>
      <w:pPr>
        <w:tabs>
          <w:tab w:val="clear" w:pos="426"/>
        </w:tabs>
        <w:ind w:left="424" w:leftChars="202" w:firstLine="440" w:firstLineChars="200"/>
        <w:rPr>
          <w:sz w:val="22"/>
          <w:highlight w:val="none"/>
        </w:rPr>
      </w:pPr>
      <w:r>
        <w:rPr>
          <w:rFonts w:hint="eastAsia"/>
          <w:sz w:val="22"/>
          <w:highlight w:val="none"/>
        </w:rPr>
        <w:t>因此，招标代理服务费为：（</w:t>
      </w:r>
      <w:r>
        <w:rPr>
          <w:sz w:val="22"/>
          <w:highlight w:val="none"/>
        </w:rPr>
        <w:t>1.5+</w:t>
      </w:r>
      <w:r>
        <w:rPr>
          <w:rFonts w:hint="eastAsia"/>
          <w:sz w:val="22"/>
          <w:highlight w:val="none"/>
          <w:lang w:val="en-US" w:eastAsia="zh-CN"/>
        </w:rPr>
        <w:t>0.4</w:t>
      </w:r>
      <w:r>
        <w:rPr>
          <w:rFonts w:hint="eastAsia"/>
          <w:sz w:val="22"/>
          <w:highlight w:val="none"/>
        </w:rPr>
        <w:t>）×（1</w:t>
      </w:r>
      <w:r>
        <w:rPr>
          <w:sz w:val="22"/>
          <w:highlight w:val="none"/>
        </w:rPr>
        <w:t>-20%</w:t>
      </w:r>
      <w:r>
        <w:rPr>
          <w:rFonts w:hint="eastAsia"/>
          <w:sz w:val="22"/>
          <w:highlight w:val="none"/>
        </w:rPr>
        <w:t>）</w:t>
      </w:r>
      <w:r>
        <w:rPr>
          <w:sz w:val="22"/>
          <w:highlight w:val="none"/>
        </w:rPr>
        <w:t>=</w:t>
      </w:r>
      <w:r>
        <w:rPr>
          <w:rFonts w:hint="eastAsia"/>
          <w:sz w:val="22"/>
          <w:highlight w:val="none"/>
          <w:lang w:val="en-US" w:eastAsia="zh-CN"/>
        </w:rPr>
        <w:t>1.52</w:t>
      </w:r>
      <w:r>
        <w:rPr>
          <w:rFonts w:hint="eastAsia"/>
          <w:sz w:val="22"/>
          <w:highlight w:val="none"/>
        </w:rPr>
        <w:t>万元。</w:t>
      </w:r>
    </w:p>
    <w:p>
      <w:pPr>
        <w:shd w:val="clear" w:color="auto" w:fill="auto"/>
        <w:tabs>
          <w:tab w:val="clear" w:pos="426"/>
        </w:tabs>
        <w:adjustRightInd/>
        <w:snapToGrid/>
        <w:spacing w:line="240" w:lineRule="auto"/>
        <w:jc w:val="left"/>
        <w:rPr>
          <w:rFonts w:ascii="方正仿宋_GBK" w:eastAsia="方正仿宋_GBK" w:cs="Sylfaen"/>
          <w:sz w:val="28"/>
          <w:szCs w:val="28"/>
          <w:highlight w:val="none"/>
        </w:rPr>
      </w:pPr>
    </w:p>
    <w:p>
      <w:pPr>
        <w:shd w:val="clear" w:color="auto" w:fill="auto"/>
        <w:tabs>
          <w:tab w:val="clear" w:pos="426"/>
        </w:tabs>
        <w:adjustRightInd/>
        <w:snapToGrid/>
        <w:spacing w:line="240" w:lineRule="auto"/>
        <w:ind w:firstLine="560" w:firstLineChars="200"/>
        <w:rPr>
          <w:rFonts w:ascii="方正仿宋_GBK" w:eastAsia="方正仿宋_GBK" w:cs="Sylfaen"/>
          <w:sz w:val="28"/>
          <w:szCs w:val="28"/>
          <w:highlight w:val="none"/>
        </w:rPr>
      </w:pPr>
    </w:p>
    <w:p>
      <w:pPr>
        <w:tabs>
          <w:tab w:val="clear" w:pos="426"/>
        </w:tabs>
        <w:ind w:left="424" w:leftChars="202" w:firstLine="440" w:firstLineChars="200"/>
        <w:rPr>
          <w:sz w:val="22"/>
          <w:highlight w:val="none"/>
        </w:rPr>
      </w:pPr>
    </w:p>
    <w:sectPr>
      <w:footerReference r:id="rId12" w:type="default"/>
      <w:pgSz w:w="11906" w:h="16838"/>
      <w:pgMar w:top="1134" w:right="1134" w:bottom="1134" w:left="1418" w:header="851" w:footer="992" w:gutter="0"/>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8B8C2F-78EF-4570-9AA3-4EAF69389239}"/>
  </w:font>
  <w:font w:name="黑体">
    <w:panose1 w:val="02010609060101010101"/>
    <w:charset w:val="86"/>
    <w:family w:val="auto"/>
    <w:pitch w:val="default"/>
    <w:sig w:usb0="800002BF" w:usb1="38CF7CFA" w:usb2="00000016" w:usb3="00000000" w:csb0="00040001" w:csb1="00000000"/>
    <w:embedRegular r:id="rId2" w:fontKey="{0C853D97-0E19-4B2F-A888-9700E4FB348B}"/>
  </w:font>
  <w:font w:name="Courier New">
    <w:panose1 w:val="02070309020205020404"/>
    <w:charset w:val="01"/>
    <w:family w:val="modern"/>
    <w:pitch w:val="default"/>
    <w:sig w:usb0="E0002EFF" w:usb1="C0007843" w:usb2="00000009" w:usb3="00000000" w:csb0="400001FF" w:csb1="FFFF0000"/>
    <w:embedRegular r:id="rId3" w:fontKey="{A8A4843E-385A-4209-8C47-350FAF055E7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567EAC3-EEF2-4490-8812-6EE39F10D122}"/>
  </w:font>
  <w:font w:name="Cambria">
    <w:panose1 w:val="02040503050406030204"/>
    <w:charset w:val="00"/>
    <w:family w:val="roman"/>
    <w:pitch w:val="default"/>
    <w:sig w:usb0="E00006FF" w:usb1="420024FF" w:usb2="02000000" w:usb3="00000000" w:csb0="2000019F" w:csb1="00000000"/>
    <w:embedRegular r:id="rId5" w:fontKey="{54A011DE-62F6-4003-986E-BAD4F424E07B}"/>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6" w:fontKey="{08FFFF52-6CCD-48DD-8C5E-D6FC5DF19E55}"/>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7" w:fontKey="{8617AB05-DED4-4D39-8CBF-9061805247A5}"/>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体">
    <w:altName w:val="宋体"/>
    <w:panose1 w:val="00000000000000000000"/>
    <w:charset w:val="86"/>
    <w:family w:val="roma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8" w:fontKey="{40779392-7AA6-4687-8582-6F2CC0299C6E}"/>
  </w:font>
  <w:font w:name="Sylfaen">
    <w:panose1 w:val="010A0502050306030303"/>
    <w:charset w:val="00"/>
    <w:family w:val="roman"/>
    <w:pitch w:val="default"/>
    <w:sig w:usb0="04000687" w:usb1="00000000" w:usb2="00000000" w:usb3="00000000" w:csb0="2000009F" w:csb1="00000000"/>
    <w:embedRegular r:id="rId9" w:fontKey="{39A82D8E-E7CE-4FCC-BD1A-CBCE1F5663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90"/>
      </w:rPr>
    </w:pPr>
    <w:r>
      <w:rPr>
        <w:rStyle w:val="90"/>
      </w:rPr>
      <w:fldChar w:fldCharType="begin"/>
    </w:r>
    <w:r>
      <w:rPr>
        <w:rStyle w:val="90"/>
      </w:rPr>
      <w:instrText xml:space="preserve">PAGE  </w:instrText>
    </w:r>
    <w:r>
      <w:rPr>
        <w:rStyle w:val="90"/>
      </w:rPr>
      <w:fldChar w:fldCharType="separate"/>
    </w:r>
    <w:r>
      <w:rPr>
        <w:rStyle w:val="90"/>
      </w:rPr>
      <w:t>65</w:t>
    </w:r>
    <w:r>
      <w:rPr>
        <w:rStyle w:val="90"/>
      </w:rPr>
      <w:fldChar w:fldCharType="end"/>
    </w:r>
  </w:p>
  <w:p>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fldChar w:fldCharType="begin"/>
    </w:r>
    <w:r>
      <w:instrText xml:space="preserve"> PAGE   \* MERGEFORMAT </w:instrText>
    </w:r>
    <w:r>
      <w:fldChar w:fldCharType="separate"/>
    </w:r>
    <w:r>
      <w:rPr>
        <w:lang w:val="zh-CN"/>
      </w:rPr>
      <w:t>10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fldChar w:fldCharType="begin"/>
    </w:r>
    <w:r>
      <w:instrText xml:space="preserve"> PAGE   \* MERGEFORMAT </w:instrText>
    </w:r>
    <w:r>
      <w:fldChar w:fldCharType="separate"/>
    </w:r>
    <w:r>
      <w:rPr>
        <w:lang w:val="zh-CN"/>
      </w:rPr>
      <w:t>11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pPr>
    <w:r>
      <w:fldChar w:fldCharType="begin"/>
    </w:r>
    <w:r>
      <w:instrText xml:space="preserve">PAGE   \* MERGEFORMAT</w:instrText>
    </w:r>
    <w:r>
      <w:fldChar w:fldCharType="separate"/>
    </w:r>
    <w:r>
      <w:rPr>
        <w:lang w:val="zh-CN"/>
      </w:rPr>
      <w:t>32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420"/>
    </w:pPr>
    <w:r>
      <w:rPr>
        <w:rFonts w:hint="eastAsia"/>
      </w:rPr>
      <w:t>广东省深圳市消防救援支队2024年度机关食堂配送服务采购项目-项目编号：</w:t>
    </w:r>
    <w:r>
      <w:t>SSZX2024-205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420"/>
      <w:jc w:val="center"/>
    </w:pPr>
    <w:r>
      <w:rPr>
        <w:rFonts w:hint="eastAsia"/>
      </w:rPr>
      <w:t>广东省深圳市消防救援支队2024年度机关食堂配送服务采购项目</w:t>
    </w:r>
    <w:bookmarkStart w:id="209" w:name="_Hlk152925176"/>
    <w:r>
      <w:rPr>
        <w:rFonts w:hint="eastAsia"/>
      </w:rPr>
      <w:t>-项目编号：</w:t>
    </w:r>
    <w:bookmarkEnd w:id="209"/>
    <w:r>
      <w:t>SSZX2024-205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广东省深圳市消防救援支队2024年度机关食堂配送服务采购项目</w:t>
    </w:r>
    <w:r>
      <w:t>-</w:t>
    </w:r>
    <w:r>
      <w:rPr>
        <w:rFonts w:hint="eastAsia"/>
      </w:rPr>
      <w:t>项目编号：</w:t>
    </w:r>
    <w:r>
      <w:t>SSZX2024-205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广东省深圳市消防救援支队2024年度机关食堂配送服务采购项目-项目编号：</w:t>
    </w:r>
    <w:r>
      <w:t>SSZX2024-205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D3C3D"/>
    <w:multiLevelType w:val="multilevel"/>
    <w:tmpl w:val="9C9D3C3D"/>
    <w:lvl w:ilvl="0" w:tentative="0">
      <w:start w:val="1"/>
      <w:numFmt w:val="decimal"/>
      <w:pStyle w:val="156"/>
      <w:lvlText w:val="%1)"/>
      <w:lvlJc w:val="left"/>
      <w:pPr>
        <w:tabs>
          <w:tab w:val="left" w:pos="0"/>
        </w:tabs>
        <w:ind w:left="420" w:hanging="420"/>
      </w:pPr>
      <w:rPr>
        <w:rFonts w:hint="default"/>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1">
    <w:nsid w:val="9DF148B3"/>
    <w:multiLevelType w:val="multilevel"/>
    <w:tmpl w:val="9DF148B3"/>
    <w:lvl w:ilvl="0" w:tentative="0">
      <w:start w:val="1"/>
      <w:numFmt w:val="chineseCountingThousand"/>
      <w:pStyle w:val="391"/>
      <w:suff w:val="space"/>
      <w:lvlText w:val="第%1章"/>
      <w:lvlJc w:val="left"/>
      <w:pPr>
        <w:tabs>
          <w:tab w:val="left" w:pos="0"/>
        </w:tabs>
        <w:ind w:left="284" w:hanging="284"/>
      </w:pPr>
      <w:rPr>
        <w:rFonts w:hint="eastAsia" w:ascii="黑体" w:hAnsi="黑体" w:eastAsia="黑体"/>
        <w:sz w:val="30"/>
      </w:rPr>
    </w:lvl>
    <w:lvl w:ilvl="1" w:tentative="0">
      <w:start w:val="1"/>
      <w:numFmt w:val="decimal"/>
      <w:isLgl/>
      <w:suff w:val="space"/>
      <w:lvlText w:val="%1.%2"/>
      <w:lvlJc w:val="left"/>
      <w:pPr>
        <w:tabs>
          <w:tab w:val="left" w:pos="0"/>
        </w:tabs>
        <w:ind w:left="284" w:hanging="284"/>
      </w:pPr>
      <w:rPr>
        <w:rFonts w:hint="eastAsia" w:ascii="黑体" w:hAnsi="黑体" w:eastAsia="黑体"/>
        <w:sz w:val="28"/>
      </w:rPr>
    </w:lvl>
    <w:lvl w:ilvl="2" w:tentative="0">
      <w:start w:val="1"/>
      <w:numFmt w:val="decimal"/>
      <w:isLgl/>
      <w:suff w:val="space"/>
      <w:lvlText w:val="%1.%2.%3"/>
      <w:lvlJc w:val="left"/>
      <w:pPr>
        <w:tabs>
          <w:tab w:val="left" w:pos="0"/>
        </w:tabs>
        <w:ind w:left="284" w:hanging="284"/>
      </w:pPr>
      <w:rPr>
        <w:rFonts w:hint="eastAsia" w:ascii="黑体" w:hAnsi="黑体" w:eastAsia="黑体"/>
        <w:sz w:val="26"/>
      </w:rPr>
    </w:lvl>
    <w:lvl w:ilvl="3" w:tentative="0">
      <w:start w:val="1"/>
      <w:numFmt w:val="decimal"/>
      <w:isLgl/>
      <w:suff w:val="space"/>
      <w:lvlText w:val="%1.%2.%3.%4"/>
      <w:lvlJc w:val="left"/>
      <w:pPr>
        <w:tabs>
          <w:tab w:val="left" w:pos="0"/>
        </w:tabs>
        <w:ind w:left="284" w:hanging="284"/>
      </w:pPr>
      <w:rPr>
        <w:rFonts w:hint="eastAsia" w:ascii="黑体" w:hAnsi="黑体" w:eastAsia="黑体"/>
        <w:sz w:val="24"/>
      </w:rPr>
    </w:lvl>
    <w:lvl w:ilvl="4" w:tentative="0">
      <w:start w:val="1"/>
      <w:numFmt w:val="none"/>
      <w:suff w:val="space"/>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
    <w:nsid w:val="9F175D3E"/>
    <w:multiLevelType w:val="multilevel"/>
    <w:tmpl w:val="9F175D3E"/>
    <w:lvl w:ilvl="0" w:tentative="0">
      <w:start w:val="1"/>
      <w:numFmt w:val="bullet"/>
      <w:pStyle w:val="175"/>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3">
    <w:nsid w:val="AC0D3E71"/>
    <w:multiLevelType w:val="multilevel"/>
    <w:tmpl w:val="AC0D3E71"/>
    <w:lvl w:ilvl="0" w:tentative="0">
      <w:start w:val="1"/>
      <w:numFmt w:val="chineseCountingThousand"/>
      <w:pStyle w:val="271"/>
      <w:lvlText w:val="第%1章"/>
      <w:lvlJc w:val="left"/>
      <w:pPr>
        <w:tabs>
          <w:tab w:val="left" w:pos="340"/>
        </w:tabs>
        <w:ind w:left="0" w:firstLine="0"/>
      </w:pPr>
      <w:rPr>
        <w:rFonts w:hint="eastAsia"/>
      </w:rPr>
    </w:lvl>
    <w:lvl w:ilvl="1" w:tentative="0">
      <w:start w:val="1"/>
      <w:numFmt w:val="decimal"/>
      <w:pStyle w:val="272"/>
      <w:isLgl/>
      <w:suff w:val="space"/>
      <w:lvlText w:val="%1.%2"/>
      <w:lvlJc w:val="left"/>
      <w:pPr>
        <w:tabs>
          <w:tab w:val="left" w:pos="0"/>
        </w:tabs>
        <w:ind w:left="0" w:firstLine="0"/>
      </w:pPr>
      <w:rPr>
        <w:rFonts w:hint="eastAsia"/>
      </w:rPr>
    </w:lvl>
    <w:lvl w:ilvl="2" w:tentative="0">
      <w:start w:val="1"/>
      <w:numFmt w:val="decimal"/>
      <w:pStyle w:val="273"/>
      <w:isLgl/>
      <w:suff w:val="space"/>
      <w:lvlText w:val="%1.%2.%3"/>
      <w:lvlJc w:val="left"/>
      <w:pPr>
        <w:tabs>
          <w:tab w:val="left" w:pos="0"/>
        </w:tabs>
        <w:ind w:left="0" w:firstLine="0"/>
      </w:pPr>
      <w:rPr>
        <w:rFonts w:hint="eastAsia"/>
      </w:rPr>
    </w:lvl>
    <w:lvl w:ilvl="3" w:tentative="0">
      <w:start w:val="1"/>
      <w:numFmt w:val="decimal"/>
      <w:pStyle w:val="274"/>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275"/>
      <w:isLgl/>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4">
    <w:nsid w:val="B150720D"/>
    <w:multiLevelType w:val="multilevel"/>
    <w:tmpl w:val="B150720D"/>
    <w:lvl w:ilvl="0" w:tentative="0">
      <w:start w:val="1"/>
      <w:numFmt w:val="bullet"/>
      <w:pStyle w:val="18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B4E76765"/>
    <w:multiLevelType w:val="singleLevel"/>
    <w:tmpl w:val="B4E76765"/>
    <w:lvl w:ilvl="0" w:tentative="0">
      <w:start w:val="1"/>
      <w:numFmt w:val="decimal"/>
      <w:pStyle w:val="34"/>
      <w:lvlText w:val="%1."/>
      <w:lvlJc w:val="left"/>
      <w:pPr>
        <w:tabs>
          <w:tab w:val="left" w:pos="1200"/>
        </w:tabs>
        <w:ind w:left="1200" w:hanging="360"/>
      </w:pPr>
    </w:lvl>
  </w:abstractNum>
  <w:abstractNum w:abstractNumId="6">
    <w:nsid w:val="B985D9C8"/>
    <w:multiLevelType w:val="multilevel"/>
    <w:tmpl w:val="B985D9C8"/>
    <w:lvl w:ilvl="0" w:tentative="0">
      <w:start w:val="1"/>
      <w:numFmt w:val="chineseCountingThousand"/>
      <w:pStyle w:val="183"/>
      <w:lvlText w:val="第%1章"/>
      <w:lvlJc w:val="left"/>
      <w:pPr>
        <w:tabs>
          <w:tab w:val="left" w:pos="1440"/>
        </w:tabs>
        <w:ind w:left="0" w:firstLine="0"/>
      </w:pPr>
      <w:rPr>
        <w:rFonts w:hint="eastAsia"/>
      </w:rPr>
    </w:lvl>
    <w:lvl w:ilvl="1" w:tentative="0">
      <w:start w:val="1"/>
      <w:numFmt w:val="decimal"/>
      <w:pStyle w:val="184"/>
      <w:isLgl/>
      <w:lvlText w:val="%1.%2"/>
      <w:lvlJc w:val="left"/>
      <w:pPr>
        <w:tabs>
          <w:tab w:val="left" w:pos="720"/>
        </w:tabs>
        <w:ind w:left="0" w:firstLine="0"/>
      </w:pPr>
      <w:rPr>
        <w:rFonts w:hint="eastAsia"/>
      </w:rPr>
    </w:lvl>
    <w:lvl w:ilvl="2" w:tentative="0">
      <w:start w:val="1"/>
      <w:numFmt w:val="decimal"/>
      <w:pStyle w:val="185"/>
      <w:isLgl/>
      <w:suff w:val="space"/>
      <w:lvlText w:val="%1.%2.%3"/>
      <w:lvlJc w:val="left"/>
      <w:pPr>
        <w:tabs>
          <w:tab w:val="left" w:pos="0"/>
        </w:tabs>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7">
    <w:nsid w:val="B9B1C257"/>
    <w:multiLevelType w:val="multilevel"/>
    <w:tmpl w:val="B9B1C257"/>
    <w:lvl w:ilvl="0" w:tentative="0">
      <w:start w:val="1"/>
      <w:numFmt w:val="bullet"/>
      <w:lvlText w:val=""/>
      <w:lvlJc w:val="left"/>
      <w:pPr>
        <w:tabs>
          <w:tab w:val="left" w:pos="0"/>
        </w:tabs>
        <w:ind w:left="420" w:hanging="420"/>
      </w:pPr>
      <w:rPr>
        <w:rFonts w:hint="default" w:ascii="Wingdings" w:hAnsi="Wingdings"/>
      </w:rPr>
    </w:lvl>
    <w:lvl w:ilvl="1" w:tentative="0">
      <w:start w:val="1"/>
      <w:numFmt w:val="decimal"/>
      <w:pStyle w:val="290"/>
      <w:lvlText w:val="%2)"/>
      <w:lvlJc w:val="left"/>
      <w:pPr>
        <w:tabs>
          <w:tab w:val="left" w:pos="0"/>
        </w:tabs>
        <w:ind w:left="840" w:hanging="420"/>
      </w:pPr>
      <w:rPr>
        <w:rFonts w:hint="default"/>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C26D0BD1"/>
    <w:multiLevelType w:val="singleLevel"/>
    <w:tmpl w:val="C26D0BD1"/>
    <w:lvl w:ilvl="0" w:tentative="0">
      <w:start w:val="1"/>
      <w:numFmt w:val="bullet"/>
      <w:pStyle w:val="210"/>
      <w:lvlText w:val=""/>
      <w:lvlJc w:val="left"/>
      <w:pPr>
        <w:tabs>
          <w:tab w:val="left" w:pos="360"/>
        </w:tabs>
        <w:ind w:left="360" w:hanging="360"/>
      </w:pPr>
      <w:rPr>
        <w:rFonts w:hint="default" w:ascii="Wingdings" w:hAnsi="Wingdings"/>
      </w:rPr>
    </w:lvl>
  </w:abstractNum>
  <w:abstractNum w:abstractNumId="9">
    <w:nsid w:val="C4527E8E"/>
    <w:multiLevelType w:val="multilevel"/>
    <w:tmpl w:val="C4527E8E"/>
    <w:lvl w:ilvl="0" w:tentative="0">
      <w:start w:val="1"/>
      <w:numFmt w:val="decimal"/>
      <w:pStyle w:val="288"/>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D04EF464"/>
    <w:multiLevelType w:val="multilevel"/>
    <w:tmpl w:val="D04EF464"/>
    <w:lvl w:ilvl="0" w:tentative="0">
      <w:start w:val="1"/>
      <w:numFmt w:val="decimal"/>
      <w:pStyle w:val="361"/>
      <w:suff w:val="nothing"/>
      <w:lvlText w:val="%1."/>
      <w:lvlJc w:val="left"/>
      <w:pPr>
        <w:tabs>
          <w:tab w:val="left" w:pos="0"/>
        </w:tabs>
        <w:ind w:left="180" w:firstLine="0"/>
      </w:pPr>
      <w:rPr>
        <w:rFonts w:hint="eastAsia" w:ascii="宋体" w:hAnsi="宋体" w:eastAsia="宋体"/>
        <w:b w:val="0"/>
        <w:i w:val="0"/>
        <w:caps w:val="0"/>
        <w:smallCaps w:val="0"/>
        <w:strike w:val="0"/>
        <w:dstrike w:val="0"/>
        <w:vanish w:val="0"/>
        <w:color w:val="000000"/>
        <w:spacing w:val="0"/>
        <w:position w:val="0"/>
        <w:sz w:val="24"/>
        <w:szCs w:val="24"/>
        <w:vertAlign w:val="baseline"/>
      </w:rPr>
    </w:lvl>
    <w:lvl w:ilvl="1" w:tentative="0">
      <w:start w:val="1"/>
      <w:numFmt w:val="decimal"/>
      <w:pStyle w:val="362"/>
      <w:suff w:val="nothing"/>
      <w:lvlText w:val="%1.%2"/>
      <w:lvlJc w:val="left"/>
      <w:pPr>
        <w:tabs>
          <w:tab w:val="left" w:pos="0"/>
        </w:tabs>
        <w:ind w:left="4736" w:hanging="3836"/>
      </w:pPr>
      <w:rPr>
        <w:rFonts w:hint="eastAsia" w:ascii="Times New Roman" w:hAnsi="Times New Roman" w:cs="Times New Roman"/>
        <w:b w:val="0"/>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pStyle w:val="363"/>
      <w:suff w:val="nothing"/>
      <w:lvlText w:val="%3）"/>
      <w:lvlJc w:val="left"/>
      <w:pPr>
        <w:tabs>
          <w:tab w:val="left" w:pos="0"/>
        </w:tabs>
        <w:ind w:left="890" w:hanging="170"/>
      </w:pPr>
      <w:rPr>
        <w:b w:val="0"/>
        <w:i w:val="0"/>
        <w:strike w:val="0"/>
        <w:dstrike w:val="0"/>
        <w:color w:val="000000"/>
      </w:rPr>
    </w:lvl>
    <w:lvl w:ilvl="3" w:tentative="0">
      <w:start w:val="1"/>
      <w:numFmt w:val="decimal"/>
      <w:pStyle w:val="364"/>
      <w:suff w:val="nothing"/>
      <w:lvlText w:val="%1.%2.%3.%4"/>
      <w:lvlJc w:val="left"/>
      <w:pPr>
        <w:tabs>
          <w:tab w:val="left" w:pos="0"/>
        </w:tabs>
        <w:ind w:left="284" w:hanging="227"/>
      </w:pPr>
      <w:rPr>
        <w:rFonts w:hint="eastAsia"/>
        <w:b w:val="0"/>
        <w:i w:val="0"/>
      </w:rPr>
    </w:lvl>
    <w:lvl w:ilvl="4" w:tentative="0">
      <w:start w:val="1"/>
      <w:numFmt w:val="decimal"/>
      <w:pStyle w:val="365"/>
      <w:suff w:val="nothing"/>
      <w:lvlText w:val="%1.%2.%3.%4.%5"/>
      <w:lvlJc w:val="left"/>
      <w:pPr>
        <w:tabs>
          <w:tab w:val="left" w:pos="0"/>
        </w:tabs>
        <w:ind w:left="397" w:hanging="340"/>
      </w:pPr>
      <w:rPr>
        <w:rFonts w:hint="eastAsia" w:ascii="宋体" w:hAnsi="宋体" w:eastAsia="宋体"/>
        <w:b w:val="0"/>
        <w:i w:val="0"/>
        <w:caps w:val="0"/>
        <w:small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abstractNum w:abstractNumId="11">
    <w:nsid w:val="D3185048"/>
    <w:multiLevelType w:val="multilevel"/>
    <w:tmpl w:val="D3185048"/>
    <w:lvl w:ilvl="0" w:tentative="0">
      <w:start w:val="1"/>
      <w:numFmt w:val="decimal"/>
      <w:pStyle w:val="266"/>
      <w:suff w:val="space"/>
      <w:lvlText w:val="%1"/>
      <w:lvlJc w:val="left"/>
      <w:pPr>
        <w:tabs>
          <w:tab w:val="left" w:pos="0"/>
        </w:tabs>
        <w:ind w:left="0" w:firstLine="0"/>
      </w:pPr>
      <w:rPr>
        <w:rFonts w:hint="eastAsia"/>
      </w:rPr>
    </w:lvl>
    <w:lvl w:ilvl="1" w:tentative="0">
      <w:start w:val="1"/>
      <w:numFmt w:val="decimal"/>
      <w:pStyle w:val="267"/>
      <w:suff w:val="space"/>
      <w:lvlText w:val="%1.%2"/>
      <w:lvlJc w:val="left"/>
      <w:pPr>
        <w:tabs>
          <w:tab w:val="left" w:pos="0"/>
        </w:tabs>
        <w:ind w:left="0" w:firstLine="0"/>
      </w:pPr>
      <w:rPr>
        <w:rFonts w:hint="eastAsia"/>
      </w:rPr>
    </w:lvl>
    <w:lvl w:ilvl="2" w:tentative="0">
      <w:start w:val="1"/>
      <w:numFmt w:val="decimal"/>
      <w:pStyle w:val="268"/>
      <w:suff w:val="space"/>
      <w:lvlText w:val="%1.%2.%3"/>
      <w:lvlJc w:val="left"/>
      <w:pPr>
        <w:tabs>
          <w:tab w:val="left" w:pos="0"/>
        </w:tabs>
        <w:ind w:left="0" w:firstLine="0"/>
      </w:pPr>
      <w:rPr>
        <w:rFonts w:hint="eastAsia"/>
      </w:rPr>
    </w:lvl>
    <w:lvl w:ilvl="3" w:tentative="0">
      <w:start w:val="1"/>
      <w:numFmt w:val="decimal"/>
      <w:pStyle w:val="269"/>
      <w:suff w:val="space"/>
      <w:lvlText w:val="%1.%2.%3.%4"/>
      <w:lvlJc w:val="left"/>
      <w:pPr>
        <w:tabs>
          <w:tab w:val="left" w:pos="0"/>
        </w:tabs>
        <w:ind w:left="0" w:firstLine="0"/>
      </w:pPr>
      <w:rPr>
        <w:rFonts w:hint="eastAsia"/>
      </w:rPr>
    </w:lvl>
    <w:lvl w:ilvl="4" w:tentative="0">
      <w:start w:val="1"/>
      <w:numFmt w:val="decimal"/>
      <w:pStyle w:val="270"/>
      <w:suff w:val="space"/>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2">
    <w:nsid w:val="DCA6C445"/>
    <w:multiLevelType w:val="multilevel"/>
    <w:tmpl w:val="DCA6C445"/>
    <w:lvl w:ilvl="0" w:tentative="0">
      <w:start w:val="1"/>
      <w:numFmt w:val="decimal"/>
      <w:pStyle w:val="278"/>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13">
    <w:nsid w:val="E4C626FC"/>
    <w:multiLevelType w:val="singleLevel"/>
    <w:tmpl w:val="E4C626FC"/>
    <w:lvl w:ilvl="0" w:tentative="0">
      <w:start w:val="1"/>
      <w:numFmt w:val="decimal"/>
      <w:pStyle w:val="45"/>
      <w:lvlText w:val="%1."/>
      <w:lvlJc w:val="left"/>
      <w:pPr>
        <w:tabs>
          <w:tab w:val="left" w:pos="1620"/>
        </w:tabs>
        <w:ind w:left="1620" w:hanging="360"/>
      </w:pPr>
    </w:lvl>
  </w:abstractNum>
  <w:abstractNum w:abstractNumId="14">
    <w:nsid w:val="EA095F84"/>
    <w:multiLevelType w:val="singleLevel"/>
    <w:tmpl w:val="EA095F84"/>
    <w:lvl w:ilvl="0" w:tentative="0">
      <w:start w:val="1"/>
      <w:numFmt w:val="decimal"/>
      <w:suff w:val="nothing"/>
      <w:lvlText w:val="（%1）"/>
      <w:lvlJc w:val="left"/>
    </w:lvl>
  </w:abstractNum>
  <w:abstractNum w:abstractNumId="15">
    <w:nsid w:val="EFAF3965"/>
    <w:multiLevelType w:val="singleLevel"/>
    <w:tmpl w:val="EFAF3965"/>
    <w:lvl w:ilvl="0" w:tentative="0">
      <w:start w:val="1"/>
      <w:numFmt w:val="decimal"/>
      <w:suff w:val="nothing"/>
      <w:lvlText w:val="（%1）"/>
      <w:lvlJc w:val="left"/>
    </w:lvl>
  </w:abstractNum>
  <w:abstractNum w:abstractNumId="16">
    <w:nsid w:val="00000004"/>
    <w:multiLevelType w:val="multilevel"/>
    <w:tmpl w:val="00000004"/>
    <w:lvl w:ilvl="0" w:tentative="0">
      <w:start w:val="1"/>
      <w:numFmt w:val="decimal"/>
      <w:lvlText w:val="%1."/>
      <w:lvlJc w:val="left"/>
      <w:pPr>
        <w:tabs>
          <w:tab w:val="left" w:pos="0"/>
        </w:tabs>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7">
    <w:nsid w:val="0000000F"/>
    <w:multiLevelType w:val="multilevel"/>
    <w:tmpl w:val="0000000F"/>
    <w:lvl w:ilvl="0" w:tentative="0">
      <w:start w:val="0"/>
      <w:numFmt w:val="decimal"/>
      <w:pStyle w:val="5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53BEEC5"/>
    <w:multiLevelType w:val="multilevel"/>
    <w:tmpl w:val="053BEEC5"/>
    <w:lvl w:ilvl="0" w:tentative="0">
      <w:start w:val="1"/>
      <w:numFmt w:val="chineseCountingThousand"/>
      <w:pStyle w:val="153"/>
      <w:lvlText w:val="第%1章"/>
      <w:lvlJc w:val="left"/>
      <w:pPr>
        <w:tabs>
          <w:tab w:val="left" w:pos="0"/>
        </w:tabs>
        <w:ind w:left="420" w:hanging="420"/>
      </w:pPr>
      <w:rPr>
        <w:rFonts w:hint="eastAsia"/>
      </w:rPr>
    </w:lvl>
    <w:lvl w:ilvl="1" w:tentative="0">
      <w:start w:val="1"/>
      <w:numFmt w:val="decimal"/>
      <w:lvlText w:val="1.%2"/>
      <w:lvlJc w:val="left"/>
      <w:pPr>
        <w:tabs>
          <w:tab w:val="left" w:pos="0"/>
        </w:tabs>
        <w:ind w:left="420" w:hanging="420"/>
      </w:pPr>
      <w:rPr>
        <w:rFonts w:hint="default" w:ascii="Calibri Light" w:hAnsi="Calibri Light" w:eastAsia="宋体" w:cs="Calibri"/>
        <w:sz w:val="32"/>
        <w:szCs w:val="32"/>
      </w:rPr>
    </w:lvl>
    <w:lvl w:ilvl="2" w:tentative="0">
      <w:start w:val="1"/>
      <w:numFmt w:val="decimal"/>
      <w:lvlText w:val="1.1.%3"/>
      <w:lvlJc w:val="left"/>
      <w:pPr>
        <w:tabs>
          <w:tab w:val="left" w:pos="0"/>
        </w:tabs>
        <w:ind w:left="420" w:firstLine="147"/>
      </w:pPr>
      <w:rPr>
        <w:rFonts w:hint="eastAsia"/>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9">
    <w:nsid w:val="0AE64B02"/>
    <w:multiLevelType w:val="multilevel"/>
    <w:tmpl w:val="0AE64B02"/>
    <w:lvl w:ilvl="0" w:tentative="0">
      <w:start w:val="1"/>
      <w:numFmt w:val="decimal"/>
      <w:pStyle w:val="151"/>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235B5CB"/>
    <w:multiLevelType w:val="multilevel"/>
    <w:tmpl w:val="1235B5CB"/>
    <w:lvl w:ilvl="0" w:tentative="0">
      <w:start w:val="1"/>
      <w:numFmt w:val="bullet"/>
      <w:pStyle w:val="260"/>
      <w:lvlText w:val=""/>
      <w:lvlJc w:val="left"/>
      <w:pPr>
        <w:tabs>
          <w:tab w:val="left" w:pos="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1">
    <w:nsid w:val="19545556"/>
    <w:multiLevelType w:val="multilevel"/>
    <w:tmpl w:val="1954555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EC1F55B"/>
    <w:multiLevelType w:val="multilevel"/>
    <w:tmpl w:val="1EC1F55B"/>
    <w:lvl w:ilvl="0" w:tentative="0">
      <w:start w:val="5"/>
      <w:numFmt w:val="decimal"/>
      <w:lvlText w:val="%1"/>
      <w:lvlJc w:val="left"/>
      <w:pPr>
        <w:tabs>
          <w:tab w:val="left" w:pos="425"/>
        </w:tabs>
        <w:ind w:left="425" w:hanging="425"/>
      </w:pPr>
      <w:rPr>
        <w:rFonts w:hint="eastAsia"/>
      </w:rPr>
    </w:lvl>
    <w:lvl w:ilvl="1" w:tentative="0">
      <w:start w:val="1"/>
      <w:numFmt w:val="decimal"/>
      <w:pStyle w:val="150"/>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217F3F51"/>
    <w:multiLevelType w:val="multilevel"/>
    <w:tmpl w:val="217F3F51"/>
    <w:lvl w:ilvl="0" w:tentative="0">
      <w:start w:val="1"/>
      <w:numFmt w:val="chineseCountingThousand"/>
      <w:lvlText w:val="%1、"/>
      <w:lvlJc w:val="left"/>
      <w:pPr>
        <w:tabs>
          <w:tab w:val="left" w:pos="0"/>
        </w:tabs>
        <w:ind w:left="420" w:hanging="420"/>
      </w:pPr>
    </w:lvl>
    <w:lvl w:ilvl="1" w:tentative="0">
      <w:start w:val="1"/>
      <w:numFmt w:val="chineseCountingThousand"/>
      <w:suff w:val="nothing"/>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4">
    <w:nsid w:val="226B47A1"/>
    <w:multiLevelType w:val="multilevel"/>
    <w:tmpl w:val="226B47A1"/>
    <w:lvl w:ilvl="0" w:tentative="0">
      <w:start w:val="1"/>
      <w:numFmt w:val="decimal"/>
      <w:pStyle w:val="187"/>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tabs>
          <w:tab w:val="left" w:pos="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6">
    <w:nsid w:val="27023690"/>
    <w:multiLevelType w:val="multilevel"/>
    <w:tmpl w:val="27023690"/>
    <w:lvl w:ilvl="0" w:tentative="0">
      <w:start w:val="1"/>
      <w:numFmt w:val="chineseCountingThousand"/>
      <w:suff w:val="nothing"/>
      <w:lvlText w:val="%1"/>
      <w:lvlJc w:val="left"/>
      <w:pPr>
        <w:ind w:left="0" w:firstLine="0"/>
      </w:pPr>
      <w:rPr>
        <w:rFonts w:hint="eastAsia"/>
        <w:b/>
        <w:bCs w:val="0"/>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7">
    <w:nsid w:val="28FE580F"/>
    <w:multiLevelType w:val="singleLevel"/>
    <w:tmpl w:val="28FE580F"/>
    <w:lvl w:ilvl="0" w:tentative="0">
      <w:start w:val="1"/>
      <w:numFmt w:val="decimal"/>
      <w:pStyle w:val="63"/>
      <w:lvlText w:val="%1."/>
      <w:lvlJc w:val="left"/>
      <w:pPr>
        <w:tabs>
          <w:tab w:val="left" w:pos="2040"/>
        </w:tabs>
        <w:ind w:left="2040" w:hanging="360"/>
      </w:pPr>
    </w:lvl>
  </w:abstractNum>
  <w:abstractNum w:abstractNumId="28">
    <w:nsid w:val="2D4C6A2F"/>
    <w:multiLevelType w:val="singleLevel"/>
    <w:tmpl w:val="2D4C6A2F"/>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29">
    <w:nsid w:val="404F81CC"/>
    <w:multiLevelType w:val="singleLevel"/>
    <w:tmpl w:val="404F81CC"/>
    <w:lvl w:ilvl="0" w:tentative="0">
      <w:start w:val="1"/>
      <w:numFmt w:val="decimal"/>
      <w:pStyle w:val="19"/>
      <w:lvlText w:val="%1."/>
      <w:lvlJc w:val="left"/>
      <w:pPr>
        <w:tabs>
          <w:tab w:val="left" w:pos="360"/>
        </w:tabs>
        <w:ind w:left="360" w:hanging="360"/>
      </w:pPr>
    </w:lvl>
  </w:abstractNum>
  <w:abstractNum w:abstractNumId="30">
    <w:nsid w:val="499CB997"/>
    <w:multiLevelType w:val="singleLevel"/>
    <w:tmpl w:val="499CB997"/>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1">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tabs>
          <w:tab w:val="left" w:pos="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2">
    <w:nsid w:val="4C296137"/>
    <w:multiLevelType w:val="singleLevel"/>
    <w:tmpl w:val="4C296137"/>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33">
    <w:nsid w:val="54C72B21"/>
    <w:multiLevelType w:val="multilevel"/>
    <w:tmpl w:val="54C72B21"/>
    <w:lvl w:ilvl="0" w:tentative="0">
      <w:start w:val="1"/>
      <w:numFmt w:val="bullet"/>
      <w:pStyle w:val="154"/>
      <w:lvlText w:val=""/>
      <w:lvlJc w:val="left"/>
      <w:pPr>
        <w:tabs>
          <w:tab w:val="left" w:pos="0"/>
        </w:tabs>
        <w:ind w:left="780" w:hanging="420"/>
      </w:pPr>
      <w:rPr>
        <w:rFonts w:hint="default" w:ascii="Wingdings" w:hAnsi="Wingdings"/>
      </w:rPr>
    </w:lvl>
    <w:lvl w:ilvl="1" w:tentative="0">
      <w:start w:val="1"/>
      <w:numFmt w:val="bullet"/>
      <w:lvlText w:val=""/>
      <w:lvlJc w:val="left"/>
      <w:pPr>
        <w:tabs>
          <w:tab w:val="left" w:pos="0"/>
        </w:tabs>
        <w:ind w:left="1200" w:hanging="420"/>
      </w:pPr>
      <w:rPr>
        <w:rFonts w:hint="default" w:ascii="Wingdings" w:hAnsi="Wingdings"/>
      </w:rPr>
    </w:lvl>
    <w:lvl w:ilvl="2" w:tentative="0">
      <w:start w:val="1"/>
      <w:numFmt w:val="bullet"/>
      <w:lvlText w:val=""/>
      <w:lvlJc w:val="left"/>
      <w:pPr>
        <w:tabs>
          <w:tab w:val="left" w:pos="0"/>
        </w:tabs>
        <w:ind w:left="1620" w:hanging="420"/>
      </w:pPr>
      <w:rPr>
        <w:rFonts w:hint="default" w:ascii="Wingdings" w:hAnsi="Wingdings"/>
      </w:rPr>
    </w:lvl>
    <w:lvl w:ilvl="3" w:tentative="0">
      <w:start w:val="1"/>
      <w:numFmt w:val="bullet"/>
      <w:lvlText w:val=""/>
      <w:lvlJc w:val="left"/>
      <w:pPr>
        <w:tabs>
          <w:tab w:val="left" w:pos="0"/>
        </w:tabs>
        <w:ind w:left="2040" w:hanging="420"/>
      </w:pPr>
      <w:rPr>
        <w:rFonts w:hint="default" w:ascii="Wingdings" w:hAnsi="Wingdings"/>
      </w:rPr>
    </w:lvl>
    <w:lvl w:ilvl="4" w:tentative="0">
      <w:start w:val="1"/>
      <w:numFmt w:val="bullet"/>
      <w:lvlText w:val=""/>
      <w:lvlJc w:val="left"/>
      <w:pPr>
        <w:tabs>
          <w:tab w:val="left" w:pos="0"/>
        </w:tabs>
        <w:ind w:left="2460" w:hanging="420"/>
      </w:pPr>
      <w:rPr>
        <w:rFonts w:hint="default" w:ascii="Wingdings" w:hAnsi="Wingdings"/>
      </w:rPr>
    </w:lvl>
    <w:lvl w:ilvl="5" w:tentative="0">
      <w:start w:val="1"/>
      <w:numFmt w:val="bullet"/>
      <w:lvlText w:val=""/>
      <w:lvlJc w:val="left"/>
      <w:pPr>
        <w:tabs>
          <w:tab w:val="left" w:pos="0"/>
        </w:tabs>
        <w:ind w:left="2880" w:hanging="420"/>
      </w:pPr>
      <w:rPr>
        <w:rFonts w:hint="default" w:ascii="Wingdings" w:hAnsi="Wingdings"/>
      </w:rPr>
    </w:lvl>
    <w:lvl w:ilvl="6" w:tentative="0">
      <w:start w:val="1"/>
      <w:numFmt w:val="bullet"/>
      <w:lvlText w:val=""/>
      <w:lvlJc w:val="left"/>
      <w:pPr>
        <w:tabs>
          <w:tab w:val="left" w:pos="0"/>
        </w:tabs>
        <w:ind w:left="3300" w:hanging="420"/>
      </w:pPr>
      <w:rPr>
        <w:rFonts w:hint="default" w:ascii="Wingdings" w:hAnsi="Wingdings"/>
      </w:rPr>
    </w:lvl>
    <w:lvl w:ilvl="7" w:tentative="0">
      <w:start w:val="1"/>
      <w:numFmt w:val="bullet"/>
      <w:lvlText w:val=""/>
      <w:lvlJc w:val="left"/>
      <w:pPr>
        <w:tabs>
          <w:tab w:val="left" w:pos="0"/>
        </w:tabs>
        <w:ind w:left="3720" w:hanging="420"/>
      </w:pPr>
      <w:rPr>
        <w:rFonts w:hint="default" w:ascii="Wingdings" w:hAnsi="Wingdings"/>
      </w:rPr>
    </w:lvl>
    <w:lvl w:ilvl="8" w:tentative="0">
      <w:start w:val="1"/>
      <w:numFmt w:val="bullet"/>
      <w:lvlText w:val=""/>
      <w:lvlJc w:val="left"/>
      <w:pPr>
        <w:tabs>
          <w:tab w:val="left" w:pos="0"/>
        </w:tabs>
        <w:ind w:left="4140" w:hanging="420"/>
      </w:pPr>
      <w:rPr>
        <w:rFonts w:hint="default" w:ascii="Wingdings" w:hAnsi="Wingdings"/>
      </w:rPr>
    </w:lvl>
  </w:abstractNum>
  <w:abstractNum w:abstractNumId="34">
    <w:nsid w:val="59F52AF8"/>
    <w:multiLevelType w:val="multilevel"/>
    <w:tmpl w:val="59F52AF8"/>
    <w:lvl w:ilvl="0" w:tentative="0">
      <w:start w:val="1"/>
      <w:numFmt w:val="decimal"/>
      <w:pStyle w:val="283"/>
      <w:lvlText w:val="%1)"/>
      <w:lvlJc w:val="left"/>
      <w:pPr>
        <w:tabs>
          <w:tab w:val="left" w:pos="0"/>
        </w:tabs>
        <w:ind w:left="982" w:hanging="420"/>
      </w:pPr>
    </w:lvl>
    <w:lvl w:ilvl="1" w:tentative="0">
      <w:start w:val="1"/>
      <w:numFmt w:val="lowerLetter"/>
      <w:pStyle w:val="280"/>
      <w:lvlText w:val="%2)"/>
      <w:lvlJc w:val="left"/>
      <w:pPr>
        <w:tabs>
          <w:tab w:val="left" w:pos="0"/>
        </w:tabs>
        <w:ind w:left="1402" w:hanging="420"/>
      </w:pPr>
    </w:lvl>
    <w:lvl w:ilvl="2" w:tentative="0">
      <w:start w:val="1"/>
      <w:numFmt w:val="lowerRoman"/>
      <w:pStyle w:val="281"/>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abstractNum w:abstractNumId="35">
    <w:nsid w:val="5B5AF7FA"/>
    <w:multiLevelType w:val="multilevel"/>
    <w:tmpl w:val="5B5AF7FA"/>
    <w:lvl w:ilvl="0" w:tentative="0">
      <w:start w:val="1"/>
      <w:numFmt w:val="decimal"/>
      <w:pStyle w:val="285"/>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6">
    <w:nsid w:val="5D34656E"/>
    <w:multiLevelType w:val="multilevel"/>
    <w:tmpl w:val="5D34656E"/>
    <w:lvl w:ilvl="0" w:tentative="0">
      <w:start w:val="1"/>
      <w:numFmt w:val="bullet"/>
      <w:pStyle w:val="14"/>
      <w:lvlText w:val=""/>
      <w:lvlJc w:val="left"/>
      <w:pPr>
        <w:tabs>
          <w:tab w:val="left" w:pos="0"/>
        </w:tabs>
        <w:ind w:left="988" w:hanging="420"/>
      </w:pPr>
      <w:rPr>
        <w:rFonts w:hint="default" w:ascii="Wingdings" w:hAnsi="Wingdings"/>
      </w:rPr>
    </w:lvl>
    <w:lvl w:ilvl="1" w:tentative="0">
      <w:start w:val="1"/>
      <w:numFmt w:val="bullet"/>
      <w:lvlText w:val=""/>
      <w:lvlJc w:val="left"/>
      <w:pPr>
        <w:tabs>
          <w:tab w:val="left" w:pos="0"/>
        </w:tabs>
        <w:ind w:left="1400" w:hanging="420"/>
      </w:pPr>
      <w:rPr>
        <w:rFonts w:hint="default" w:ascii="Wingdings" w:hAnsi="Wingdings"/>
      </w:rPr>
    </w:lvl>
    <w:lvl w:ilvl="2" w:tentative="0">
      <w:start w:val="1"/>
      <w:numFmt w:val="bullet"/>
      <w:lvlText w:val=""/>
      <w:lvlJc w:val="left"/>
      <w:pPr>
        <w:tabs>
          <w:tab w:val="left" w:pos="0"/>
        </w:tabs>
        <w:ind w:left="1820" w:hanging="420"/>
      </w:pPr>
      <w:rPr>
        <w:rFonts w:hint="default" w:ascii="Wingdings" w:hAnsi="Wingdings"/>
      </w:rPr>
    </w:lvl>
    <w:lvl w:ilvl="3" w:tentative="0">
      <w:start w:val="1"/>
      <w:numFmt w:val="bullet"/>
      <w:lvlText w:val=""/>
      <w:lvlJc w:val="left"/>
      <w:pPr>
        <w:tabs>
          <w:tab w:val="left" w:pos="0"/>
        </w:tabs>
        <w:ind w:left="2240" w:hanging="420"/>
      </w:pPr>
      <w:rPr>
        <w:rFonts w:hint="default" w:ascii="Wingdings" w:hAnsi="Wingdings"/>
      </w:rPr>
    </w:lvl>
    <w:lvl w:ilvl="4" w:tentative="0">
      <w:start w:val="1"/>
      <w:numFmt w:val="bullet"/>
      <w:lvlText w:val=""/>
      <w:lvlJc w:val="left"/>
      <w:pPr>
        <w:tabs>
          <w:tab w:val="left" w:pos="0"/>
        </w:tabs>
        <w:ind w:left="2660" w:hanging="420"/>
      </w:pPr>
      <w:rPr>
        <w:rFonts w:hint="default" w:ascii="Wingdings" w:hAnsi="Wingdings"/>
      </w:rPr>
    </w:lvl>
    <w:lvl w:ilvl="5" w:tentative="0">
      <w:start w:val="1"/>
      <w:numFmt w:val="bullet"/>
      <w:lvlText w:val=""/>
      <w:lvlJc w:val="left"/>
      <w:pPr>
        <w:tabs>
          <w:tab w:val="left" w:pos="0"/>
        </w:tabs>
        <w:ind w:left="3080" w:hanging="420"/>
      </w:pPr>
      <w:rPr>
        <w:rFonts w:hint="default" w:ascii="Wingdings" w:hAnsi="Wingdings"/>
      </w:rPr>
    </w:lvl>
    <w:lvl w:ilvl="6" w:tentative="0">
      <w:start w:val="1"/>
      <w:numFmt w:val="bullet"/>
      <w:lvlText w:val=""/>
      <w:lvlJc w:val="left"/>
      <w:pPr>
        <w:tabs>
          <w:tab w:val="left" w:pos="0"/>
        </w:tabs>
        <w:ind w:left="3500" w:hanging="420"/>
      </w:pPr>
      <w:rPr>
        <w:rFonts w:hint="default" w:ascii="Wingdings" w:hAnsi="Wingdings"/>
      </w:rPr>
    </w:lvl>
    <w:lvl w:ilvl="7" w:tentative="0">
      <w:start w:val="1"/>
      <w:numFmt w:val="bullet"/>
      <w:lvlText w:val=""/>
      <w:lvlJc w:val="left"/>
      <w:pPr>
        <w:tabs>
          <w:tab w:val="left" w:pos="0"/>
        </w:tabs>
        <w:ind w:left="3920" w:hanging="420"/>
      </w:pPr>
      <w:rPr>
        <w:rFonts w:hint="default" w:ascii="Wingdings" w:hAnsi="Wingdings"/>
      </w:rPr>
    </w:lvl>
    <w:lvl w:ilvl="8" w:tentative="0">
      <w:start w:val="1"/>
      <w:numFmt w:val="bullet"/>
      <w:lvlText w:val=""/>
      <w:lvlJc w:val="left"/>
      <w:pPr>
        <w:tabs>
          <w:tab w:val="left" w:pos="0"/>
        </w:tabs>
        <w:ind w:left="4340" w:hanging="420"/>
      </w:pPr>
      <w:rPr>
        <w:rFonts w:hint="default" w:ascii="Wingdings" w:hAnsi="Wingdings"/>
      </w:rPr>
    </w:lvl>
  </w:abstractNum>
  <w:abstractNum w:abstractNumId="37">
    <w:nsid w:val="64253DA1"/>
    <w:multiLevelType w:val="multilevel"/>
    <w:tmpl w:val="64253DA1"/>
    <w:lvl w:ilvl="0" w:tentative="0">
      <w:start w:val="1"/>
      <w:numFmt w:val="decimal"/>
      <w:suff w:val="nothing"/>
      <w:lvlText w:val="%1"/>
      <w:lvlJc w:val="left"/>
      <w:pPr>
        <w:tabs>
          <w:tab w:val="left" w:pos="0"/>
        </w:tabs>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38">
    <w:nsid w:val="6C7D42E0"/>
    <w:multiLevelType w:val="multilevel"/>
    <w:tmpl w:val="6C7D42E0"/>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34F656C"/>
    <w:multiLevelType w:val="multilevel"/>
    <w:tmpl w:val="734F656C"/>
    <w:lvl w:ilvl="0" w:tentative="0">
      <w:start w:val="1"/>
      <w:numFmt w:val="decimal"/>
      <w:suff w:val="nothing"/>
      <w:lvlText w:val="%1"/>
      <w:lvlJc w:val="left"/>
      <w:pPr>
        <w:tabs>
          <w:tab w:val="left" w:pos="0"/>
        </w:tabs>
        <w:ind w:left="63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0">
    <w:nsid w:val="797F14BE"/>
    <w:multiLevelType w:val="singleLevel"/>
    <w:tmpl w:val="797F14BE"/>
    <w:lvl w:ilvl="0" w:tentative="0">
      <w:start w:val="1"/>
      <w:numFmt w:val="bullet"/>
      <w:pStyle w:val="44"/>
      <w:lvlText w:val=""/>
      <w:lvlJc w:val="left"/>
      <w:pPr>
        <w:tabs>
          <w:tab w:val="left" w:pos="2040"/>
        </w:tabs>
        <w:ind w:left="2040" w:hanging="360"/>
      </w:pPr>
      <w:rPr>
        <w:rFonts w:hint="default" w:ascii="Wingdings" w:hAnsi="Wingdings"/>
      </w:rPr>
    </w:lvl>
  </w:abstractNum>
  <w:num w:numId="1">
    <w:abstractNumId w:val="16"/>
  </w:num>
  <w:num w:numId="2">
    <w:abstractNumId w:val="36"/>
  </w:num>
  <w:num w:numId="3">
    <w:abstractNumId w:val="30"/>
  </w:num>
  <w:num w:numId="4">
    <w:abstractNumId w:val="29"/>
  </w:num>
  <w:num w:numId="5">
    <w:abstractNumId w:val="28"/>
  </w:num>
  <w:num w:numId="6">
    <w:abstractNumId w:val="5"/>
  </w:num>
  <w:num w:numId="7">
    <w:abstractNumId w:val="32"/>
  </w:num>
  <w:num w:numId="8">
    <w:abstractNumId w:val="40"/>
  </w:num>
  <w:num w:numId="9">
    <w:abstractNumId w:val="13"/>
  </w:num>
  <w:num w:numId="10">
    <w:abstractNumId w:val="27"/>
  </w:num>
  <w:num w:numId="11">
    <w:abstractNumId w:val="22"/>
  </w:num>
  <w:num w:numId="12">
    <w:abstractNumId w:val="19"/>
  </w:num>
  <w:num w:numId="13">
    <w:abstractNumId w:val="18"/>
  </w:num>
  <w:num w:numId="14">
    <w:abstractNumId w:val="33"/>
  </w:num>
  <w:num w:numId="15">
    <w:abstractNumId w:val="0"/>
  </w:num>
  <w:num w:numId="16">
    <w:abstractNumId w:val="2"/>
  </w:num>
  <w:num w:numId="17">
    <w:abstractNumId w:val="4"/>
  </w:num>
  <w:num w:numId="18">
    <w:abstractNumId w:val="6"/>
  </w:num>
  <w:num w:numId="19">
    <w:abstractNumId w:val="24"/>
  </w:num>
  <w:num w:numId="20">
    <w:abstractNumId w:val="8"/>
  </w:num>
  <w:num w:numId="21">
    <w:abstractNumId w:val="20"/>
  </w:num>
  <w:num w:numId="22">
    <w:abstractNumId w:val="11"/>
  </w:num>
  <w:num w:numId="23">
    <w:abstractNumId w:val="3"/>
  </w:num>
  <w:num w:numId="24">
    <w:abstractNumId w:val="12"/>
  </w:num>
  <w:num w:numId="25">
    <w:abstractNumId w:val="34"/>
  </w:num>
  <w:num w:numId="26">
    <w:abstractNumId w:val="35"/>
  </w:num>
  <w:num w:numId="27">
    <w:abstractNumId w:val="9"/>
  </w:num>
  <w:num w:numId="28">
    <w:abstractNumId w:val="7"/>
  </w:num>
  <w:num w:numId="29">
    <w:abstractNumId w:val="10"/>
  </w:num>
  <w:num w:numId="30">
    <w:abstractNumId w:val="1"/>
  </w:num>
  <w:num w:numId="31">
    <w:abstractNumId w:val="17"/>
  </w:num>
  <w:num w:numId="32">
    <w:abstractNumId w:val="39"/>
  </w:num>
  <w:num w:numId="33">
    <w:abstractNumId w:val="37"/>
  </w:num>
  <w:num w:numId="34">
    <w:abstractNumId w:val="14"/>
  </w:num>
  <w:num w:numId="35">
    <w:abstractNumId w:val="15"/>
  </w:num>
  <w:num w:numId="36">
    <w:abstractNumId w:val="21"/>
  </w:num>
  <w:num w:numId="37">
    <w:abstractNumId w:val="23"/>
  </w:num>
  <w:num w:numId="38">
    <w:abstractNumId w:val="26"/>
  </w:num>
  <w:num w:numId="39">
    <w:abstractNumId w:val="25"/>
  </w:num>
  <w:num w:numId="40">
    <w:abstractNumId w:val="3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4NzIwNzA4ZTJjN2M2YzAzODJmMmZmNWFlZjU1OTAifQ=="/>
  </w:docVars>
  <w:rsids>
    <w:rsidRoot w:val="006C5683"/>
    <w:rsid w:val="000015CB"/>
    <w:rsid w:val="000017FA"/>
    <w:rsid w:val="000021E9"/>
    <w:rsid w:val="000027F1"/>
    <w:rsid w:val="00003511"/>
    <w:rsid w:val="00004873"/>
    <w:rsid w:val="00004AEC"/>
    <w:rsid w:val="00005B02"/>
    <w:rsid w:val="000060D0"/>
    <w:rsid w:val="00006D88"/>
    <w:rsid w:val="00010C75"/>
    <w:rsid w:val="00011D2E"/>
    <w:rsid w:val="000145F4"/>
    <w:rsid w:val="0001650A"/>
    <w:rsid w:val="00017A00"/>
    <w:rsid w:val="000200F4"/>
    <w:rsid w:val="00020BF0"/>
    <w:rsid w:val="00021C95"/>
    <w:rsid w:val="00022110"/>
    <w:rsid w:val="00031D0B"/>
    <w:rsid w:val="00033912"/>
    <w:rsid w:val="000355DB"/>
    <w:rsid w:val="00035638"/>
    <w:rsid w:val="00035D60"/>
    <w:rsid w:val="000379AC"/>
    <w:rsid w:val="00040351"/>
    <w:rsid w:val="0004289B"/>
    <w:rsid w:val="00043266"/>
    <w:rsid w:val="00044738"/>
    <w:rsid w:val="00045A4A"/>
    <w:rsid w:val="00047D3A"/>
    <w:rsid w:val="000518A9"/>
    <w:rsid w:val="00051F63"/>
    <w:rsid w:val="0005491F"/>
    <w:rsid w:val="00055B0A"/>
    <w:rsid w:val="00055C0E"/>
    <w:rsid w:val="000562DD"/>
    <w:rsid w:val="0006047C"/>
    <w:rsid w:val="00061424"/>
    <w:rsid w:val="00061F80"/>
    <w:rsid w:val="00062150"/>
    <w:rsid w:val="00063076"/>
    <w:rsid w:val="00063A10"/>
    <w:rsid w:val="00065D87"/>
    <w:rsid w:val="00065F3F"/>
    <w:rsid w:val="00066E2A"/>
    <w:rsid w:val="000675EA"/>
    <w:rsid w:val="00070E31"/>
    <w:rsid w:val="00073781"/>
    <w:rsid w:val="0007403B"/>
    <w:rsid w:val="000761F4"/>
    <w:rsid w:val="00076C4E"/>
    <w:rsid w:val="000775F2"/>
    <w:rsid w:val="00077C1C"/>
    <w:rsid w:val="000816F0"/>
    <w:rsid w:val="0008437A"/>
    <w:rsid w:val="0008483B"/>
    <w:rsid w:val="00086008"/>
    <w:rsid w:val="00086ED9"/>
    <w:rsid w:val="00087CC7"/>
    <w:rsid w:val="00090EAE"/>
    <w:rsid w:val="00092DD1"/>
    <w:rsid w:val="0009300C"/>
    <w:rsid w:val="000942A1"/>
    <w:rsid w:val="00094482"/>
    <w:rsid w:val="00094AC5"/>
    <w:rsid w:val="00094CE9"/>
    <w:rsid w:val="00096521"/>
    <w:rsid w:val="00096FCE"/>
    <w:rsid w:val="000A06B5"/>
    <w:rsid w:val="000A1509"/>
    <w:rsid w:val="000A1C1D"/>
    <w:rsid w:val="000A3668"/>
    <w:rsid w:val="000A4BA3"/>
    <w:rsid w:val="000A636C"/>
    <w:rsid w:val="000A65DB"/>
    <w:rsid w:val="000B054C"/>
    <w:rsid w:val="000B22EA"/>
    <w:rsid w:val="000B3A7B"/>
    <w:rsid w:val="000B67F3"/>
    <w:rsid w:val="000C0489"/>
    <w:rsid w:val="000C27F8"/>
    <w:rsid w:val="000C2925"/>
    <w:rsid w:val="000C2ED1"/>
    <w:rsid w:val="000C36E3"/>
    <w:rsid w:val="000C41A6"/>
    <w:rsid w:val="000C49EB"/>
    <w:rsid w:val="000C4EC9"/>
    <w:rsid w:val="000C5C2B"/>
    <w:rsid w:val="000C7449"/>
    <w:rsid w:val="000D05BA"/>
    <w:rsid w:val="000D3422"/>
    <w:rsid w:val="000D649C"/>
    <w:rsid w:val="000E06EB"/>
    <w:rsid w:val="000E2F6C"/>
    <w:rsid w:val="000E5A5F"/>
    <w:rsid w:val="000E5C46"/>
    <w:rsid w:val="000E7652"/>
    <w:rsid w:val="000F0838"/>
    <w:rsid w:val="000F18A9"/>
    <w:rsid w:val="000F5162"/>
    <w:rsid w:val="000F5CC5"/>
    <w:rsid w:val="000F5E31"/>
    <w:rsid w:val="000F5F2D"/>
    <w:rsid w:val="000F6D23"/>
    <w:rsid w:val="00100890"/>
    <w:rsid w:val="00100985"/>
    <w:rsid w:val="0010331A"/>
    <w:rsid w:val="0010394D"/>
    <w:rsid w:val="00104157"/>
    <w:rsid w:val="001052B1"/>
    <w:rsid w:val="001061B4"/>
    <w:rsid w:val="00107D53"/>
    <w:rsid w:val="00107EB0"/>
    <w:rsid w:val="0011106F"/>
    <w:rsid w:val="00113686"/>
    <w:rsid w:val="00113B47"/>
    <w:rsid w:val="00115F02"/>
    <w:rsid w:val="001166FC"/>
    <w:rsid w:val="00116B2C"/>
    <w:rsid w:val="0012044A"/>
    <w:rsid w:val="00122279"/>
    <w:rsid w:val="00122DBE"/>
    <w:rsid w:val="00122F14"/>
    <w:rsid w:val="001230F7"/>
    <w:rsid w:val="00123716"/>
    <w:rsid w:val="001264C4"/>
    <w:rsid w:val="00126858"/>
    <w:rsid w:val="00126BBC"/>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08B6"/>
    <w:rsid w:val="001620E0"/>
    <w:rsid w:val="00162E69"/>
    <w:rsid w:val="001635E6"/>
    <w:rsid w:val="001659CA"/>
    <w:rsid w:val="00167FEB"/>
    <w:rsid w:val="00170993"/>
    <w:rsid w:val="00171DEE"/>
    <w:rsid w:val="0017394E"/>
    <w:rsid w:val="00174CFF"/>
    <w:rsid w:val="0018016B"/>
    <w:rsid w:val="00180ACA"/>
    <w:rsid w:val="001824A0"/>
    <w:rsid w:val="00182DA1"/>
    <w:rsid w:val="0018349F"/>
    <w:rsid w:val="00183BFA"/>
    <w:rsid w:val="0018428F"/>
    <w:rsid w:val="00184350"/>
    <w:rsid w:val="001843F3"/>
    <w:rsid w:val="0018549E"/>
    <w:rsid w:val="001860D3"/>
    <w:rsid w:val="001914F1"/>
    <w:rsid w:val="00191B0F"/>
    <w:rsid w:val="00192555"/>
    <w:rsid w:val="001932DD"/>
    <w:rsid w:val="0019369C"/>
    <w:rsid w:val="00194FEA"/>
    <w:rsid w:val="00195297"/>
    <w:rsid w:val="001955C7"/>
    <w:rsid w:val="001965F1"/>
    <w:rsid w:val="0019688B"/>
    <w:rsid w:val="0019695C"/>
    <w:rsid w:val="001969A0"/>
    <w:rsid w:val="001A102D"/>
    <w:rsid w:val="001A1048"/>
    <w:rsid w:val="001A16C8"/>
    <w:rsid w:val="001A2318"/>
    <w:rsid w:val="001A3552"/>
    <w:rsid w:val="001A40BB"/>
    <w:rsid w:val="001A51FD"/>
    <w:rsid w:val="001A5C59"/>
    <w:rsid w:val="001A6998"/>
    <w:rsid w:val="001A6AD1"/>
    <w:rsid w:val="001A7128"/>
    <w:rsid w:val="001A7216"/>
    <w:rsid w:val="001A797B"/>
    <w:rsid w:val="001B1008"/>
    <w:rsid w:val="001B12D5"/>
    <w:rsid w:val="001B37C0"/>
    <w:rsid w:val="001B47E7"/>
    <w:rsid w:val="001B67D7"/>
    <w:rsid w:val="001C0D27"/>
    <w:rsid w:val="001C3AD2"/>
    <w:rsid w:val="001C3FAF"/>
    <w:rsid w:val="001D1DCD"/>
    <w:rsid w:val="001D22A3"/>
    <w:rsid w:val="001D2A82"/>
    <w:rsid w:val="001D2F7C"/>
    <w:rsid w:val="001D38D1"/>
    <w:rsid w:val="001D3D19"/>
    <w:rsid w:val="001D6978"/>
    <w:rsid w:val="001D794F"/>
    <w:rsid w:val="001E1F04"/>
    <w:rsid w:val="001E2C66"/>
    <w:rsid w:val="001E3A30"/>
    <w:rsid w:val="001E53F4"/>
    <w:rsid w:val="001E5464"/>
    <w:rsid w:val="001E609A"/>
    <w:rsid w:val="001E6B73"/>
    <w:rsid w:val="001E7A5D"/>
    <w:rsid w:val="001E7D48"/>
    <w:rsid w:val="001E7D7C"/>
    <w:rsid w:val="001F20D4"/>
    <w:rsid w:val="001F5680"/>
    <w:rsid w:val="001F78BB"/>
    <w:rsid w:val="00201CD2"/>
    <w:rsid w:val="00201D97"/>
    <w:rsid w:val="0020226C"/>
    <w:rsid w:val="0020377D"/>
    <w:rsid w:val="00204419"/>
    <w:rsid w:val="00204DEC"/>
    <w:rsid w:val="00205CE6"/>
    <w:rsid w:val="002070C4"/>
    <w:rsid w:val="002073AB"/>
    <w:rsid w:val="002100D0"/>
    <w:rsid w:val="002100F4"/>
    <w:rsid w:val="002111EC"/>
    <w:rsid w:val="002126A5"/>
    <w:rsid w:val="0021375E"/>
    <w:rsid w:val="00216F17"/>
    <w:rsid w:val="002171F6"/>
    <w:rsid w:val="002205BB"/>
    <w:rsid w:val="00220AD9"/>
    <w:rsid w:val="002251B8"/>
    <w:rsid w:val="0022630B"/>
    <w:rsid w:val="00231531"/>
    <w:rsid w:val="00232170"/>
    <w:rsid w:val="002345EF"/>
    <w:rsid w:val="00236FE2"/>
    <w:rsid w:val="002371C4"/>
    <w:rsid w:val="002442D8"/>
    <w:rsid w:val="00244979"/>
    <w:rsid w:val="0024536B"/>
    <w:rsid w:val="00246E8E"/>
    <w:rsid w:val="002478CB"/>
    <w:rsid w:val="00247BA2"/>
    <w:rsid w:val="00250F84"/>
    <w:rsid w:val="00251762"/>
    <w:rsid w:val="002527B0"/>
    <w:rsid w:val="00253881"/>
    <w:rsid w:val="002546DA"/>
    <w:rsid w:val="00254FC7"/>
    <w:rsid w:val="002563D1"/>
    <w:rsid w:val="00256808"/>
    <w:rsid w:val="002579BB"/>
    <w:rsid w:val="00260505"/>
    <w:rsid w:val="002624AB"/>
    <w:rsid w:val="002641FB"/>
    <w:rsid w:val="00264F1A"/>
    <w:rsid w:val="00265C84"/>
    <w:rsid w:val="00267C7A"/>
    <w:rsid w:val="002712D5"/>
    <w:rsid w:val="00274604"/>
    <w:rsid w:val="00275A7B"/>
    <w:rsid w:val="00275F53"/>
    <w:rsid w:val="00276053"/>
    <w:rsid w:val="00276521"/>
    <w:rsid w:val="00277361"/>
    <w:rsid w:val="0028141F"/>
    <w:rsid w:val="0028145D"/>
    <w:rsid w:val="00281E98"/>
    <w:rsid w:val="00283027"/>
    <w:rsid w:val="00286E2B"/>
    <w:rsid w:val="00287754"/>
    <w:rsid w:val="00291058"/>
    <w:rsid w:val="00291CE4"/>
    <w:rsid w:val="0029281A"/>
    <w:rsid w:val="00292F16"/>
    <w:rsid w:val="0029564A"/>
    <w:rsid w:val="00296E9D"/>
    <w:rsid w:val="0029708A"/>
    <w:rsid w:val="0029791C"/>
    <w:rsid w:val="002A1A37"/>
    <w:rsid w:val="002A2758"/>
    <w:rsid w:val="002A283D"/>
    <w:rsid w:val="002A41E8"/>
    <w:rsid w:val="002A472D"/>
    <w:rsid w:val="002A7241"/>
    <w:rsid w:val="002B1EB2"/>
    <w:rsid w:val="002B209F"/>
    <w:rsid w:val="002B4EB1"/>
    <w:rsid w:val="002B6A0E"/>
    <w:rsid w:val="002C0BF4"/>
    <w:rsid w:val="002C20D2"/>
    <w:rsid w:val="002C2236"/>
    <w:rsid w:val="002C244A"/>
    <w:rsid w:val="002C3899"/>
    <w:rsid w:val="002C4CCE"/>
    <w:rsid w:val="002D0511"/>
    <w:rsid w:val="002D1468"/>
    <w:rsid w:val="002D3711"/>
    <w:rsid w:val="002D3C8B"/>
    <w:rsid w:val="002D65CC"/>
    <w:rsid w:val="002D6E9A"/>
    <w:rsid w:val="002D7843"/>
    <w:rsid w:val="002E2099"/>
    <w:rsid w:val="002E2807"/>
    <w:rsid w:val="002E2834"/>
    <w:rsid w:val="002E2921"/>
    <w:rsid w:val="002E3519"/>
    <w:rsid w:val="002E51B7"/>
    <w:rsid w:val="002E646F"/>
    <w:rsid w:val="002E7118"/>
    <w:rsid w:val="002E7B1C"/>
    <w:rsid w:val="002F11E5"/>
    <w:rsid w:val="002F165B"/>
    <w:rsid w:val="002F2F4A"/>
    <w:rsid w:val="002F4E4D"/>
    <w:rsid w:val="002F6E8F"/>
    <w:rsid w:val="00303E1C"/>
    <w:rsid w:val="003057D9"/>
    <w:rsid w:val="00305A66"/>
    <w:rsid w:val="003066BF"/>
    <w:rsid w:val="00312064"/>
    <w:rsid w:val="00312722"/>
    <w:rsid w:val="0031310F"/>
    <w:rsid w:val="00320E76"/>
    <w:rsid w:val="00321570"/>
    <w:rsid w:val="00321D5A"/>
    <w:rsid w:val="00325368"/>
    <w:rsid w:val="00330C9E"/>
    <w:rsid w:val="00331378"/>
    <w:rsid w:val="0033176D"/>
    <w:rsid w:val="00331923"/>
    <w:rsid w:val="0033338D"/>
    <w:rsid w:val="0033425C"/>
    <w:rsid w:val="00334C79"/>
    <w:rsid w:val="00335A27"/>
    <w:rsid w:val="00335B0B"/>
    <w:rsid w:val="003365DB"/>
    <w:rsid w:val="003403E4"/>
    <w:rsid w:val="003404BA"/>
    <w:rsid w:val="003410C7"/>
    <w:rsid w:val="00343C42"/>
    <w:rsid w:val="00344970"/>
    <w:rsid w:val="00346259"/>
    <w:rsid w:val="003478F1"/>
    <w:rsid w:val="003504DC"/>
    <w:rsid w:val="0035081D"/>
    <w:rsid w:val="00351012"/>
    <w:rsid w:val="00351229"/>
    <w:rsid w:val="0035158F"/>
    <w:rsid w:val="003546A2"/>
    <w:rsid w:val="00355AE1"/>
    <w:rsid w:val="00357827"/>
    <w:rsid w:val="003612B7"/>
    <w:rsid w:val="003614AA"/>
    <w:rsid w:val="0036283F"/>
    <w:rsid w:val="0036492D"/>
    <w:rsid w:val="00364935"/>
    <w:rsid w:val="00365B87"/>
    <w:rsid w:val="00366DC6"/>
    <w:rsid w:val="0036797B"/>
    <w:rsid w:val="003718D3"/>
    <w:rsid w:val="00371A5A"/>
    <w:rsid w:val="003748AD"/>
    <w:rsid w:val="00377A00"/>
    <w:rsid w:val="00380033"/>
    <w:rsid w:val="0038016C"/>
    <w:rsid w:val="00380A89"/>
    <w:rsid w:val="00382E2D"/>
    <w:rsid w:val="00382EE2"/>
    <w:rsid w:val="00384C59"/>
    <w:rsid w:val="003918A5"/>
    <w:rsid w:val="00391ED9"/>
    <w:rsid w:val="00393FA9"/>
    <w:rsid w:val="003949D9"/>
    <w:rsid w:val="003967C1"/>
    <w:rsid w:val="00396F92"/>
    <w:rsid w:val="00396FB1"/>
    <w:rsid w:val="003A11B6"/>
    <w:rsid w:val="003A23C5"/>
    <w:rsid w:val="003A2807"/>
    <w:rsid w:val="003A29A8"/>
    <w:rsid w:val="003A69BD"/>
    <w:rsid w:val="003B2ABF"/>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37A7"/>
    <w:rsid w:val="003E4400"/>
    <w:rsid w:val="003E470E"/>
    <w:rsid w:val="003E4ADE"/>
    <w:rsid w:val="003E568D"/>
    <w:rsid w:val="003E6FC6"/>
    <w:rsid w:val="003E7DD2"/>
    <w:rsid w:val="003F0670"/>
    <w:rsid w:val="003F1948"/>
    <w:rsid w:val="003F1B79"/>
    <w:rsid w:val="003F1F77"/>
    <w:rsid w:val="003F35D1"/>
    <w:rsid w:val="003F4A23"/>
    <w:rsid w:val="003F55CF"/>
    <w:rsid w:val="003F5B73"/>
    <w:rsid w:val="003F646F"/>
    <w:rsid w:val="003F66AC"/>
    <w:rsid w:val="00400128"/>
    <w:rsid w:val="0040029A"/>
    <w:rsid w:val="004029A6"/>
    <w:rsid w:val="00402F04"/>
    <w:rsid w:val="00404660"/>
    <w:rsid w:val="00404969"/>
    <w:rsid w:val="0040573B"/>
    <w:rsid w:val="00407177"/>
    <w:rsid w:val="00407DAD"/>
    <w:rsid w:val="00413B34"/>
    <w:rsid w:val="00413DD2"/>
    <w:rsid w:val="00414823"/>
    <w:rsid w:val="0041507C"/>
    <w:rsid w:val="00415193"/>
    <w:rsid w:val="00416E40"/>
    <w:rsid w:val="00420B0F"/>
    <w:rsid w:val="00420CE9"/>
    <w:rsid w:val="00421F60"/>
    <w:rsid w:val="004238DA"/>
    <w:rsid w:val="00424E7D"/>
    <w:rsid w:val="004278EE"/>
    <w:rsid w:val="004304A1"/>
    <w:rsid w:val="00430759"/>
    <w:rsid w:val="004308FB"/>
    <w:rsid w:val="004309DD"/>
    <w:rsid w:val="00430D70"/>
    <w:rsid w:val="00431277"/>
    <w:rsid w:val="00432341"/>
    <w:rsid w:val="004328D0"/>
    <w:rsid w:val="004338F6"/>
    <w:rsid w:val="00434697"/>
    <w:rsid w:val="0043657E"/>
    <w:rsid w:val="00436F66"/>
    <w:rsid w:val="004408C5"/>
    <w:rsid w:val="00442383"/>
    <w:rsid w:val="00443E4D"/>
    <w:rsid w:val="00445517"/>
    <w:rsid w:val="00445936"/>
    <w:rsid w:val="00445A95"/>
    <w:rsid w:val="00445E71"/>
    <w:rsid w:val="0044767F"/>
    <w:rsid w:val="004506C3"/>
    <w:rsid w:val="004512B0"/>
    <w:rsid w:val="00451554"/>
    <w:rsid w:val="0045197E"/>
    <w:rsid w:val="00452A34"/>
    <w:rsid w:val="004530B6"/>
    <w:rsid w:val="0045352A"/>
    <w:rsid w:val="00457EC8"/>
    <w:rsid w:val="00461747"/>
    <w:rsid w:val="00461FCE"/>
    <w:rsid w:val="00464E3A"/>
    <w:rsid w:val="004654FC"/>
    <w:rsid w:val="00466872"/>
    <w:rsid w:val="004707C8"/>
    <w:rsid w:val="00471610"/>
    <w:rsid w:val="004716CA"/>
    <w:rsid w:val="004722D5"/>
    <w:rsid w:val="00472487"/>
    <w:rsid w:val="004727FC"/>
    <w:rsid w:val="00474F7D"/>
    <w:rsid w:val="0047596E"/>
    <w:rsid w:val="0047663E"/>
    <w:rsid w:val="004768AA"/>
    <w:rsid w:val="00477219"/>
    <w:rsid w:val="0047798F"/>
    <w:rsid w:val="00481172"/>
    <w:rsid w:val="004870C4"/>
    <w:rsid w:val="004870F6"/>
    <w:rsid w:val="00487CD6"/>
    <w:rsid w:val="004915A6"/>
    <w:rsid w:val="00492AD7"/>
    <w:rsid w:val="0049306C"/>
    <w:rsid w:val="00493A43"/>
    <w:rsid w:val="00494724"/>
    <w:rsid w:val="00494F05"/>
    <w:rsid w:val="004968E5"/>
    <w:rsid w:val="004977B4"/>
    <w:rsid w:val="004A0030"/>
    <w:rsid w:val="004A0AB8"/>
    <w:rsid w:val="004A2F26"/>
    <w:rsid w:val="004A357A"/>
    <w:rsid w:val="004A5686"/>
    <w:rsid w:val="004A6498"/>
    <w:rsid w:val="004A6E76"/>
    <w:rsid w:val="004B4632"/>
    <w:rsid w:val="004B68DD"/>
    <w:rsid w:val="004C10D9"/>
    <w:rsid w:val="004C1449"/>
    <w:rsid w:val="004C6D45"/>
    <w:rsid w:val="004C6D48"/>
    <w:rsid w:val="004C744C"/>
    <w:rsid w:val="004C77B2"/>
    <w:rsid w:val="004D11E3"/>
    <w:rsid w:val="004D26EE"/>
    <w:rsid w:val="004D3335"/>
    <w:rsid w:val="004D6193"/>
    <w:rsid w:val="004E0C23"/>
    <w:rsid w:val="004E1795"/>
    <w:rsid w:val="004E2669"/>
    <w:rsid w:val="004E29FB"/>
    <w:rsid w:val="004E2A77"/>
    <w:rsid w:val="004F0A7D"/>
    <w:rsid w:val="004F182F"/>
    <w:rsid w:val="004F1A79"/>
    <w:rsid w:val="004F205C"/>
    <w:rsid w:val="004F4551"/>
    <w:rsid w:val="004F588F"/>
    <w:rsid w:val="004F6DA6"/>
    <w:rsid w:val="0050380D"/>
    <w:rsid w:val="005041DC"/>
    <w:rsid w:val="00505A8B"/>
    <w:rsid w:val="005064BA"/>
    <w:rsid w:val="00507E7D"/>
    <w:rsid w:val="005113B1"/>
    <w:rsid w:val="0051659D"/>
    <w:rsid w:val="0051715A"/>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0A35"/>
    <w:rsid w:val="00540D0B"/>
    <w:rsid w:val="00542415"/>
    <w:rsid w:val="00542A52"/>
    <w:rsid w:val="00544B50"/>
    <w:rsid w:val="0054671B"/>
    <w:rsid w:val="00546D43"/>
    <w:rsid w:val="00551018"/>
    <w:rsid w:val="005548D4"/>
    <w:rsid w:val="0055618B"/>
    <w:rsid w:val="00556E9B"/>
    <w:rsid w:val="00560838"/>
    <w:rsid w:val="005616ED"/>
    <w:rsid w:val="0056354C"/>
    <w:rsid w:val="005650DD"/>
    <w:rsid w:val="00565791"/>
    <w:rsid w:val="0056723E"/>
    <w:rsid w:val="00570399"/>
    <w:rsid w:val="0057405A"/>
    <w:rsid w:val="00574E81"/>
    <w:rsid w:val="00576909"/>
    <w:rsid w:val="005800AF"/>
    <w:rsid w:val="005814E4"/>
    <w:rsid w:val="00584001"/>
    <w:rsid w:val="00584191"/>
    <w:rsid w:val="005841CE"/>
    <w:rsid w:val="00584B9C"/>
    <w:rsid w:val="00585A00"/>
    <w:rsid w:val="0058669B"/>
    <w:rsid w:val="0058689B"/>
    <w:rsid w:val="005878D7"/>
    <w:rsid w:val="00592EF6"/>
    <w:rsid w:val="00593FB1"/>
    <w:rsid w:val="005947BE"/>
    <w:rsid w:val="005975A8"/>
    <w:rsid w:val="005A0B93"/>
    <w:rsid w:val="005A1E11"/>
    <w:rsid w:val="005A2234"/>
    <w:rsid w:val="005A2D4F"/>
    <w:rsid w:val="005A3C6F"/>
    <w:rsid w:val="005A3C80"/>
    <w:rsid w:val="005A4946"/>
    <w:rsid w:val="005A6598"/>
    <w:rsid w:val="005A6E2B"/>
    <w:rsid w:val="005B07F6"/>
    <w:rsid w:val="005B1420"/>
    <w:rsid w:val="005B179C"/>
    <w:rsid w:val="005B226C"/>
    <w:rsid w:val="005B2864"/>
    <w:rsid w:val="005B3FCB"/>
    <w:rsid w:val="005B402C"/>
    <w:rsid w:val="005B42CE"/>
    <w:rsid w:val="005B518B"/>
    <w:rsid w:val="005B5C2D"/>
    <w:rsid w:val="005B61B6"/>
    <w:rsid w:val="005B65E7"/>
    <w:rsid w:val="005C0877"/>
    <w:rsid w:val="005C3A33"/>
    <w:rsid w:val="005C3ECC"/>
    <w:rsid w:val="005C3ED5"/>
    <w:rsid w:val="005C5206"/>
    <w:rsid w:val="005C569E"/>
    <w:rsid w:val="005C58E1"/>
    <w:rsid w:val="005C733F"/>
    <w:rsid w:val="005D2327"/>
    <w:rsid w:val="005D301C"/>
    <w:rsid w:val="005D3193"/>
    <w:rsid w:val="005D35DA"/>
    <w:rsid w:val="005D5406"/>
    <w:rsid w:val="005D5FFB"/>
    <w:rsid w:val="005D6FD4"/>
    <w:rsid w:val="005D78E6"/>
    <w:rsid w:val="005E0EC1"/>
    <w:rsid w:val="005E14EB"/>
    <w:rsid w:val="005E3912"/>
    <w:rsid w:val="005E4B08"/>
    <w:rsid w:val="005F03D4"/>
    <w:rsid w:val="005F1CB9"/>
    <w:rsid w:val="005F2989"/>
    <w:rsid w:val="005F2A1C"/>
    <w:rsid w:val="005F31F4"/>
    <w:rsid w:val="005F349B"/>
    <w:rsid w:val="005F3ED4"/>
    <w:rsid w:val="0060196E"/>
    <w:rsid w:val="0060202F"/>
    <w:rsid w:val="00602C7C"/>
    <w:rsid w:val="00604F33"/>
    <w:rsid w:val="00606B81"/>
    <w:rsid w:val="00607C19"/>
    <w:rsid w:val="006100FA"/>
    <w:rsid w:val="00613C80"/>
    <w:rsid w:val="00615E12"/>
    <w:rsid w:val="00616691"/>
    <w:rsid w:val="00617512"/>
    <w:rsid w:val="006203E7"/>
    <w:rsid w:val="00621EA9"/>
    <w:rsid w:val="006220D5"/>
    <w:rsid w:val="00622324"/>
    <w:rsid w:val="00623B5A"/>
    <w:rsid w:val="006244FE"/>
    <w:rsid w:val="00625737"/>
    <w:rsid w:val="006258C9"/>
    <w:rsid w:val="00625EB5"/>
    <w:rsid w:val="00626027"/>
    <w:rsid w:val="00626D79"/>
    <w:rsid w:val="00632225"/>
    <w:rsid w:val="006327AB"/>
    <w:rsid w:val="006344EE"/>
    <w:rsid w:val="0063529A"/>
    <w:rsid w:val="006359A8"/>
    <w:rsid w:val="0063730A"/>
    <w:rsid w:val="00640179"/>
    <w:rsid w:val="00643BC3"/>
    <w:rsid w:val="00643EDE"/>
    <w:rsid w:val="00650A31"/>
    <w:rsid w:val="00650D2F"/>
    <w:rsid w:val="0065203D"/>
    <w:rsid w:val="00652509"/>
    <w:rsid w:val="00655FCA"/>
    <w:rsid w:val="0065616E"/>
    <w:rsid w:val="0065684A"/>
    <w:rsid w:val="0066186B"/>
    <w:rsid w:val="00661A90"/>
    <w:rsid w:val="00661D01"/>
    <w:rsid w:val="00663927"/>
    <w:rsid w:val="00663C73"/>
    <w:rsid w:val="00664975"/>
    <w:rsid w:val="00664DA3"/>
    <w:rsid w:val="00665526"/>
    <w:rsid w:val="0066571C"/>
    <w:rsid w:val="00665BBE"/>
    <w:rsid w:val="00666FD6"/>
    <w:rsid w:val="00670CC0"/>
    <w:rsid w:val="00671873"/>
    <w:rsid w:val="006738BE"/>
    <w:rsid w:val="0067435A"/>
    <w:rsid w:val="0067445D"/>
    <w:rsid w:val="00674AB3"/>
    <w:rsid w:val="006755AB"/>
    <w:rsid w:val="00677694"/>
    <w:rsid w:val="006806B0"/>
    <w:rsid w:val="006817A0"/>
    <w:rsid w:val="006827C6"/>
    <w:rsid w:val="00683272"/>
    <w:rsid w:val="00683B4A"/>
    <w:rsid w:val="006843CC"/>
    <w:rsid w:val="006867F0"/>
    <w:rsid w:val="00687BCE"/>
    <w:rsid w:val="00687CE4"/>
    <w:rsid w:val="00691283"/>
    <w:rsid w:val="00691729"/>
    <w:rsid w:val="00693FB1"/>
    <w:rsid w:val="006948F4"/>
    <w:rsid w:val="00695A34"/>
    <w:rsid w:val="006A058F"/>
    <w:rsid w:val="006A18D5"/>
    <w:rsid w:val="006A3371"/>
    <w:rsid w:val="006A761F"/>
    <w:rsid w:val="006B0F5E"/>
    <w:rsid w:val="006B628A"/>
    <w:rsid w:val="006B6298"/>
    <w:rsid w:val="006B76F1"/>
    <w:rsid w:val="006B7C69"/>
    <w:rsid w:val="006C2781"/>
    <w:rsid w:val="006C2A23"/>
    <w:rsid w:val="006C30FC"/>
    <w:rsid w:val="006C5683"/>
    <w:rsid w:val="006C69C1"/>
    <w:rsid w:val="006C75FC"/>
    <w:rsid w:val="006D089E"/>
    <w:rsid w:val="006D0D8D"/>
    <w:rsid w:val="006D25B0"/>
    <w:rsid w:val="006E32DE"/>
    <w:rsid w:val="006E4E42"/>
    <w:rsid w:val="006E5B5E"/>
    <w:rsid w:val="006E7320"/>
    <w:rsid w:val="006F0758"/>
    <w:rsid w:val="006F27FD"/>
    <w:rsid w:val="006F2BF9"/>
    <w:rsid w:val="006F4C74"/>
    <w:rsid w:val="006F7A23"/>
    <w:rsid w:val="006F7EA4"/>
    <w:rsid w:val="006F7ED4"/>
    <w:rsid w:val="007006B5"/>
    <w:rsid w:val="007006EA"/>
    <w:rsid w:val="00701191"/>
    <w:rsid w:val="00701E72"/>
    <w:rsid w:val="00702DE8"/>
    <w:rsid w:val="0070452E"/>
    <w:rsid w:val="007045F9"/>
    <w:rsid w:val="00705002"/>
    <w:rsid w:val="0070525A"/>
    <w:rsid w:val="00705A42"/>
    <w:rsid w:val="00705C10"/>
    <w:rsid w:val="00705E5E"/>
    <w:rsid w:val="007069E3"/>
    <w:rsid w:val="0070712B"/>
    <w:rsid w:val="0070728F"/>
    <w:rsid w:val="00710486"/>
    <w:rsid w:val="007106EC"/>
    <w:rsid w:val="00711336"/>
    <w:rsid w:val="007116B6"/>
    <w:rsid w:val="00713FAF"/>
    <w:rsid w:val="0071520B"/>
    <w:rsid w:val="0071615B"/>
    <w:rsid w:val="007176BA"/>
    <w:rsid w:val="00717D82"/>
    <w:rsid w:val="00717DFC"/>
    <w:rsid w:val="00721722"/>
    <w:rsid w:val="00723C2D"/>
    <w:rsid w:val="007256BE"/>
    <w:rsid w:val="00727134"/>
    <w:rsid w:val="00730C9F"/>
    <w:rsid w:val="00731EBC"/>
    <w:rsid w:val="0073218D"/>
    <w:rsid w:val="00732EA7"/>
    <w:rsid w:val="00733791"/>
    <w:rsid w:val="00735E86"/>
    <w:rsid w:val="007363EA"/>
    <w:rsid w:val="00737AA3"/>
    <w:rsid w:val="00737D84"/>
    <w:rsid w:val="007412B8"/>
    <w:rsid w:val="00742844"/>
    <w:rsid w:val="007444B3"/>
    <w:rsid w:val="00747DAE"/>
    <w:rsid w:val="00751657"/>
    <w:rsid w:val="00752614"/>
    <w:rsid w:val="00756C64"/>
    <w:rsid w:val="00756CCF"/>
    <w:rsid w:val="0075788D"/>
    <w:rsid w:val="00757EF5"/>
    <w:rsid w:val="007622AE"/>
    <w:rsid w:val="00762893"/>
    <w:rsid w:val="007628F9"/>
    <w:rsid w:val="0076471F"/>
    <w:rsid w:val="007660B0"/>
    <w:rsid w:val="0076610D"/>
    <w:rsid w:val="007666DD"/>
    <w:rsid w:val="007668B2"/>
    <w:rsid w:val="00770365"/>
    <w:rsid w:val="007704B8"/>
    <w:rsid w:val="00770FAA"/>
    <w:rsid w:val="00772942"/>
    <w:rsid w:val="0077295F"/>
    <w:rsid w:val="0077442B"/>
    <w:rsid w:val="00774773"/>
    <w:rsid w:val="007755E6"/>
    <w:rsid w:val="0077724D"/>
    <w:rsid w:val="00777370"/>
    <w:rsid w:val="00777E67"/>
    <w:rsid w:val="00780BCF"/>
    <w:rsid w:val="00781212"/>
    <w:rsid w:val="007828B7"/>
    <w:rsid w:val="00783F16"/>
    <w:rsid w:val="00784045"/>
    <w:rsid w:val="00785979"/>
    <w:rsid w:val="00785CC4"/>
    <w:rsid w:val="00785EE7"/>
    <w:rsid w:val="0079036C"/>
    <w:rsid w:val="00791E8C"/>
    <w:rsid w:val="00793B23"/>
    <w:rsid w:val="007944E6"/>
    <w:rsid w:val="007956E7"/>
    <w:rsid w:val="00797FA0"/>
    <w:rsid w:val="007A28D9"/>
    <w:rsid w:val="007A28E5"/>
    <w:rsid w:val="007A2B66"/>
    <w:rsid w:val="007A353C"/>
    <w:rsid w:val="007A383D"/>
    <w:rsid w:val="007A49D6"/>
    <w:rsid w:val="007A4EA0"/>
    <w:rsid w:val="007A6670"/>
    <w:rsid w:val="007B24F4"/>
    <w:rsid w:val="007B32AD"/>
    <w:rsid w:val="007B47A9"/>
    <w:rsid w:val="007B5D75"/>
    <w:rsid w:val="007B6439"/>
    <w:rsid w:val="007B7701"/>
    <w:rsid w:val="007B7978"/>
    <w:rsid w:val="007B7BAA"/>
    <w:rsid w:val="007C038F"/>
    <w:rsid w:val="007C139C"/>
    <w:rsid w:val="007C16E1"/>
    <w:rsid w:val="007C1751"/>
    <w:rsid w:val="007C1E6E"/>
    <w:rsid w:val="007C2180"/>
    <w:rsid w:val="007C22FB"/>
    <w:rsid w:val="007C27BC"/>
    <w:rsid w:val="007C2EE8"/>
    <w:rsid w:val="007C3182"/>
    <w:rsid w:val="007C51F2"/>
    <w:rsid w:val="007C543B"/>
    <w:rsid w:val="007C55A4"/>
    <w:rsid w:val="007C611A"/>
    <w:rsid w:val="007C6489"/>
    <w:rsid w:val="007D0255"/>
    <w:rsid w:val="007D3F02"/>
    <w:rsid w:val="007D494D"/>
    <w:rsid w:val="007D5069"/>
    <w:rsid w:val="007D519F"/>
    <w:rsid w:val="007D5B2F"/>
    <w:rsid w:val="007D7461"/>
    <w:rsid w:val="007E210F"/>
    <w:rsid w:val="007E2BFA"/>
    <w:rsid w:val="007E2FDB"/>
    <w:rsid w:val="007E39E7"/>
    <w:rsid w:val="007E5595"/>
    <w:rsid w:val="007E578F"/>
    <w:rsid w:val="007E5EB1"/>
    <w:rsid w:val="007E6ACB"/>
    <w:rsid w:val="007F101A"/>
    <w:rsid w:val="007F1250"/>
    <w:rsid w:val="007F2C52"/>
    <w:rsid w:val="007F3638"/>
    <w:rsid w:val="007F3F88"/>
    <w:rsid w:val="00802F98"/>
    <w:rsid w:val="00804D2C"/>
    <w:rsid w:val="00805F83"/>
    <w:rsid w:val="00806091"/>
    <w:rsid w:val="008068AF"/>
    <w:rsid w:val="00810FE4"/>
    <w:rsid w:val="0081273B"/>
    <w:rsid w:val="00812B9F"/>
    <w:rsid w:val="008135DF"/>
    <w:rsid w:val="008136F1"/>
    <w:rsid w:val="008138CF"/>
    <w:rsid w:val="0081486E"/>
    <w:rsid w:val="0081704B"/>
    <w:rsid w:val="0082303E"/>
    <w:rsid w:val="00825D7C"/>
    <w:rsid w:val="0082600C"/>
    <w:rsid w:val="00827414"/>
    <w:rsid w:val="008306EF"/>
    <w:rsid w:val="00831E99"/>
    <w:rsid w:val="008343AC"/>
    <w:rsid w:val="008373DD"/>
    <w:rsid w:val="00837433"/>
    <w:rsid w:val="0084164C"/>
    <w:rsid w:val="008422A5"/>
    <w:rsid w:val="00845057"/>
    <w:rsid w:val="008467F1"/>
    <w:rsid w:val="008468BB"/>
    <w:rsid w:val="00846DAB"/>
    <w:rsid w:val="008506FF"/>
    <w:rsid w:val="00851238"/>
    <w:rsid w:val="00851B19"/>
    <w:rsid w:val="00851D86"/>
    <w:rsid w:val="00852A98"/>
    <w:rsid w:val="00853F52"/>
    <w:rsid w:val="00854284"/>
    <w:rsid w:val="008544A7"/>
    <w:rsid w:val="00854E6C"/>
    <w:rsid w:val="00855D95"/>
    <w:rsid w:val="008566D6"/>
    <w:rsid w:val="00856A61"/>
    <w:rsid w:val="00857725"/>
    <w:rsid w:val="00860AA9"/>
    <w:rsid w:val="00862EA3"/>
    <w:rsid w:val="00863612"/>
    <w:rsid w:val="0086391D"/>
    <w:rsid w:val="00863D69"/>
    <w:rsid w:val="0086420F"/>
    <w:rsid w:val="00864DCD"/>
    <w:rsid w:val="00865A3C"/>
    <w:rsid w:val="00866C37"/>
    <w:rsid w:val="0087049A"/>
    <w:rsid w:val="00870B8C"/>
    <w:rsid w:val="00871210"/>
    <w:rsid w:val="008718F4"/>
    <w:rsid w:val="0087190C"/>
    <w:rsid w:val="00871B10"/>
    <w:rsid w:val="0087257D"/>
    <w:rsid w:val="0087359A"/>
    <w:rsid w:val="00874324"/>
    <w:rsid w:val="008748A3"/>
    <w:rsid w:val="008825CC"/>
    <w:rsid w:val="0088299D"/>
    <w:rsid w:val="00884AE4"/>
    <w:rsid w:val="008865A4"/>
    <w:rsid w:val="00887103"/>
    <w:rsid w:val="008913A9"/>
    <w:rsid w:val="00892367"/>
    <w:rsid w:val="00892AD7"/>
    <w:rsid w:val="008931E4"/>
    <w:rsid w:val="00893884"/>
    <w:rsid w:val="00893D1B"/>
    <w:rsid w:val="00894352"/>
    <w:rsid w:val="00894724"/>
    <w:rsid w:val="00894B01"/>
    <w:rsid w:val="0089509A"/>
    <w:rsid w:val="00895264"/>
    <w:rsid w:val="00895FC8"/>
    <w:rsid w:val="00897536"/>
    <w:rsid w:val="00897AC9"/>
    <w:rsid w:val="008A1116"/>
    <w:rsid w:val="008A1EF5"/>
    <w:rsid w:val="008A2D10"/>
    <w:rsid w:val="008A6971"/>
    <w:rsid w:val="008A768E"/>
    <w:rsid w:val="008A76B7"/>
    <w:rsid w:val="008B0B3B"/>
    <w:rsid w:val="008B774A"/>
    <w:rsid w:val="008C2305"/>
    <w:rsid w:val="008C26DE"/>
    <w:rsid w:val="008C46D5"/>
    <w:rsid w:val="008C4E0D"/>
    <w:rsid w:val="008C6FFB"/>
    <w:rsid w:val="008D069D"/>
    <w:rsid w:val="008D0790"/>
    <w:rsid w:val="008D1006"/>
    <w:rsid w:val="008D1FA4"/>
    <w:rsid w:val="008D2427"/>
    <w:rsid w:val="008D3557"/>
    <w:rsid w:val="008D434B"/>
    <w:rsid w:val="008D4CC3"/>
    <w:rsid w:val="008D5A8D"/>
    <w:rsid w:val="008D5F54"/>
    <w:rsid w:val="008D6811"/>
    <w:rsid w:val="008D6FED"/>
    <w:rsid w:val="008E02E0"/>
    <w:rsid w:val="008E1F05"/>
    <w:rsid w:val="008E64AD"/>
    <w:rsid w:val="008E6A45"/>
    <w:rsid w:val="008F108B"/>
    <w:rsid w:val="008F118C"/>
    <w:rsid w:val="008F12F4"/>
    <w:rsid w:val="008F1896"/>
    <w:rsid w:val="008F238C"/>
    <w:rsid w:val="008F28C7"/>
    <w:rsid w:val="008F625F"/>
    <w:rsid w:val="008F7317"/>
    <w:rsid w:val="0090152E"/>
    <w:rsid w:val="00901CBF"/>
    <w:rsid w:val="0090248C"/>
    <w:rsid w:val="00902B65"/>
    <w:rsid w:val="009031FC"/>
    <w:rsid w:val="00905E51"/>
    <w:rsid w:val="009060CA"/>
    <w:rsid w:val="00907930"/>
    <w:rsid w:val="00910384"/>
    <w:rsid w:val="009115E2"/>
    <w:rsid w:val="00912870"/>
    <w:rsid w:val="00912B91"/>
    <w:rsid w:val="009142CD"/>
    <w:rsid w:val="009145CB"/>
    <w:rsid w:val="009152A0"/>
    <w:rsid w:val="00920A3F"/>
    <w:rsid w:val="00920D74"/>
    <w:rsid w:val="009220A2"/>
    <w:rsid w:val="009226EB"/>
    <w:rsid w:val="00922E46"/>
    <w:rsid w:val="00924ACD"/>
    <w:rsid w:val="009254D3"/>
    <w:rsid w:val="009269B5"/>
    <w:rsid w:val="009273CA"/>
    <w:rsid w:val="0092743C"/>
    <w:rsid w:val="009303E1"/>
    <w:rsid w:val="00930761"/>
    <w:rsid w:val="00935D41"/>
    <w:rsid w:val="00936DE3"/>
    <w:rsid w:val="00937040"/>
    <w:rsid w:val="00941CD2"/>
    <w:rsid w:val="00943303"/>
    <w:rsid w:val="009438C6"/>
    <w:rsid w:val="00943B2C"/>
    <w:rsid w:val="00945648"/>
    <w:rsid w:val="009456A8"/>
    <w:rsid w:val="00945CB6"/>
    <w:rsid w:val="00946EA8"/>
    <w:rsid w:val="00947BC4"/>
    <w:rsid w:val="009507F6"/>
    <w:rsid w:val="00950A5E"/>
    <w:rsid w:val="0095156D"/>
    <w:rsid w:val="00952B2D"/>
    <w:rsid w:val="00953302"/>
    <w:rsid w:val="00954BF0"/>
    <w:rsid w:val="0095624B"/>
    <w:rsid w:val="009562A5"/>
    <w:rsid w:val="00957E24"/>
    <w:rsid w:val="009644FB"/>
    <w:rsid w:val="00964BAF"/>
    <w:rsid w:val="00965B50"/>
    <w:rsid w:val="00965E7E"/>
    <w:rsid w:val="00965F6B"/>
    <w:rsid w:val="009670AF"/>
    <w:rsid w:val="009707C0"/>
    <w:rsid w:val="00970D4D"/>
    <w:rsid w:val="00971736"/>
    <w:rsid w:val="0097210C"/>
    <w:rsid w:val="009757F2"/>
    <w:rsid w:val="00983838"/>
    <w:rsid w:val="00985522"/>
    <w:rsid w:val="009857E8"/>
    <w:rsid w:val="00985B4D"/>
    <w:rsid w:val="00986672"/>
    <w:rsid w:val="009872D7"/>
    <w:rsid w:val="00987652"/>
    <w:rsid w:val="00993BC2"/>
    <w:rsid w:val="00994493"/>
    <w:rsid w:val="00994E33"/>
    <w:rsid w:val="00996591"/>
    <w:rsid w:val="00997707"/>
    <w:rsid w:val="009A0F91"/>
    <w:rsid w:val="009A3547"/>
    <w:rsid w:val="009A57A0"/>
    <w:rsid w:val="009A7C0F"/>
    <w:rsid w:val="009B217B"/>
    <w:rsid w:val="009B26DD"/>
    <w:rsid w:val="009B6D28"/>
    <w:rsid w:val="009C0313"/>
    <w:rsid w:val="009C056C"/>
    <w:rsid w:val="009C1BA0"/>
    <w:rsid w:val="009C1F97"/>
    <w:rsid w:val="009C7330"/>
    <w:rsid w:val="009D1289"/>
    <w:rsid w:val="009D1ECF"/>
    <w:rsid w:val="009D394B"/>
    <w:rsid w:val="009D5175"/>
    <w:rsid w:val="009D69AE"/>
    <w:rsid w:val="009E07AC"/>
    <w:rsid w:val="009E0B04"/>
    <w:rsid w:val="009E1E96"/>
    <w:rsid w:val="009E25E5"/>
    <w:rsid w:val="009E37B5"/>
    <w:rsid w:val="009E43E3"/>
    <w:rsid w:val="009E5E62"/>
    <w:rsid w:val="009E5E74"/>
    <w:rsid w:val="009E63D0"/>
    <w:rsid w:val="009E646A"/>
    <w:rsid w:val="009E66B2"/>
    <w:rsid w:val="009E6B20"/>
    <w:rsid w:val="009E6C63"/>
    <w:rsid w:val="009F09A6"/>
    <w:rsid w:val="009F105F"/>
    <w:rsid w:val="009F1451"/>
    <w:rsid w:val="009F2204"/>
    <w:rsid w:val="009F6036"/>
    <w:rsid w:val="009F6A26"/>
    <w:rsid w:val="009F6E58"/>
    <w:rsid w:val="00A00432"/>
    <w:rsid w:val="00A01A51"/>
    <w:rsid w:val="00A01B36"/>
    <w:rsid w:val="00A01BBB"/>
    <w:rsid w:val="00A0365C"/>
    <w:rsid w:val="00A03AFF"/>
    <w:rsid w:val="00A05E82"/>
    <w:rsid w:val="00A06D0E"/>
    <w:rsid w:val="00A077B3"/>
    <w:rsid w:val="00A12143"/>
    <w:rsid w:val="00A1214F"/>
    <w:rsid w:val="00A12409"/>
    <w:rsid w:val="00A12544"/>
    <w:rsid w:val="00A13B8E"/>
    <w:rsid w:val="00A15196"/>
    <w:rsid w:val="00A157B1"/>
    <w:rsid w:val="00A17F65"/>
    <w:rsid w:val="00A224FA"/>
    <w:rsid w:val="00A22DEA"/>
    <w:rsid w:val="00A2335F"/>
    <w:rsid w:val="00A24656"/>
    <w:rsid w:val="00A24EEB"/>
    <w:rsid w:val="00A251C9"/>
    <w:rsid w:val="00A2568B"/>
    <w:rsid w:val="00A4456B"/>
    <w:rsid w:val="00A44DF5"/>
    <w:rsid w:val="00A44FDF"/>
    <w:rsid w:val="00A46B90"/>
    <w:rsid w:val="00A50871"/>
    <w:rsid w:val="00A52ACE"/>
    <w:rsid w:val="00A551C7"/>
    <w:rsid w:val="00A61521"/>
    <w:rsid w:val="00A619C6"/>
    <w:rsid w:val="00A630AD"/>
    <w:rsid w:val="00A64FEF"/>
    <w:rsid w:val="00A65874"/>
    <w:rsid w:val="00A676F2"/>
    <w:rsid w:val="00A70839"/>
    <w:rsid w:val="00A71239"/>
    <w:rsid w:val="00A72563"/>
    <w:rsid w:val="00A72AC1"/>
    <w:rsid w:val="00A733E5"/>
    <w:rsid w:val="00A73F1F"/>
    <w:rsid w:val="00A75DAD"/>
    <w:rsid w:val="00A75F5C"/>
    <w:rsid w:val="00A775CA"/>
    <w:rsid w:val="00A77BE4"/>
    <w:rsid w:val="00A80FE9"/>
    <w:rsid w:val="00A8393D"/>
    <w:rsid w:val="00A83EAE"/>
    <w:rsid w:val="00A86A12"/>
    <w:rsid w:val="00A877BD"/>
    <w:rsid w:val="00A910AE"/>
    <w:rsid w:val="00A92002"/>
    <w:rsid w:val="00A9395B"/>
    <w:rsid w:val="00A94254"/>
    <w:rsid w:val="00A95764"/>
    <w:rsid w:val="00A95E27"/>
    <w:rsid w:val="00A96C63"/>
    <w:rsid w:val="00AA02E0"/>
    <w:rsid w:val="00AA04A6"/>
    <w:rsid w:val="00AA28FD"/>
    <w:rsid w:val="00AA2D4B"/>
    <w:rsid w:val="00AA575F"/>
    <w:rsid w:val="00AA6C00"/>
    <w:rsid w:val="00AB1183"/>
    <w:rsid w:val="00AB2B43"/>
    <w:rsid w:val="00AB3CF2"/>
    <w:rsid w:val="00AB4CE3"/>
    <w:rsid w:val="00AB53EF"/>
    <w:rsid w:val="00AB665A"/>
    <w:rsid w:val="00AB70B6"/>
    <w:rsid w:val="00AB77CE"/>
    <w:rsid w:val="00AC0A54"/>
    <w:rsid w:val="00AC1428"/>
    <w:rsid w:val="00AC404B"/>
    <w:rsid w:val="00AC405F"/>
    <w:rsid w:val="00AC511C"/>
    <w:rsid w:val="00AC6DC9"/>
    <w:rsid w:val="00AC7542"/>
    <w:rsid w:val="00AD022E"/>
    <w:rsid w:val="00AD2B0A"/>
    <w:rsid w:val="00AD2D38"/>
    <w:rsid w:val="00AD486D"/>
    <w:rsid w:val="00AD5B3B"/>
    <w:rsid w:val="00AD6415"/>
    <w:rsid w:val="00AD7268"/>
    <w:rsid w:val="00AE031F"/>
    <w:rsid w:val="00AE18C2"/>
    <w:rsid w:val="00AE1BBD"/>
    <w:rsid w:val="00AE2146"/>
    <w:rsid w:val="00AE27F0"/>
    <w:rsid w:val="00AE460D"/>
    <w:rsid w:val="00AE7B39"/>
    <w:rsid w:val="00AF1BE2"/>
    <w:rsid w:val="00AF34CF"/>
    <w:rsid w:val="00AF5D42"/>
    <w:rsid w:val="00AF60B7"/>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00C"/>
    <w:rsid w:val="00B21451"/>
    <w:rsid w:val="00B24A04"/>
    <w:rsid w:val="00B256AB"/>
    <w:rsid w:val="00B26A0A"/>
    <w:rsid w:val="00B2705F"/>
    <w:rsid w:val="00B27100"/>
    <w:rsid w:val="00B27310"/>
    <w:rsid w:val="00B275F6"/>
    <w:rsid w:val="00B27E0B"/>
    <w:rsid w:val="00B33629"/>
    <w:rsid w:val="00B34117"/>
    <w:rsid w:val="00B35420"/>
    <w:rsid w:val="00B35A59"/>
    <w:rsid w:val="00B36AB3"/>
    <w:rsid w:val="00B36B66"/>
    <w:rsid w:val="00B379C2"/>
    <w:rsid w:val="00B4070C"/>
    <w:rsid w:val="00B41025"/>
    <w:rsid w:val="00B41D4A"/>
    <w:rsid w:val="00B42061"/>
    <w:rsid w:val="00B43FA7"/>
    <w:rsid w:val="00B459AB"/>
    <w:rsid w:val="00B464EF"/>
    <w:rsid w:val="00B46601"/>
    <w:rsid w:val="00B50605"/>
    <w:rsid w:val="00B527FA"/>
    <w:rsid w:val="00B531D0"/>
    <w:rsid w:val="00B5340E"/>
    <w:rsid w:val="00B549CB"/>
    <w:rsid w:val="00B56E46"/>
    <w:rsid w:val="00B61378"/>
    <w:rsid w:val="00B619F3"/>
    <w:rsid w:val="00B62564"/>
    <w:rsid w:val="00B629E4"/>
    <w:rsid w:val="00B64AE5"/>
    <w:rsid w:val="00B6694B"/>
    <w:rsid w:val="00B6776B"/>
    <w:rsid w:val="00B677D7"/>
    <w:rsid w:val="00B67C18"/>
    <w:rsid w:val="00B71488"/>
    <w:rsid w:val="00B724E5"/>
    <w:rsid w:val="00B725A0"/>
    <w:rsid w:val="00B73171"/>
    <w:rsid w:val="00B74174"/>
    <w:rsid w:val="00B74807"/>
    <w:rsid w:val="00B762A5"/>
    <w:rsid w:val="00B76670"/>
    <w:rsid w:val="00B77890"/>
    <w:rsid w:val="00B77EB9"/>
    <w:rsid w:val="00B800C9"/>
    <w:rsid w:val="00B81F8B"/>
    <w:rsid w:val="00B835A2"/>
    <w:rsid w:val="00B83F45"/>
    <w:rsid w:val="00B92F96"/>
    <w:rsid w:val="00B92FEC"/>
    <w:rsid w:val="00B93019"/>
    <w:rsid w:val="00B93201"/>
    <w:rsid w:val="00B94B5B"/>
    <w:rsid w:val="00B95498"/>
    <w:rsid w:val="00B95E85"/>
    <w:rsid w:val="00B96BDF"/>
    <w:rsid w:val="00B97138"/>
    <w:rsid w:val="00BA0306"/>
    <w:rsid w:val="00BA10EE"/>
    <w:rsid w:val="00BA3054"/>
    <w:rsid w:val="00BA3858"/>
    <w:rsid w:val="00BA5399"/>
    <w:rsid w:val="00BA56B4"/>
    <w:rsid w:val="00BB089C"/>
    <w:rsid w:val="00BB0D86"/>
    <w:rsid w:val="00BB1D4C"/>
    <w:rsid w:val="00BB3E88"/>
    <w:rsid w:val="00BB4511"/>
    <w:rsid w:val="00BB47AA"/>
    <w:rsid w:val="00BB50D5"/>
    <w:rsid w:val="00BB772F"/>
    <w:rsid w:val="00BC25DD"/>
    <w:rsid w:val="00BC31AF"/>
    <w:rsid w:val="00BC328B"/>
    <w:rsid w:val="00BC5502"/>
    <w:rsid w:val="00BC6E83"/>
    <w:rsid w:val="00BD0140"/>
    <w:rsid w:val="00BD0260"/>
    <w:rsid w:val="00BD0311"/>
    <w:rsid w:val="00BD1987"/>
    <w:rsid w:val="00BD2491"/>
    <w:rsid w:val="00BD34AC"/>
    <w:rsid w:val="00BD3D4A"/>
    <w:rsid w:val="00BD4CCA"/>
    <w:rsid w:val="00BD593D"/>
    <w:rsid w:val="00BD6684"/>
    <w:rsid w:val="00BD6A10"/>
    <w:rsid w:val="00BD7AE2"/>
    <w:rsid w:val="00BE1A76"/>
    <w:rsid w:val="00BE1CDD"/>
    <w:rsid w:val="00BE1E10"/>
    <w:rsid w:val="00BE26FA"/>
    <w:rsid w:val="00BE29B7"/>
    <w:rsid w:val="00BE3A64"/>
    <w:rsid w:val="00BE4A4C"/>
    <w:rsid w:val="00BE4B7D"/>
    <w:rsid w:val="00BE6A28"/>
    <w:rsid w:val="00BE6B94"/>
    <w:rsid w:val="00BE7546"/>
    <w:rsid w:val="00BF046F"/>
    <w:rsid w:val="00BF10BD"/>
    <w:rsid w:val="00BF138C"/>
    <w:rsid w:val="00BF17AA"/>
    <w:rsid w:val="00BF3057"/>
    <w:rsid w:val="00BF3EDA"/>
    <w:rsid w:val="00BF404D"/>
    <w:rsid w:val="00BF44BD"/>
    <w:rsid w:val="00BF5049"/>
    <w:rsid w:val="00C000CC"/>
    <w:rsid w:val="00C004F9"/>
    <w:rsid w:val="00C00603"/>
    <w:rsid w:val="00C00D57"/>
    <w:rsid w:val="00C029C8"/>
    <w:rsid w:val="00C03454"/>
    <w:rsid w:val="00C0422B"/>
    <w:rsid w:val="00C049A4"/>
    <w:rsid w:val="00C04D4C"/>
    <w:rsid w:val="00C06534"/>
    <w:rsid w:val="00C1148B"/>
    <w:rsid w:val="00C1208B"/>
    <w:rsid w:val="00C120B2"/>
    <w:rsid w:val="00C12883"/>
    <w:rsid w:val="00C14A03"/>
    <w:rsid w:val="00C14DF2"/>
    <w:rsid w:val="00C1560C"/>
    <w:rsid w:val="00C15865"/>
    <w:rsid w:val="00C160F2"/>
    <w:rsid w:val="00C169D2"/>
    <w:rsid w:val="00C16AF0"/>
    <w:rsid w:val="00C2162F"/>
    <w:rsid w:val="00C21B61"/>
    <w:rsid w:val="00C21D46"/>
    <w:rsid w:val="00C22937"/>
    <w:rsid w:val="00C22D66"/>
    <w:rsid w:val="00C233BD"/>
    <w:rsid w:val="00C2453A"/>
    <w:rsid w:val="00C268F3"/>
    <w:rsid w:val="00C319CC"/>
    <w:rsid w:val="00C32A6A"/>
    <w:rsid w:val="00C333FD"/>
    <w:rsid w:val="00C35740"/>
    <w:rsid w:val="00C36796"/>
    <w:rsid w:val="00C36910"/>
    <w:rsid w:val="00C369E6"/>
    <w:rsid w:val="00C373C1"/>
    <w:rsid w:val="00C401C3"/>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DDE"/>
    <w:rsid w:val="00C67FBF"/>
    <w:rsid w:val="00C7000F"/>
    <w:rsid w:val="00C71AB6"/>
    <w:rsid w:val="00C71FD9"/>
    <w:rsid w:val="00C731F1"/>
    <w:rsid w:val="00C801A8"/>
    <w:rsid w:val="00C81736"/>
    <w:rsid w:val="00C8243A"/>
    <w:rsid w:val="00C83E3B"/>
    <w:rsid w:val="00C844B4"/>
    <w:rsid w:val="00C84DF5"/>
    <w:rsid w:val="00C857D9"/>
    <w:rsid w:val="00C866DC"/>
    <w:rsid w:val="00C86965"/>
    <w:rsid w:val="00C9084A"/>
    <w:rsid w:val="00C90B36"/>
    <w:rsid w:val="00C92622"/>
    <w:rsid w:val="00C92CE1"/>
    <w:rsid w:val="00C94465"/>
    <w:rsid w:val="00C9713D"/>
    <w:rsid w:val="00CA2C78"/>
    <w:rsid w:val="00CA3181"/>
    <w:rsid w:val="00CA44EA"/>
    <w:rsid w:val="00CA4565"/>
    <w:rsid w:val="00CA4604"/>
    <w:rsid w:val="00CA6A1B"/>
    <w:rsid w:val="00CA6DC2"/>
    <w:rsid w:val="00CA7F1B"/>
    <w:rsid w:val="00CB3D76"/>
    <w:rsid w:val="00CB454A"/>
    <w:rsid w:val="00CB54AC"/>
    <w:rsid w:val="00CB6F6D"/>
    <w:rsid w:val="00CC1710"/>
    <w:rsid w:val="00CC1EC9"/>
    <w:rsid w:val="00CC3DD8"/>
    <w:rsid w:val="00CC5370"/>
    <w:rsid w:val="00CC5A8E"/>
    <w:rsid w:val="00CC6154"/>
    <w:rsid w:val="00CC6A19"/>
    <w:rsid w:val="00CD0778"/>
    <w:rsid w:val="00CD0B10"/>
    <w:rsid w:val="00CD0FBF"/>
    <w:rsid w:val="00CD3A4E"/>
    <w:rsid w:val="00CD3B0D"/>
    <w:rsid w:val="00CD5AD1"/>
    <w:rsid w:val="00CD5D5A"/>
    <w:rsid w:val="00CD6E6A"/>
    <w:rsid w:val="00CE1405"/>
    <w:rsid w:val="00CE44AE"/>
    <w:rsid w:val="00CE6C53"/>
    <w:rsid w:val="00CE7DF8"/>
    <w:rsid w:val="00CF0AB4"/>
    <w:rsid w:val="00CF231D"/>
    <w:rsid w:val="00CF6601"/>
    <w:rsid w:val="00D01FD0"/>
    <w:rsid w:val="00D0269B"/>
    <w:rsid w:val="00D0292B"/>
    <w:rsid w:val="00D03296"/>
    <w:rsid w:val="00D05CCE"/>
    <w:rsid w:val="00D06616"/>
    <w:rsid w:val="00D06634"/>
    <w:rsid w:val="00D069C7"/>
    <w:rsid w:val="00D078EE"/>
    <w:rsid w:val="00D125C1"/>
    <w:rsid w:val="00D12C4A"/>
    <w:rsid w:val="00D137A8"/>
    <w:rsid w:val="00D16B51"/>
    <w:rsid w:val="00D178F4"/>
    <w:rsid w:val="00D21EB3"/>
    <w:rsid w:val="00D21F52"/>
    <w:rsid w:val="00D22A1F"/>
    <w:rsid w:val="00D2392D"/>
    <w:rsid w:val="00D23D19"/>
    <w:rsid w:val="00D24102"/>
    <w:rsid w:val="00D248EF"/>
    <w:rsid w:val="00D25746"/>
    <w:rsid w:val="00D25B79"/>
    <w:rsid w:val="00D25C9C"/>
    <w:rsid w:val="00D2611B"/>
    <w:rsid w:val="00D26883"/>
    <w:rsid w:val="00D275BC"/>
    <w:rsid w:val="00D30438"/>
    <w:rsid w:val="00D30F20"/>
    <w:rsid w:val="00D31EB4"/>
    <w:rsid w:val="00D327F7"/>
    <w:rsid w:val="00D331F0"/>
    <w:rsid w:val="00D34594"/>
    <w:rsid w:val="00D34F41"/>
    <w:rsid w:val="00D37F71"/>
    <w:rsid w:val="00D417E9"/>
    <w:rsid w:val="00D43017"/>
    <w:rsid w:val="00D448A5"/>
    <w:rsid w:val="00D5034E"/>
    <w:rsid w:val="00D533A0"/>
    <w:rsid w:val="00D5464D"/>
    <w:rsid w:val="00D5520D"/>
    <w:rsid w:val="00D5583C"/>
    <w:rsid w:val="00D61ED3"/>
    <w:rsid w:val="00D641F1"/>
    <w:rsid w:val="00D6542F"/>
    <w:rsid w:val="00D66256"/>
    <w:rsid w:val="00D66E6F"/>
    <w:rsid w:val="00D71625"/>
    <w:rsid w:val="00D72C2F"/>
    <w:rsid w:val="00D77D10"/>
    <w:rsid w:val="00D80739"/>
    <w:rsid w:val="00D821D9"/>
    <w:rsid w:val="00D82954"/>
    <w:rsid w:val="00D84B0A"/>
    <w:rsid w:val="00D84CEF"/>
    <w:rsid w:val="00D84EB1"/>
    <w:rsid w:val="00D86E7B"/>
    <w:rsid w:val="00D92A1A"/>
    <w:rsid w:val="00D93708"/>
    <w:rsid w:val="00D93F54"/>
    <w:rsid w:val="00D94437"/>
    <w:rsid w:val="00DA2817"/>
    <w:rsid w:val="00DA3799"/>
    <w:rsid w:val="00DA4494"/>
    <w:rsid w:val="00DA4D02"/>
    <w:rsid w:val="00DA5F8A"/>
    <w:rsid w:val="00DA76B3"/>
    <w:rsid w:val="00DB030F"/>
    <w:rsid w:val="00DB0808"/>
    <w:rsid w:val="00DB0977"/>
    <w:rsid w:val="00DB1132"/>
    <w:rsid w:val="00DB236C"/>
    <w:rsid w:val="00DB3499"/>
    <w:rsid w:val="00DB362A"/>
    <w:rsid w:val="00DB65DD"/>
    <w:rsid w:val="00DC0774"/>
    <w:rsid w:val="00DC0CC4"/>
    <w:rsid w:val="00DC5A4F"/>
    <w:rsid w:val="00DC6F6B"/>
    <w:rsid w:val="00DC7B01"/>
    <w:rsid w:val="00DD0B0C"/>
    <w:rsid w:val="00DD143A"/>
    <w:rsid w:val="00DD3AB0"/>
    <w:rsid w:val="00DD484A"/>
    <w:rsid w:val="00DD49BD"/>
    <w:rsid w:val="00DD56F6"/>
    <w:rsid w:val="00DD6720"/>
    <w:rsid w:val="00DD764A"/>
    <w:rsid w:val="00DE02FC"/>
    <w:rsid w:val="00DE39AA"/>
    <w:rsid w:val="00DE524C"/>
    <w:rsid w:val="00DE5CF4"/>
    <w:rsid w:val="00DE7F64"/>
    <w:rsid w:val="00DF0B11"/>
    <w:rsid w:val="00DF2847"/>
    <w:rsid w:val="00DF2C3B"/>
    <w:rsid w:val="00DF3774"/>
    <w:rsid w:val="00DF38A4"/>
    <w:rsid w:val="00DF4C2F"/>
    <w:rsid w:val="00DF67DE"/>
    <w:rsid w:val="00DF684F"/>
    <w:rsid w:val="00DF7F70"/>
    <w:rsid w:val="00E023EF"/>
    <w:rsid w:val="00E02BDD"/>
    <w:rsid w:val="00E03442"/>
    <w:rsid w:val="00E03647"/>
    <w:rsid w:val="00E056FE"/>
    <w:rsid w:val="00E05B67"/>
    <w:rsid w:val="00E07325"/>
    <w:rsid w:val="00E107E2"/>
    <w:rsid w:val="00E1169D"/>
    <w:rsid w:val="00E130AB"/>
    <w:rsid w:val="00E13F50"/>
    <w:rsid w:val="00E17BDF"/>
    <w:rsid w:val="00E2104A"/>
    <w:rsid w:val="00E233A9"/>
    <w:rsid w:val="00E23E76"/>
    <w:rsid w:val="00E24C0D"/>
    <w:rsid w:val="00E27B60"/>
    <w:rsid w:val="00E32EF7"/>
    <w:rsid w:val="00E34EFD"/>
    <w:rsid w:val="00E357F3"/>
    <w:rsid w:val="00E3792C"/>
    <w:rsid w:val="00E404A2"/>
    <w:rsid w:val="00E4256A"/>
    <w:rsid w:val="00E42656"/>
    <w:rsid w:val="00E42BE9"/>
    <w:rsid w:val="00E44043"/>
    <w:rsid w:val="00E441C4"/>
    <w:rsid w:val="00E45403"/>
    <w:rsid w:val="00E458FD"/>
    <w:rsid w:val="00E45A83"/>
    <w:rsid w:val="00E4700C"/>
    <w:rsid w:val="00E47BA5"/>
    <w:rsid w:val="00E50874"/>
    <w:rsid w:val="00E5092D"/>
    <w:rsid w:val="00E50997"/>
    <w:rsid w:val="00E50B32"/>
    <w:rsid w:val="00E52305"/>
    <w:rsid w:val="00E52380"/>
    <w:rsid w:val="00E546F1"/>
    <w:rsid w:val="00E5771A"/>
    <w:rsid w:val="00E60096"/>
    <w:rsid w:val="00E6305B"/>
    <w:rsid w:val="00E63957"/>
    <w:rsid w:val="00E64D72"/>
    <w:rsid w:val="00E663F2"/>
    <w:rsid w:val="00E66432"/>
    <w:rsid w:val="00E667F5"/>
    <w:rsid w:val="00E66B86"/>
    <w:rsid w:val="00E66FD7"/>
    <w:rsid w:val="00E776E1"/>
    <w:rsid w:val="00E8475F"/>
    <w:rsid w:val="00E8524B"/>
    <w:rsid w:val="00E901AF"/>
    <w:rsid w:val="00E90F5D"/>
    <w:rsid w:val="00E943C2"/>
    <w:rsid w:val="00E94A51"/>
    <w:rsid w:val="00E94E1B"/>
    <w:rsid w:val="00E96383"/>
    <w:rsid w:val="00E969F0"/>
    <w:rsid w:val="00E9745D"/>
    <w:rsid w:val="00EA1435"/>
    <w:rsid w:val="00EA17D7"/>
    <w:rsid w:val="00EA2453"/>
    <w:rsid w:val="00EA4379"/>
    <w:rsid w:val="00EA732E"/>
    <w:rsid w:val="00EA76CA"/>
    <w:rsid w:val="00EA7B97"/>
    <w:rsid w:val="00EA7D53"/>
    <w:rsid w:val="00EB0F7C"/>
    <w:rsid w:val="00EB5ADC"/>
    <w:rsid w:val="00EB6CFE"/>
    <w:rsid w:val="00EB7B95"/>
    <w:rsid w:val="00EB7E34"/>
    <w:rsid w:val="00EC0698"/>
    <w:rsid w:val="00EC0EF0"/>
    <w:rsid w:val="00EC27BE"/>
    <w:rsid w:val="00EC48A7"/>
    <w:rsid w:val="00EC5957"/>
    <w:rsid w:val="00EC6D99"/>
    <w:rsid w:val="00EC768D"/>
    <w:rsid w:val="00ED03FE"/>
    <w:rsid w:val="00ED26BE"/>
    <w:rsid w:val="00ED3D1B"/>
    <w:rsid w:val="00ED4508"/>
    <w:rsid w:val="00ED76E3"/>
    <w:rsid w:val="00EE25A0"/>
    <w:rsid w:val="00EE3211"/>
    <w:rsid w:val="00EE32F0"/>
    <w:rsid w:val="00EE58AD"/>
    <w:rsid w:val="00EE66E2"/>
    <w:rsid w:val="00EE7B04"/>
    <w:rsid w:val="00EF1370"/>
    <w:rsid w:val="00EF2142"/>
    <w:rsid w:val="00EF62C9"/>
    <w:rsid w:val="00EF7CE1"/>
    <w:rsid w:val="00F012E5"/>
    <w:rsid w:val="00F01D80"/>
    <w:rsid w:val="00F037A0"/>
    <w:rsid w:val="00F042F9"/>
    <w:rsid w:val="00F05358"/>
    <w:rsid w:val="00F05E2F"/>
    <w:rsid w:val="00F068BA"/>
    <w:rsid w:val="00F06D58"/>
    <w:rsid w:val="00F070F6"/>
    <w:rsid w:val="00F07927"/>
    <w:rsid w:val="00F113E1"/>
    <w:rsid w:val="00F14130"/>
    <w:rsid w:val="00F156A7"/>
    <w:rsid w:val="00F160A1"/>
    <w:rsid w:val="00F16370"/>
    <w:rsid w:val="00F17F98"/>
    <w:rsid w:val="00F20BF0"/>
    <w:rsid w:val="00F220F1"/>
    <w:rsid w:val="00F23AF1"/>
    <w:rsid w:val="00F23D1D"/>
    <w:rsid w:val="00F245AF"/>
    <w:rsid w:val="00F24D02"/>
    <w:rsid w:val="00F25CAA"/>
    <w:rsid w:val="00F260BD"/>
    <w:rsid w:val="00F2619D"/>
    <w:rsid w:val="00F27408"/>
    <w:rsid w:val="00F34FDA"/>
    <w:rsid w:val="00F36EFB"/>
    <w:rsid w:val="00F37B58"/>
    <w:rsid w:val="00F40693"/>
    <w:rsid w:val="00F40E41"/>
    <w:rsid w:val="00F418FB"/>
    <w:rsid w:val="00F41C3B"/>
    <w:rsid w:val="00F439D6"/>
    <w:rsid w:val="00F43FF7"/>
    <w:rsid w:val="00F44108"/>
    <w:rsid w:val="00F449C9"/>
    <w:rsid w:val="00F464FD"/>
    <w:rsid w:val="00F47B0C"/>
    <w:rsid w:val="00F47C06"/>
    <w:rsid w:val="00F47E71"/>
    <w:rsid w:val="00F50FF1"/>
    <w:rsid w:val="00F5168B"/>
    <w:rsid w:val="00F549B8"/>
    <w:rsid w:val="00F5698D"/>
    <w:rsid w:val="00F63FA4"/>
    <w:rsid w:val="00F64D64"/>
    <w:rsid w:val="00F65803"/>
    <w:rsid w:val="00F662E7"/>
    <w:rsid w:val="00F6707C"/>
    <w:rsid w:val="00F67C3A"/>
    <w:rsid w:val="00F7172B"/>
    <w:rsid w:val="00F77669"/>
    <w:rsid w:val="00F82718"/>
    <w:rsid w:val="00F82765"/>
    <w:rsid w:val="00F8322D"/>
    <w:rsid w:val="00F83961"/>
    <w:rsid w:val="00F8435F"/>
    <w:rsid w:val="00F87EB1"/>
    <w:rsid w:val="00F900D5"/>
    <w:rsid w:val="00F915FA"/>
    <w:rsid w:val="00F9522A"/>
    <w:rsid w:val="00F96355"/>
    <w:rsid w:val="00F96713"/>
    <w:rsid w:val="00FA1566"/>
    <w:rsid w:val="00FA2A2E"/>
    <w:rsid w:val="00FA3F4E"/>
    <w:rsid w:val="00FA50E5"/>
    <w:rsid w:val="00FA5E30"/>
    <w:rsid w:val="00FA74A9"/>
    <w:rsid w:val="00FA7BAB"/>
    <w:rsid w:val="00FB10C9"/>
    <w:rsid w:val="00FB19A4"/>
    <w:rsid w:val="00FB2A5F"/>
    <w:rsid w:val="00FB2B55"/>
    <w:rsid w:val="00FB2FED"/>
    <w:rsid w:val="00FB37B3"/>
    <w:rsid w:val="00FB3F76"/>
    <w:rsid w:val="00FB49C6"/>
    <w:rsid w:val="00FB5385"/>
    <w:rsid w:val="00FB6923"/>
    <w:rsid w:val="00FB6A50"/>
    <w:rsid w:val="00FB72AF"/>
    <w:rsid w:val="00FB766F"/>
    <w:rsid w:val="00FB7C99"/>
    <w:rsid w:val="00FC1F04"/>
    <w:rsid w:val="00FC2768"/>
    <w:rsid w:val="00FC3A36"/>
    <w:rsid w:val="00FC430B"/>
    <w:rsid w:val="00FC570D"/>
    <w:rsid w:val="00FD01E1"/>
    <w:rsid w:val="00FD0EB6"/>
    <w:rsid w:val="00FD30EA"/>
    <w:rsid w:val="00FD3786"/>
    <w:rsid w:val="00FD6977"/>
    <w:rsid w:val="00FD76C4"/>
    <w:rsid w:val="00FD77CE"/>
    <w:rsid w:val="00FE0ECC"/>
    <w:rsid w:val="00FE10A3"/>
    <w:rsid w:val="00FE12AE"/>
    <w:rsid w:val="00FE3093"/>
    <w:rsid w:val="00FE3540"/>
    <w:rsid w:val="00FE3F12"/>
    <w:rsid w:val="00FE45B9"/>
    <w:rsid w:val="00FE4FAE"/>
    <w:rsid w:val="00FE6808"/>
    <w:rsid w:val="00FE7BA4"/>
    <w:rsid w:val="00FE7BB2"/>
    <w:rsid w:val="00FE7E09"/>
    <w:rsid w:val="00FF124D"/>
    <w:rsid w:val="00FF1D23"/>
    <w:rsid w:val="00FF1F23"/>
    <w:rsid w:val="00FF2CC4"/>
    <w:rsid w:val="00FF4870"/>
    <w:rsid w:val="00FF4A81"/>
    <w:rsid w:val="00FF5902"/>
    <w:rsid w:val="00FF5D17"/>
    <w:rsid w:val="00FF61F0"/>
    <w:rsid w:val="01023B45"/>
    <w:rsid w:val="0435220B"/>
    <w:rsid w:val="052919A6"/>
    <w:rsid w:val="05EC7396"/>
    <w:rsid w:val="06677F89"/>
    <w:rsid w:val="066E0B04"/>
    <w:rsid w:val="06B331CE"/>
    <w:rsid w:val="06C76C7A"/>
    <w:rsid w:val="07322846"/>
    <w:rsid w:val="0822201E"/>
    <w:rsid w:val="088A61B1"/>
    <w:rsid w:val="089E411E"/>
    <w:rsid w:val="0C4C20FB"/>
    <w:rsid w:val="0CF24064"/>
    <w:rsid w:val="0D7A28CA"/>
    <w:rsid w:val="0E5E7E25"/>
    <w:rsid w:val="0F691186"/>
    <w:rsid w:val="0F733A6B"/>
    <w:rsid w:val="0FA34410"/>
    <w:rsid w:val="101604C9"/>
    <w:rsid w:val="104935C7"/>
    <w:rsid w:val="10685029"/>
    <w:rsid w:val="10F04ED1"/>
    <w:rsid w:val="11C73FD2"/>
    <w:rsid w:val="11FA70DC"/>
    <w:rsid w:val="121C4E44"/>
    <w:rsid w:val="133B4ABA"/>
    <w:rsid w:val="14BC6D14"/>
    <w:rsid w:val="152E621D"/>
    <w:rsid w:val="15537304"/>
    <w:rsid w:val="16B637AD"/>
    <w:rsid w:val="17F13B56"/>
    <w:rsid w:val="195B1BCF"/>
    <w:rsid w:val="1AD56698"/>
    <w:rsid w:val="1AEF6A73"/>
    <w:rsid w:val="1BF86185"/>
    <w:rsid w:val="1C5841A4"/>
    <w:rsid w:val="1D3E7C43"/>
    <w:rsid w:val="1DFD14A7"/>
    <w:rsid w:val="1E0828F6"/>
    <w:rsid w:val="1EBA191C"/>
    <w:rsid w:val="20523600"/>
    <w:rsid w:val="23581C71"/>
    <w:rsid w:val="28B52B84"/>
    <w:rsid w:val="28EA087A"/>
    <w:rsid w:val="291A4BB0"/>
    <w:rsid w:val="29F814B7"/>
    <w:rsid w:val="2A0F09FE"/>
    <w:rsid w:val="2A351FC9"/>
    <w:rsid w:val="2AB34861"/>
    <w:rsid w:val="2AFB6D6E"/>
    <w:rsid w:val="2C1E438C"/>
    <w:rsid w:val="2C8D19F7"/>
    <w:rsid w:val="2CC80EB8"/>
    <w:rsid w:val="2E1317E0"/>
    <w:rsid w:val="2E180609"/>
    <w:rsid w:val="2F7470EF"/>
    <w:rsid w:val="30A457B2"/>
    <w:rsid w:val="31226782"/>
    <w:rsid w:val="3160503C"/>
    <w:rsid w:val="31EF35EE"/>
    <w:rsid w:val="321B1AA4"/>
    <w:rsid w:val="325338CA"/>
    <w:rsid w:val="327E4372"/>
    <w:rsid w:val="32DD0106"/>
    <w:rsid w:val="32EE71B8"/>
    <w:rsid w:val="36F079A3"/>
    <w:rsid w:val="371511B8"/>
    <w:rsid w:val="383D40B1"/>
    <w:rsid w:val="38817960"/>
    <w:rsid w:val="394A5BAB"/>
    <w:rsid w:val="3A6113D6"/>
    <w:rsid w:val="3AA47611"/>
    <w:rsid w:val="3BA1016D"/>
    <w:rsid w:val="3BCD5235"/>
    <w:rsid w:val="3BE05E51"/>
    <w:rsid w:val="3D7F307A"/>
    <w:rsid w:val="3E2033CE"/>
    <w:rsid w:val="3E907C2F"/>
    <w:rsid w:val="40C854ED"/>
    <w:rsid w:val="427B36EE"/>
    <w:rsid w:val="44B30262"/>
    <w:rsid w:val="45962698"/>
    <w:rsid w:val="45B553EB"/>
    <w:rsid w:val="46A6600E"/>
    <w:rsid w:val="475573AE"/>
    <w:rsid w:val="476B7238"/>
    <w:rsid w:val="48911D8A"/>
    <w:rsid w:val="4960549B"/>
    <w:rsid w:val="4AF75DD6"/>
    <w:rsid w:val="4B531CC0"/>
    <w:rsid w:val="4C561BFF"/>
    <w:rsid w:val="4C573A84"/>
    <w:rsid w:val="4CBB2F66"/>
    <w:rsid w:val="4CCC0113"/>
    <w:rsid w:val="4D425101"/>
    <w:rsid w:val="4DF951F0"/>
    <w:rsid w:val="4EAF1A9A"/>
    <w:rsid w:val="4F3E3A83"/>
    <w:rsid w:val="50D44BB1"/>
    <w:rsid w:val="517F7502"/>
    <w:rsid w:val="52086ED1"/>
    <w:rsid w:val="523A2E65"/>
    <w:rsid w:val="52BB24FF"/>
    <w:rsid w:val="542C2760"/>
    <w:rsid w:val="544B2490"/>
    <w:rsid w:val="54A6749B"/>
    <w:rsid w:val="56EF4D14"/>
    <w:rsid w:val="571B1411"/>
    <w:rsid w:val="58816255"/>
    <w:rsid w:val="5B8B1199"/>
    <w:rsid w:val="5BFF18AD"/>
    <w:rsid w:val="5E7128C8"/>
    <w:rsid w:val="611539DF"/>
    <w:rsid w:val="623146A6"/>
    <w:rsid w:val="628D60ED"/>
    <w:rsid w:val="62AC6CA7"/>
    <w:rsid w:val="63AE1EC8"/>
    <w:rsid w:val="63CE5BCA"/>
    <w:rsid w:val="63FC2C34"/>
    <w:rsid w:val="64E829FE"/>
    <w:rsid w:val="66115C86"/>
    <w:rsid w:val="662E05FC"/>
    <w:rsid w:val="665C3E5E"/>
    <w:rsid w:val="67B74409"/>
    <w:rsid w:val="67D4620F"/>
    <w:rsid w:val="67DD2A4B"/>
    <w:rsid w:val="68AC7D53"/>
    <w:rsid w:val="692C3FBB"/>
    <w:rsid w:val="69984B6E"/>
    <w:rsid w:val="69EC7E4A"/>
    <w:rsid w:val="6A150B77"/>
    <w:rsid w:val="6B68349D"/>
    <w:rsid w:val="6C544E1A"/>
    <w:rsid w:val="6CBC2023"/>
    <w:rsid w:val="6D217B29"/>
    <w:rsid w:val="6D8E6C32"/>
    <w:rsid w:val="6DAD4F9F"/>
    <w:rsid w:val="6DBD3434"/>
    <w:rsid w:val="6E0F5022"/>
    <w:rsid w:val="6EFF182A"/>
    <w:rsid w:val="6F622DF1"/>
    <w:rsid w:val="6FC46CC1"/>
    <w:rsid w:val="701F58F4"/>
    <w:rsid w:val="71275A62"/>
    <w:rsid w:val="7130216F"/>
    <w:rsid w:val="714D6FE6"/>
    <w:rsid w:val="71A5623A"/>
    <w:rsid w:val="71D376CA"/>
    <w:rsid w:val="72251364"/>
    <w:rsid w:val="7265409A"/>
    <w:rsid w:val="742B1498"/>
    <w:rsid w:val="745E6FF3"/>
    <w:rsid w:val="75013889"/>
    <w:rsid w:val="76C9196D"/>
    <w:rsid w:val="774E6946"/>
    <w:rsid w:val="780628F1"/>
    <w:rsid w:val="7AB756AF"/>
    <w:rsid w:val="7C3074C7"/>
    <w:rsid w:val="7D4A1E8A"/>
    <w:rsid w:val="7EC72D3C"/>
    <w:rsid w:val="7FD0349B"/>
    <w:rsid w:val="BE7BA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styleId="2">
    <w:name w:val="heading 1"/>
    <w:basedOn w:val="3"/>
    <w:next w:val="1"/>
    <w:qFormat/>
    <w:uiPriority w:val="0"/>
    <w:pPr>
      <w:keepNext w:val="0"/>
      <w:keepLines w:val="0"/>
      <w:tabs>
        <w:tab w:val="left" w:pos="0"/>
        <w:tab w:val="left" w:pos="426"/>
        <w:tab w:val="left" w:pos="1680"/>
      </w:tabs>
      <w:spacing w:before="340" w:after="330" w:line="300" w:lineRule="auto"/>
      <w:jc w:val="center"/>
      <w:outlineLvl w:val="0"/>
    </w:pPr>
    <w:rPr>
      <w:kern w:val="44"/>
      <w:szCs w:val="28"/>
    </w:rPr>
  </w:style>
  <w:style w:type="paragraph" w:styleId="5">
    <w:name w:val="heading 2"/>
    <w:basedOn w:val="3"/>
    <w:next w:val="4"/>
    <w:link w:val="107"/>
    <w:qFormat/>
    <w:uiPriority w:val="0"/>
    <w:pPr>
      <w:tabs>
        <w:tab w:val="left" w:pos="0"/>
        <w:tab w:val="left" w:pos="426"/>
        <w:tab w:val="left" w:pos="1680"/>
      </w:tabs>
      <w:textAlignment w:val="baseline"/>
      <w:outlineLvl w:val="1"/>
    </w:pPr>
    <w:rPr>
      <w:bCs w:val="0"/>
      <w:kern w:val="0"/>
      <w:szCs w:val="20"/>
    </w:rPr>
  </w:style>
  <w:style w:type="paragraph" w:styleId="3">
    <w:name w:val="heading 3"/>
    <w:basedOn w:val="4"/>
    <w:next w:val="1"/>
    <w:link w:val="106"/>
    <w:qFormat/>
    <w:uiPriority w:val="0"/>
    <w:pPr>
      <w:widowControl w:val="0"/>
      <w:shd w:val="clear" w:color="auto" w:fill="auto"/>
      <w:tabs>
        <w:tab w:val="left" w:pos="0"/>
        <w:tab w:val="left" w:pos="426"/>
        <w:tab w:val="left" w:pos="1680"/>
      </w:tabs>
      <w:adjustRightInd/>
      <w:snapToGrid/>
      <w:spacing w:before="260" w:after="260"/>
      <w:outlineLvl w:val="2"/>
    </w:pPr>
    <w:rPr>
      <w:szCs w:val="21"/>
    </w:rPr>
  </w:style>
  <w:style w:type="paragraph" w:styleId="4">
    <w:name w:val="heading 4"/>
    <w:basedOn w:val="1"/>
    <w:next w:val="1"/>
    <w:link w:val="108"/>
    <w:qFormat/>
    <w:uiPriority w:val="0"/>
    <w:pPr>
      <w:keepNext/>
      <w:keepLines/>
      <w:numPr>
        <w:ilvl w:val="3"/>
        <w:numId w:val="1"/>
      </w:numPr>
      <w:tabs>
        <w:tab w:val="left" w:pos="0"/>
      </w:tab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09"/>
    <w:qFormat/>
    <w:uiPriority w:val="0"/>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8">
    <w:name w:val="heading 6"/>
    <w:basedOn w:val="1"/>
    <w:next w:val="7"/>
    <w:qFormat/>
    <w:uiPriority w:val="0"/>
    <w:pPr>
      <w:keepNext/>
      <w:keepLines/>
      <w:numPr>
        <w:ilvl w:val="5"/>
        <w:numId w:val="1"/>
      </w:numPr>
      <w:spacing w:before="240" w:after="64" w:line="319" w:lineRule="auto"/>
      <w:outlineLvl w:val="5"/>
    </w:pPr>
    <w:rPr>
      <w:rFonts w:ascii="Arial" w:hAnsi="Arial" w:eastAsia="黑体" w:cs="Times New Roman"/>
      <w:b/>
      <w:kern w:val="2"/>
      <w:sz w:val="24"/>
      <w:szCs w:val="20"/>
    </w:rPr>
  </w:style>
  <w:style w:type="paragraph" w:styleId="9">
    <w:name w:val="heading 7"/>
    <w:basedOn w:val="1"/>
    <w:next w:val="7"/>
    <w:link w:val="111"/>
    <w:qFormat/>
    <w:uiPriority w:val="0"/>
    <w:pPr>
      <w:keepNext/>
      <w:keepLines/>
      <w:numPr>
        <w:ilvl w:val="6"/>
        <w:numId w:val="1"/>
      </w:numPr>
      <w:spacing w:before="240" w:after="64" w:line="319" w:lineRule="auto"/>
      <w:outlineLvl w:val="6"/>
    </w:pPr>
    <w:rPr>
      <w:rFonts w:ascii="Times New Roman" w:cs="Times New Roman"/>
      <w:b/>
      <w:kern w:val="2"/>
      <w:sz w:val="24"/>
      <w:szCs w:val="20"/>
    </w:rPr>
  </w:style>
  <w:style w:type="paragraph" w:styleId="10">
    <w:name w:val="heading 8"/>
    <w:basedOn w:val="1"/>
    <w:next w:val="7"/>
    <w:link w:val="112"/>
    <w:qFormat/>
    <w:uiPriority w:val="0"/>
    <w:pPr>
      <w:keepNext/>
      <w:keepLines/>
      <w:numPr>
        <w:ilvl w:val="7"/>
        <w:numId w:val="1"/>
      </w:numPr>
      <w:spacing w:before="240" w:after="64" w:line="319" w:lineRule="auto"/>
      <w:outlineLvl w:val="7"/>
    </w:pPr>
    <w:rPr>
      <w:rFonts w:ascii="Arial" w:hAnsi="Arial" w:eastAsia="黑体" w:cs="Times New Roman"/>
      <w:kern w:val="2"/>
      <w:sz w:val="24"/>
      <w:szCs w:val="20"/>
    </w:rPr>
  </w:style>
  <w:style w:type="paragraph" w:styleId="11">
    <w:name w:val="heading 9"/>
    <w:basedOn w:val="1"/>
    <w:next w:val="7"/>
    <w:link w:val="113"/>
    <w:qFormat/>
    <w:uiPriority w:val="0"/>
    <w:pPr>
      <w:keepNext/>
      <w:keepLines/>
      <w:numPr>
        <w:ilvl w:val="8"/>
        <w:numId w:val="1"/>
      </w:numPr>
      <w:spacing w:before="240" w:after="64" w:line="319" w:lineRule="auto"/>
      <w:outlineLvl w:val="8"/>
    </w:pPr>
    <w:rPr>
      <w:rFonts w:ascii="Arial" w:hAnsi="Arial" w:eastAsia="黑体" w:cs="Times New Roman"/>
      <w:kern w:val="2"/>
      <w:szCs w:val="20"/>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10"/>
    <w:qFormat/>
    <w:uiPriority w:val="0"/>
    <w:pPr>
      <w:ind w:firstLine="420"/>
    </w:pPr>
    <w:rPr>
      <w:rFonts w:asci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600" w:leftChars="400" w:hanging="200" w:hangingChars="200"/>
    </w:pPr>
    <w:rPr>
      <w:rFonts w:asci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2"/>
      </w:numPr>
      <w:tabs>
        <w:tab w:val="left" w:pos="820"/>
      </w:tabs>
      <w:spacing w:afterLines="50"/>
    </w:pPr>
    <w:rPr>
      <w:sz w:val="24"/>
      <w:szCs w:val="20"/>
    </w:rPr>
  </w:style>
  <w:style w:type="paragraph" w:styleId="15">
    <w:name w:val="Note Heading"/>
    <w:basedOn w:val="1"/>
    <w:next w:val="1"/>
    <w:qFormat/>
    <w:uiPriority w:val="0"/>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16">
    <w:name w:val="List Bullet 4"/>
    <w:basedOn w:val="1"/>
    <w:qFormat/>
    <w:uiPriority w:val="0"/>
    <w:pPr>
      <w:widowControl w:val="0"/>
      <w:numPr>
        <w:ilvl w:val="0"/>
        <w:numId w:val="3"/>
      </w:numPr>
      <w:shd w:val="clear" w:color="auto" w:fill="auto"/>
      <w:tabs>
        <w:tab w:val="clear" w:pos="426"/>
      </w:tabs>
      <w:adjustRightInd/>
      <w:snapToGrid/>
      <w:spacing w:line="240" w:lineRule="auto"/>
    </w:pPr>
    <w:rPr>
      <w:rFonts w:asci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18">
    <w:name w:val="E-mail Signature"/>
    <w:basedOn w:val="1"/>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styleId="19">
    <w:name w:val="List Number"/>
    <w:basedOn w:val="1"/>
    <w:qFormat/>
    <w:uiPriority w:val="0"/>
    <w:pPr>
      <w:widowControl w:val="0"/>
      <w:numPr>
        <w:ilvl w:val="0"/>
        <w:numId w:val="4"/>
      </w:numPr>
      <w:shd w:val="clear" w:color="auto" w:fill="auto"/>
      <w:tabs>
        <w:tab w:val="clear" w:pos="426"/>
      </w:tabs>
      <w:adjustRightInd/>
      <w:snapToGrid/>
      <w:spacing w:line="240" w:lineRule="auto"/>
    </w:pPr>
    <w:rPr>
      <w:rFonts w:asci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22">
    <w:name w:val="List Bullet"/>
    <w:basedOn w:val="1"/>
    <w:qFormat/>
    <w:uiPriority w:val="0"/>
    <w:pPr>
      <w:tabs>
        <w:tab w:val="left" w:pos="360"/>
      </w:tabs>
      <w:ind w:left="200" w:hanging="20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400" w:leftChars="1400"/>
    </w:pPr>
    <w:rPr>
      <w:rFonts w:ascii="Arial" w:hAnsi="Arial" w:cs="Arial"/>
      <w:kern w:val="2"/>
      <w:sz w:val="24"/>
    </w:rPr>
  </w:style>
  <w:style w:type="paragraph" w:styleId="24">
    <w:name w:val="Document Map"/>
    <w:basedOn w:val="1"/>
    <w:qFormat/>
    <w:uiPriority w:val="0"/>
    <w:pPr>
      <w:shd w:val="clear" w:color="auto" w:fill="000080"/>
    </w:pPr>
    <w:rPr>
      <w:rFonts w:asci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14"/>
    <w:qFormat/>
    <w:uiPriority w:val="0"/>
    <w:pPr>
      <w:autoSpaceDE w:val="0"/>
      <w:autoSpaceDN w:val="0"/>
      <w:jc w:val="left"/>
      <w:textAlignment w:val="baseline"/>
    </w:pPr>
    <w:rPr>
      <w:rFonts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28">
    <w:name w:val="Salutation"/>
    <w:basedOn w:val="1"/>
    <w:next w:val="1"/>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styleId="29">
    <w:name w:val="Body Text 3"/>
    <w:basedOn w:val="1"/>
    <w:link w:val="115"/>
    <w:qFormat/>
    <w:uiPriority w:val="0"/>
    <w:pPr>
      <w:spacing w:after="120"/>
    </w:pPr>
    <w:rPr>
      <w:rFonts w:ascii="Times New Roman" w:cs="Times New Roman"/>
      <w:kern w:val="2"/>
      <w:sz w:val="16"/>
      <w:szCs w:val="16"/>
    </w:rPr>
  </w:style>
  <w:style w:type="paragraph" w:styleId="30">
    <w:name w:val="Closing"/>
    <w:basedOn w:val="1"/>
    <w:qFormat/>
    <w:uiPriority w:val="0"/>
    <w:pPr>
      <w:widowControl w:val="0"/>
      <w:shd w:val="clear" w:color="auto" w:fill="auto"/>
      <w:tabs>
        <w:tab w:val="clear" w:pos="426"/>
      </w:tabs>
      <w:adjustRightInd/>
      <w:snapToGrid/>
      <w:spacing w:line="240" w:lineRule="auto"/>
      <w:ind w:left="2100" w:leftChars="2100"/>
    </w:pPr>
    <w:rPr>
      <w:rFonts w:ascii="Times New Roman" w:cs="Times New Roman"/>
      <w:kern w:val="2"/>
    </w:rPr>
  </w:style>
  <w:style w:type="paragraph" w:styleId="31">
    <w:name w:val="List Bullet 3"/>
    <w:basedOn w:val="1"/>
    <w:qFormat/>
    <w:uiPriority w:val="0"/>
    <w:pPr>
      <w:widowControl w:val="0"/>
      <w:numPr>
        <w:ilvl w:val="0"/>
        <w:numId w:val="5"/>
      </w:numPr>
      <w:shd w:val="clear" w:color="auto" w:fill="auto"/>
      <w:tabs>
        <w:tab w:val="clear" w:pos="426"/>
      </w:tabs>
      <w:adjustRightInd/>
      <w:snapToGrid/>
      <w:spacing w:line="240" w:lineRule="auto"/>
    </w:pPr>
    <w:rPr>
      <w:rFonts w:ascii="Times New Roman" w:cs="Times New Roman"/>
      <w:kern w:val="2"/>
    </w:rPr>
  </w:style>
  <w:style w:type="paragraph" w:styleId="32">
    <w:name w:val="Body Text"/>
    <w:basedOn w:val="1"/>
    <w:qFormat/>
    <w:uiPriority w:val="0"/>
    <w:rPr>
      <w:rFonts w:cs="Times New Roman"/>
      <w:b/>
      <w:bCs/>
      <w:sz w:val="24"/>
    </w:rPr>
  </w:style>
  <w:style w:type="paragraph" w:styleId="33">
    <w:name w:val="Body Text Indent"/>
    <w:basedOn w:val="1"/>
    <w:link w:val="116"/>
    <w:qFormat/>
    <w:uiPriority w:val="0"/>
    <w:pPr>
      <w:ind w:firstLine="200" w:firstLineChars="200"/>
    </w:pPr>
    <w:rPr>
      <w:rFonts w:ascii="Times New Roman" w:cs="Times New Roman"/>
      <w:kern w:val="2"/>
    </w:rPr>
  </w:style>
  <w:style w:type="paragraph" w:styleId="34">
    <w:name w:val="List Number 3"/>
    <w:basedOn w:val="1"/>
    <w:qFormat/>
    <w:uiPriority w:val="0"/>
    <w:pPr>
      <w:widowControl w:val="0"/>
      <w:numPr>
        <w:ilvl w:val="0"/>
        <w:numId w:val="6"/>
      </w:numPr>
      <w:shd w:val="clear" w:color="auto" w:fill="auto"/>
      <w:tabs>
        <w:tab w:val="clear" w:pos="426"/>
      </w:tabs>
      <w:adjustRightInd/>
      <w:snapToGrid/>
      <w:spacing w:line="240" w:lineRule="auto"/>
    </w:pPr>
    <w:rPr>
      <w:rFonts w:ascii="Times New Roman" w:cs="Times New Roman"/>
      <w:kern w:val="2"/>
    </w:rPr>
  </w:style>
  <w:style w:type="paragraph" w:styleId="35">
    <w:name w:val="List 2"/>
    <w:basedOn w:val="1"/>
    <w:qFormat/>
    <w:uiPriority w:val="0"/>
    <w:pPr>
      <w:widowControl w:val="0"/>
      <w:shd w:val="clear" w:color="auto" w:fill="auto"/>
      <w:tabs>
        <w:tab w:val="clear" w:pos="426"/>
      </w:tabs>
      <w:adjustRightInd/>
      <w:snapToGrid/>
      <w:spacing w:line="240" w:lineRule="auto"/>
      <w:ind w:left="400" w:leftChars="200" w:hanging="200" w:hangingChars="200"/>
    </w:pPr>
    <w:rPr>
      <w:rFonts w:ascii="Times New Roman" w:cs="Times New Roman"/>
      <w:kern w:val="2"/>
    </w:rPr>
  </w:style>
  <w:style w:type="paragraph" w:styleId="36">
    <w:name w:val="List Continue"/>
    <w:basedOn w:val="1"/>
    <w:qFormat/>
    <w:uiPriority w:val="0"/>
    <w:pPr>
      <w:widowControl w:val="0"/>
      <w:shd w:val="clear" w:color="auto" w:fill="auto"/>
      <w:tabs>
        <w:tab w:val="clear" w:pos="426"/>
      </w:tabs>
      <w:adjustRightInd/>
      <w:snapToGrid/>
      <w:spacing w:after="120" w:line="240" w:lineRule="auto"/>
      <w:ind w:left="200" w:leftChars="200"/>
    </w:pPr>
    <w:rPr>
      <w:rFonts w:ascii="Times New Roman" w:cs="Times New Roman"/>
      <w:kern w:val="2"/>
    </w:rPr>
  </w:style>
  <w:style w:type="paragraph" w:styleId="37">
    <w:name w:val="Block Text"/>
    <w:basedOn w:val="1"/>
    <w:qFormat/>
    <w:uiPriority w:val="0"/>
    <w:pPr>
      <w:widowControl w:val="0"/>
      <w:shd w:val="clear" w:color="auto" w:fill="auto"/>
      <w:tabs>
        <w:tab w:val="clear" w:pos="426"/>
      </w:tabs>
      <w:adjustRightInd/>
      <w:snapToGrid/>
      <w:spacing w:after="120" w:line="240" w:lineRule="auto"/>
      <w:ind w:left="700" w:leftChars="700" w:right="700" w:rightChars="700"/>
    </w:pPr>
    <w:rPr>
      <w:rFonts w:ascii="Times New Roman" w:cs="Times New Roman"/>
      <w:kern w:val="2"/>
    </w:rPr>
  </w:style>
  <w:style w:type="paragraph" w:styleId="38">
    <w:name w:val="List Bullet 2"/>
    <w:basedOn w:val="1"/>
    <w:qFormat/>
    <w:uiPriority w:val="0"/>
    <w:pPr>
      <w:widowControl w:val="0"/>
      <w:numPr>
        <w:ilvl w:val="0"/>
        <w:numId w:val="7"/>
      </w:numPr>
      <w:shd w:val="clear" w:color="auto" w:fill="auto"/>
      <w:tabs>
        <w:tab w:val="clear" w:pos="426"/>
      </w:tabs>
      <w:adjustRightInd/>
      <w:snapToGrid/>
      <w:spacing w:line="240" w:lineRule="auto"/>
    </w:pPr>
    <w:rPr>
      <w:rFonts w:ascii="Times New Roman" w:cs="Times New Roman"/>
      <w:kern w:val="2"/>
    </w:rPr>
  </w:style>
  <w:style w:type="paragraph" w:styleId="39">
    <w:name w:val="HTML Address"/>
    <w:basedOn w:val="1"/>
    <w:qFormat/>
    <w:uiPriority w:val="0"/>
    <w:pPr>
      <w:widowControl w:val="0"/>
      <w:shd w:val="clear" w:color="auto" w:fill="auto"/>
      <w:tabs>
        <w:tab w:val="clear" w:pos="426"/>
      </w:tabs>
      <w:adjustRightInd/>
      <w:snapToGrid/>
      <w:spacing w:line="240" w:lineRule="auto"/>
    </w:pPr>
    <w:rPr>
      <w:rFonts w:ascii="Times New Roman" w:cs="Times New Roman"/>
      <w:i/>
      <w:iCs/>
      <w:kern w:val="2"/>
    </w:rPr>
  </w:style>
  <w:style w:type="paragraph" w:styleId="40">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41">
    <w:name w:val="toc 5"/>
    <w:basedOn w:val="1"/>
    <w:next w:val="1"/>
    <w:qFormat/>
    <w:uiPriority w:val="0"/>
    <w:pPr>
      <w:ind w:left="840"/>
      <w:jc w:val="left"/>
    </w:pPr>
    <w:rPr>
      <w:szCs w:val="21"/>
    </w:rPr>
  </w:style>
  <w:style w:type="paragraph" w:styleId="42">
    <w:name w:val="toc 3"/>
    <w:basedOn w:val="1"/>
    <w:next w:val="1"/>
    <w:qFormat/>
    <w:uiPriority w:val="39"/>
    <w:pPr>
      <w:ind w:left="420"/>
      <w:jc w:val="left"/>
    </w:pPr>
    <w:rPr>
      <w:i/>
      <w:iCs/>
    </w:rPr>
  </w:style>
  <w:style w:type="paragraph" w:styleId="43">
    <w:name w:val="Plain Text"/>
    <w:basedOn w:val="1"/>
    <w:link w:val="579"/>
    <w:qFormat/>
    <w:uiPriority w:val="0"/>
    <w:rPr>
      <w:rFonts w:cs="Times New Roman"/>
      <w:kern w:val="2"/>
      <w:szCs w:val="20"/>
    </w:rPr>
  </w:style>
  <w:style w:type="paragraph" w:styleId="44">
    <w:name w:val="List Bullet 5"/>
    <w:basedOn w:val="1"/>
    <w:qFormat/>
    <w:uiPriority w:val="0"/>
    <w:pPr>
      <w:widowControl w:val="0"/>
      <w:numPr>
        <w:ilvl w:val="0"/>
        <w:numId w:val="8"/>
      </w:numPr>
      <w:shd w:val="clear" w:color="auto" w:fill="auto"/>
      <w:tabs>
        <w:tab w:val="clear" w:pos="426"/>
      </w:tabs>
      <w:adjustRightInd/>
      <w:snapToGrid/>
      <w:spacing w:line="240" w:lineRule="auto"/>
    </w:pPr>
    <w:rPr>
      <w:rFonts w:ascii="Times New Roman" w:cs="Times New Roman"/>
      <w:kern w:val="2"/>
    </w:rPr>
  </w:style>
  <w:style w:type="paragraph" w:styleId="45">
    <w:name w:val="List Number 4"/>
    <w:basedOn w:val="1"/>
    <w:qFormat/>
    <w:uiPriority w:val="0"/>
    <w:pPr>
      <w:widowControl w:val="0"/>
      <w:numPr>
        <w:ilvl w:val="0"/>
        <w:numId w:val="9"/>
      </w:numPr>
      <w:shd w:val="clear" w:color="auto" w:fill="auto"/>
      <w:tabs>
        <w:tab w:val="clear" w:pos="426"/>
      </w:tabs>
      <w:adjustRightInd/>
      <w:snapToGrid/>
      <w:spacing w:line="240" w:lineRule="auto"/>
    </w:pPr>
    <w:rPr>
      <w:rFonts w:ascii="Times New Roman" w:cs="Times New Roman"/>
      <w:kern w:val="2"/>
    </w:rPr>
  </w:style>
  <w:style w:type="paragraph" w:styleId="46">
    <w:name w:val="toc 8"/>
    <w:basedOn w:val="1"/>
    <w:next w:val="1"/>
    <w:qFormat/>
    <w:uiPriority w:val="0"/>
    <w:pPr>
      <w:ind w:left="1470"/>
      <w:jc w:val="left"/>
    </w:pPr>
    <w:rPr>
      <w:szCs w:val="21"/>
    </w:rPr>
  </w:style>
  <w:style w:type="paragraph" w:styleId="47">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48">
    <w:name w:val="Date"/>
    <w:basedOn w:val="1"/>
    <w:next w:val="1"/>
    <w:qFormat/>
    <w:uiPriority w:val="0"/>
    <w:rPr>
      <w:rFonts w:cs="Times New Roman"/>
      <w:kern w:val="2"/>
      <w:sz w:val="32"/>
      <w:szCs w:val="20"/>
    </w:rPr>
  </w:style>
  <w:style w:type="paragraph" w:styleId="49">
    <w:name w:val="Body Text Indent 2"/>
    <w:basedOn w:val="1"/>
    <w:link w:val="117"/>
    <w:qFormat/>
    <w:uiPriority w:val="0"/>
    <w:pPr>
      <w:spacing w:beforeLines="50" w:afterLines="50" w:line="120" w:lineRule="auto"/>
      <w:ind w:firstLine="400" w:firstLineChars="400"/>
      <w:jc w:val="left"/>
    </w:pPr>
    <w:rPr>
      <w:rFonts w:cs="Times New Roman"/>
      <w:kern w:val="2"/>
    </w:rPr>
  </w:style>
  <w:style w:type="paragraph" w:styleId="50">
    <w:name w:val="endnote text"/>
    <w:basedOn w:val="1"/>
    <w:qFormat/>
    <w:uiPriority w:val="0"/>
    <w:pPr>
      <w:widowControl w:val="0"/>
      <w:shd w:val="clear" w:color="auto" w:fill="auto"/>
      <w:tabs>
        <w:tab w:val="clear" w:pos="426"/>
      </w:tabs>
      <w:adjustRightInd/>
      <w:spacing w:line="240" w:lineRule="auto"/>
      <w:jc w:val="left"/>
    </w:pPr>
    <w:rPr>
      <w:rFonts w:ascii="Times New Roman" w:cs="Times New Roman"/>
      <w:kern w:val="2"/>
    </w:rPr>
  </w:style>
  <w:style w:type="paragraph" w:styleId="51">
    <w:name w:val="List Continue 5"/>
    <w:basedOn w:val="1"/>
    <w:qFormat/>
    <w:uiPriority w:val="0"/>
    <w:pPr>
      <w:widowControl w:val="0"/>
      <w:shd w:val="clear" w:color="auto" w:fill="auto"/>
      <w:tabs>
        <w:tab w:val="clear" w:pos="426"/>
      </w:tabs>
      <w:adjustRightInd/>
      <w:snapToGrid/>
      <w:spacing w:after="120" w:line="240" w:lineRule="auto"/>
      <w:ind w:left="1000" w:leftChars="1000"/>
    </w:pPr>
    <w:rPr>
      <w:rFonts w:ascii="Times New Roman" w:cs="Times New Roman"/>
      <w:kern w:val="2"/>
    </w:rPr>
  </w:style>
  <w:style w:type="paragraph" w:styleId="52">
    <w:name w:val="Balloon Text"/>
    <w:basedOn w:val="1"/>
    <w:link w:val="118"/>
    <w:qFormat/>
    <w:uiPriority w:val="0"/>
    <w:rPr>
      <w:rFonts w:ascii="Times New Roman" w:cs="Times New Roman"/>
      <w:kern w:val="2"/>
      <w:sz w:val="18"/>
      <w:szCs w:val="18"/>
    </w:rPr>
  </w:style>
  <w:style w:type="paragraph" w:styleId="53">
    <w:name w:val="footer"/>
    <w:basedOn w:val="1"/>
    <w:link w:val="119"/>
    <w:qFormat/>
    <w:uiPriority w:val="0"/>
    <w:pPr>
      <w:tabs>
        <w:tab w:val="center" w:pos="4153"/>
        <w:tab w:val="right" w:pos="8306"/>
      </w:tabs>
      <w:jc w:val="left"/>
    </w:pPr>
    <w:rPr>
      <w:rFonts w:ascii="Times New Roman" w:cs="Times New Roman"/>
      <w:kern w:val="2"/>
      <w:sz w:val="18"/>
      <w:szCs w:val="18"/>
    </w:rPr>
  </w:style>
  <w:style w:type="paragraph" w:styleId="5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55">
    <w:name w:val="header"/>
    <w:basedOn w:val="1"/>
    <w:link w:val="120"/>
    <w:qFormat/>
    <w:uiPriority w:val="0"/>
    <w:pPr>
      <w:pBdr>
        <w:bottom w:val="single" w:color="auto" w:sz="6" w:space="1"/>
      </w:pBdr>
      <w:tabs>
        <w:tab w:val="center" w:pos="4153"/>
        <w:tab w:val="right" w:pos="8306"/>
      </w:tabs>
      <w:jc w:val="center"/>
    </w:pPr>
    <w:rPr>
      <w:rFonts w:ascii="Times New Roman" w:cs="Times New Roman"/>
      <w:kern w:val="2"/>
      <w:sz w:val="18"/>
      <w:szCs w:val="18"/>
    </w:rPr>
  </w:style>
  <w:style w:type="paragraph" w:styleId="56">
    <w:name w:val="Signature"/>
    <w:basedOn w:val="1"/>
    <w:qFormat/>
    <w:uiPriority w:val="0"/>
    <w:pPr>
      <w:widowControl w:val="0"/>
      <w:shd w:val="clear" w:color="auto" w:fill="auto"/>
      <w:tabs>
        <w:tab w:val="clear" w:pos="426"/>
      </w:tabs>
      <w:adjustRightInd/>
      <w:snapToGrid/>
      <w:spacing w:line="240" w:lineRule="auto"/>
      <w:ind w:left="2100" w:leftChars="2100"/>
    </w:pPr>
    <w:rPr>
      <w:rFonts w:asci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800" w:leftChars="800"/>
    </w:pPr>
    <w:rPr>
      <w:rFonts w:asci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61">
    <w:name w:val="index 1"/>
    <w:basedOn w:val="1"/>
    <w:next w:val="1"/>
    <w:qFormat/>
    <w:uiPriority w:val="0"/>
    <w:rPr>
      <w:b/>
      <w:color w:val="0000FF"/>
      <w:sz w:val="24"/>
    </w:rPr>
  </w:style>
  <w:style w:type="paragraph" w:styleId="62">
    <w:name w:val="Subtitle"/>
    <w:basedOn w:val="1"/>
    <w:next w:val="1"/>
    <w:qFormat/>
    <w:uiPriority w:val="0"/>
    <w:pPr>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numPr>
        <w:ilvl w:val="0"/>
        <w:numId w:val="10"/>
      </w:numPr>
      <w:shd w:val="clear" w:color="auto" w:fill="auto"/>
      <w:tabs>
        <w:tab w:val="clear" w:pos="426"/>
      </w:tabs>
      <w:adjustRightInd/>
      <w:snapToGrid/>
      <w:spacing w:line="240" w:lineRule="auto"/>
    </w:pPr>
    <w:rPr>
      <w:rFonts w:asci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cs="Times New Roman"/>
      <w:kern w:val="2"/>
    </w:rPr>
  </w:style>
  <w:style w:type="paragraph" w:styleId="65">
    <w:name w:val="footnote text"/>
    <w:basedOn w:val="1"/>
    <w:link w:val="121"/>
    <w:qFormat/>
    <w:uiPriority w:val="0"/>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0" w:leftChars="800" w:hanging="200" w:hangingChars="200"/>
    </w:pPr>
    <w:rPr>
      <w:rFonts w:ascii="Times New Roman" w:cs="Times New Roman"/>
      <w:kern w:val="2"/>
    </w:rPr>
  </w:style>
  <w:style w:type="paragraph" w:styleId="68">
    <w:name w:val="Body Text Indent 3"/>
    <w:basedOn w:val="1"/>
    <w:link w:val="122"/>
    <w:qFormat/>
    <w:uiPriority w:val="0"/>
    <w:pPr>
      <w:ind w:firstLine="200" w:firstLineChars="200"/>
    </w:pPr>
    <w:rPr>
      <w:rFonts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23"/>
    <w:qFormat/>
    <w:uiPriority w:val="0"/>
    <w:rPr>
      <w:rFonts w:asci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800" w:leftChars="600" w:hanging="200" w:hangingChars="200"/>
    </w:pPr>
    <w:rPr>
      <w:rFonts w:asci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400" w:leftChars="400"/>
    </w:pPr>
    <w:rPr>
      <w:rFonts w:ascii="Times New Roman" w:cs="Times New Roman"/>
      <w:kern w:val="2"/>
    </w:rPr>
  </w:style>
  <w:style w:type="paragraph" w:styleId="76">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00" w:leftChars="500" w:hanging="500" w:hangingChars="500"/>
    </w:pPr>
    <w:rPr>
      <w:rFonts w:ascii="Arial" w:hAnsi="Arial" w:cs="Times New Roman"/>
      <w:kern w:val="2"/>
      <w:sz w:val="24"/>
    </w:rPr>
  </w:style>
  <w:style w:type="paragraph" w:styleId="77">
    <w:name w:val="HTML Preformatted"/>
    <w:basedOn w:val="1"/>
    <w:link w:val="1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600" w:leftChars="600"/>
    </w:pPr>
    <w:rPr>
      <w:rFonts w:asci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81">
    <w:name w:val="Title"/>
    <w:basedOn w:val="1"/>
    <w:link w:val="125"/>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26"/>
    <w:qFormat/>
    <w:uiPriority w:val="0"/>
    <w:pPr>
      <w:autoSpaceDE/>
      <w:autoSpaceDN/>
      <w:adjustRightInd/>
      <w:textAlignment w:val="auto"/>
    </w:pPr>
    <w:rPr>
      <w:rFonts w:ascii="Times New Roman"/>
      <w:b/>
      <w:bCs/>
      <w:kern w:val="2"/>
      <w:sz w:val="21"/>
      <w:szCs w:val="24"/>
    </w:rPr>
  </w:style>
  <w:style w:type="paragraph" w:styleId="83">
    <w:name w:val="Body Text First Indent"/>
    <w:basedOn w:val="32"/>
    <w:qFormat/>
    <w:uiPriority w:val="0"/>
    <w:pPr>
      <w:widowControl w:val="0"/>
      <w:shd w:val="clear" w:color="auto" w:fill="auto"/>
      <w:tabs>
        <w:tab w:val="clear" w:pos="426"/>
      </w:tabs>
      <w:adjustRightInd/>
      <w:snapToGrid/>
      <w:spacing w:after="120" w:line="240" w:lineRule="auto"/>
      <w:ind w:firstLine="100" w:firstLineChars="100"/>
    </w:pPr>
    <w:rPr>
      <w:kern w:val="2"/>
      <w:sz w:val="21"/>
    </w:rPr>
  </w:style>
  <w:style w:type="paragraph" w:styleId="84">
    <w:name w:val="Body Text First Indent 2"/>
    <w:basedOn w:val="33"/>
    <w:qFormat/>
    <w:uiPriority w:val="99"/>
    <w:pPr>
      <w:widowControl w:val="0"/>
      <w:shd w:val="clear" w:color="auto" w:fill="auto"/>
      <w:tabs>
        <w:tab w:val="clear" w:pos="426"/>
      </w:tabs>
      <w:adjustRightInd/>
      <w:snapToGrid/>
      <w:spacing w:after="120" w:line="240" w:lineRule="auto"/>
      <w:ind w:left="20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0"/>
    <w:rPr>
      <w:b/>
      <w:bCs/>
    </w:rPr>
  </w:style>
  <w:style w:type="character" w:styleId="89">
    <w:name w:val="endnote reference"/>
    <w:qFormat/>
    <w:uiPriority w:val="0"/>
    <w:rPr>
      <w:vertAlign w:val="superscript"/>
    </w:rPr>
  </w:style>
  <w:style w:type="character" w:styleId="90">
    <w:name w:val="page number"/>
    <w:qFormat/>
    <w:uiPriority w:val="0"/>
  </w:style>
  <w:style w:type="character" w:styleId="91">
    <w:name w:val="FollowedHyperlink"/>
    <w:qFormat/>
    <w:uiPriority w:val="99"/>
    <w:rPr>
      <w:color w:val="800080"/>
      <w:u w:val="single"/>
    </w:rPr>
  </w:style>
  <w:style w:type="character" w:styleId="92">
    <w:name w:val="Emphasis"/>
    <w:qFormat/>
    <w:uiPriority w:val="0"/>
    <w:rPr>
      <w:i/>
      <w:iCs/>
    </w:rPr>
  </w:style>
  <w:style w:type="character" w:styleId="93">
    <w:name w:val="line number"/>
    <w:qFormat/>
    <w:uiPriority w:val="0"/>
  </w:style>
  <w:style w:type="character" w:styleId="94">
    <w:name w:val="HTML Definition"/>
    <w:qFormat/>
    <w:uiPriority w:val="0"/>
    <w:rPr>
      <w:i/>
      <w:iCs/>
    </w:rPr>
  </w:style>
  <w:style w:type="character" w:styleId="95">
    <w:name w:val="HTML Typewriter"/>
    <w:qFormat/>
    <w:uiPriority w:val="0"/>
    <w:rPr>
      <w:rFonts w:ascii="Courier New" w:hAnsi="Courier New" w:cs="Courier New"/>
      <w:sz w:val="20"/>
      <w:szCs w:val="20"/>
      <w:lang w:bidi="ar-SA"/>
    </w:rPr>
  </w:style>
  <w:style w:type="character" w:styleId="96">
    <w:name w:val="HTML Acronym"/>
    <w:qFormat/>
    <w:uiPriority w:val="0"/>
  </w:style>
  <w:style w:type="character" w:styleId="97">
    <w:name w:val="HTML Variable"/>
    <w:qFormat/>
    <w:uiPriority w:val="0"/>
    <w:rPr>
      <w:i/>
      <w:iCs/>
    </w:rPr>
  </w:style>
  <w:style w:type="character" w:styleId="98">
    <w:name w:val="Hyperlink"/>
    <w:qFormat/>
    <w:uiPriority w:val="99"/>
    <w:rPr>
      <w:color w:val="0000FF"/>
      <w:u w:val="single"/>
    </w:rPr>
  </w:style>
  <w:style w:type="character" w:styleId="99">
    <w:name w:val="HTML Code"/>
    <w:qFormat/>
    <w:uiPriority w:val="0"/>
    <w:rPr>
      <w:rFonts w:ascii="Courier New" w:hAnsi="Courier New" w:cs="Courier New"/>
      <w:sz w:val="20"/>
      <w:szCs w:val="20"/>
      <w:lang w:bidi="ar-SA"/>
    </w:rPr>
  </w:style>
  <w:style w:type="character" w:styleId="100">
    <w:name w:val="annotation reference"/>
    <w:qFormat/>
    <w:uiPriority w:val="99"/>
    <w:rPr>
      <w:sz w:val="21"/>
      <w:szCs w:val="21"/>
    </w:rPr>
  </w:style>
  <w:style w:type="character" w:styleId="101">
    <w:name w:val="HTML Cite"/>
    <w:qFormat/>
    <w:uiPriority w:val="0"/>
    <w:rPr>
      <w:i/>
      <w:iCs/>
    </w:rPr>
  </w:style>
  <w:style w:type="character" w:styleId="102">
    <w:name w:val="footnote reference"/>
    <w:qFormat/>
    <w:uiPriority w:val="0"/>
    <w:rPr>
      <w:vertAlign w:val="superscript"/>
    </w:rPr>
  </w:style>
  <w:style w:type="character" w:styleId="103">
    <w:name w:val="HTML Keyboard"/>
    <w:qFormat/>
    <w:uiPriority w:val="0"/>
    <w:rPr>
      <w:rFonts w:ascii="Courier New" w:hAnsi="Courier New" w:cs="Courier New"/>
      <w:sz w:val="20"/>
      <w:szCs w:val="20"/>
      <w:lang w:bidi="ar-SA"/>
    </w:rPr>
  </w:style>
  <w:style w:type="character" w:styleId="104">
    <w:name w:val="HTML Sample"/>
    <w:qFormat/>
    <w:uiPriority w:val="0"/>
    <w:rPr>
      <w:rFonts w:ascii="Courier New" w:hAnsi="Courier New" w:cs="Courier New"/>
      <w:lang w:bidi="ar-SA"/>
    </w:rPr>
  </w:style>
  <w:style w:type="paragraph" w:customStyle="1" w:styleId="105">
    <w:name w:val="文档正文"/>
    <w:basedOn w:val="1"/>
    <w:qFormat/>
    <w:uiPriority w:val="99"/>
    <w:pPr>
      <w:spacing w:line="480" w:lineRule="atLeast"/>
      <w:ind w:firstLine="200" w:firstLineChars="200"/>
      <w:textAlignment w:val="baseline"/>
    </w:pPr>
    <w:rPr>
      <w:rFonts w:ascii="长城仿宋" w:hAnsi="长城仿宋"/>
      <w:szCs w:val="20"/>
    </w:rPr>
  </w:style>
  <w:style w:type="character" w:customStyle="1" w:styleId="106">
    <w:name w:val="标题 3 字符"/>
    <w:link w:val="3"/>
    <w:qFormat/>
    <w:uiPriority w:val="0"/>
    <w:rPr>
      <w:rFonts w:ascii="宋体" w:cs="宋体"/>
      <w:bCs/>
      <w:kern w:val="2"/>
      <w:sz w:val="21"/>
      <w:szCs w:val="21"/>
    </w:rPr>
  </w:style>
  <w:style w:type="character" w:customStyle="1" w:styleId="107">
    <w:name w:val="标题 2 字符"/>
    <w:link w:val="5"/>
    <w:qFormat/>
    <w:uiPriority w:val="0"/>
    <w:rPr>
      <w:rFonts w:ascii="宋体" w:cs="宋体"/>
      <w:sz w:val="21"/>
    </w:rPr>
  </w:style>
  <w:style w:type="character" w:customStyle="1" w:styleId="108">
    <w:name w:val="标题 4 字符"/>
    <w:link w:val="4"/>
    <w:qFormat/>
    <w:uiPriority w:val="0"/>
    <w:rPr>
      <w:rFonts w:ascii="Arial" w:hAnsi="Arial" w:eastAsia="黑体"/>
      <w:b/>
      <w:bCs/>
      <w:kern w:val="2"/>
      <w:sz w:val="28"/>
      <w:szCs w:val="28"/>
      <w:shd w:val="clear" w:color="auto" w:fill="FFFFFF"/>
    </w:rPr>
  </w:style>
  <w:style w:type="character" w:customStyle="1" w:styleId="109">
    <w:name w:val="标题 5 字符"/>
    <w:link w:val="6"/>
    <w:qFormat/>
    <w:uiPriority w:val="0"/>
    <w:rPr>
      <w:b/>
      <w:kern w:val="2"/>
      <w:sz w:val="24"/>
      <w:shd w:val="clear" w:color="auto" w:fill="FFFFFF"/>
    </w:rPr>
  </w:style>
  <w:style w:type="character" w:customStyle="1" w:styleId="110">
    <w:name w:val="正文缩进 字符"/>
    <w:link w:val="7"/>
    <w:qFormat/>
    <w:uiPriority w:val="0"/>
    <w:rPr>
      <w:kern w:val="2"/>
      <w:sz w:val="21"/>
      <w:shd w:val="clear" w:color="auto" w:fill="FFFFFF"/>
    </w:rPr>
  </w:style>
  <w:style w:type="character" w:customStyle="1" w:styleId="111">
    <w:name w:val="标题 7 字符"/>
    <w:link w:val="9"/>
    <w:qFormat/>
    <w:uiPriority w:val="0"/>
    <w:rPr>
      <w:b/>
      <w:kern w:val="2"/>
      <w:sz w:val="24"/>
      <w:shd w:val="clear" w:color="auto" w:fill="FFFFFF"/>
    </w:rPr>
  </w:style>
  <w:style w:type="character" w:customStyle="1" w:styleId="112">
    <w:name w:val="标题 8 字符"/>
    <w:link w:val="10"/>
    <w:qFormat/>
    <w:uiPriority w:val="0"/>
    <w:rPr>
      <w:rFonts w:ascii="Arial" w:hAnsi="Arial" w:eastAsia="黑体"/>
      <w:kern w:val="2"/>
      <w:sz w:val="24"/>
      <w:shd w:val="clear" w:color="auto" w:fill="FFFFFF"/>
    </w:rPr>
  </w:style>
  <w:style w:type="character" w:customStyle="1" w:styleId="113">
    <w:name w:val="标题 9 字符"/>
    <w:link w:val="11"/>
    <w:qFormat/>
    <w:uiPriority w:val="0"/>
    <w:rPr>
      <w:rFonts w:ascii="Arial" w:hAnsi="Arial" w:eastAsia="黑体"/>
      <w:kern w:val="2"/>
      <w:sz w:val="21"/>
      <w:shd w:val="clear" w:color="auto" w:fill="FFFFFF"/>
    </w:rPr>
  </w:style>
  <w:style w:type="character" w:customStyle="1" w:styleId="114">
    <w:name w:val="批注文字 字符1"/>
    <w:link w:val="26"/>
    <w:qFormat/>
    <w:uiPriority w:val="0"/>
    <w:rPr>
      <w:rFonts w:ascii="宋体"/>
      <w:sz w:val="34"/>
      <w:shd w:val="clear" w:color="auto" w:fill="FFFFFF"/>
    </w:rPr>
  </w:style>
  <w:style w:type="character" w:customStyle="1" w:styleId="115">
    <w:name w:val="正文文本 3 字符"/>
    <w:link w:val="29"/>
    <w:qFormat/>
    <w:uiPriority w:val="0"/>
    <w:rPr>
      <w:kern w:val="2"/>
      <w:sz w:val="16"/>
      <w:szCs w:val="16"/>
      <w:shd w:val="clear" w:color="auto" w:fill="FFFFFF"/>
    </w:rPr>
  </w:style>
  <w:style w:type="character" w:customStyle="1" w:styleId="116">
    <w:name w:val="正文文本缩进 字符"/>
    <w:link w:val="33"/>
    <w:qFormat/>
    <w:uiPriority w:val="0"/>
    <w:rPr>
      <w:kern w:val="2"/>
      <w:sz w:val="21"/>
      <w:szCs w:val="24"/>
      <w:shd w:val="clear" w:color="auto" w:fill="FFFFFF"/>
    </w:rPr>
  </w:style>
  <w:style w:type="character" w:customStyle="1" w:styleId="117">
    <w:name w:val="正文文本缩进 2 字符"/>
    <w:link w:val="49"/>
    <w:qFormat/>
    <w:uiPriority w:val="0"/>
    <w:rPr>
      <w:rFonts w:ascii="宋体"/>
      <w:kern w:val="2"/>
      <w:sz w:val="21"/>
      <w:szCs w:val="24"/>
      <w:shd w:val="clear" w:color="auto" w:fill="FFFFFF"/>
    </w:rPr>
  </w:style>
  <w:style w:type="character" w:customStyle="1" w:styleId="118">
    <w:name w:val="批注框文本 字符1"/>
    <w:link w:val="52"/>
    <w:qFormat/>
    <w:uiPriority w:val="0"/>
    <w:rPr>
      <w:kern w:val="2"/>
      <w:sz w:val="18"/>
      <w:szCs w:val="18"/>
      <w:shd w:val="clear" w:color="auto" w:fill="FFFFFF"/>
    </w:rPr>
  </w:style>
  <w:style w:type="character" w:customStyle="1" w:styleId="119">
    <w:name w:val="页脚 字符1"/>
    <w:link w:val="53"/>
    <w:qFormat/>
    <w:uiPriority w:val="0"/>
    <w:rPr>
      <w:kern w:val="2"/>
      <w:sz w:val="18"/>
      <w:szCs w:val="18"/>
      <w:shd w:val="clear" w:color="auto" w:fill="FFFFFF"/>
    </w:rPr>
  </w:style>
  <w:style w:type="character" w:customStyle="1" w:styleId="120">
    <w:name w:val="页眉 字符1"/>
    <w:link w:val="55"/>
    <w:qFormat/>
    <w:uiPriority w:val="0"/>
    <w:rPr>
      <w:kern w:val="2"/>
      <w:sz w:val="18"/>
      <w:szCs w:val="18"/>
      <w:shd w:val="clear" w:color="auto" w:fill="FFFFFF"/>
    </w:rPr>
  </w:style>
  <w:style w:type="character" w:customStyle="1" w:styleId="121">
    <w:name w:val="脚注文本 字符"/>
    <w:link w:val="65"/>
    <w:qFormat/>
    <w:uiPriority w:val="0"/>
    <w:rPr>
      <w:kern w:val="2"/>
      <w:sz w:val="18"/>
      <w:szCs w:val="24"/>
    </w:rPr>
  </w:style>
  <w:style w:type="character" w:customStyle="1" w:styleId="122">
    <w:name w:val="正文文本缩进 3 字符"/>
    <w:link w:val="68"/>
    <w:qFormat/>
    <w:uiPriority w:val="0"/>
    <w:rPr>
      <w:rFonts w:ascii="宋体"/>
      <w:b/>
      <w:bCs/>
      <w:kern w:val="2"/>
      <w:sz w:val="24"/>
      <w:szCs w:val="24"/>
      <w:shd w:val="clear" w:color="auto" w:fill="FFFFFF"/>
    </w:rPr>
  </w:style>
  <w:style w:type="character" w:customStyle="1" w:styleId="123">
    <w:name w:val="正文文本 2 字符"/>
    <w:link w:val="73"/>
    <w:qFormat/>
    <w:uiPriority w:val="0"/>
    <w:rPr>
      <w:kern w:val="2"/>
      <w:sz w:val="24"/>
      <w:szCs w:val="24"/>
      <w:shd w:val="clear" w:color="auto" w:fill="FFFFFF"/>
    </w:rPr>
  </w:style>
  <w:style w:type="character" w:customStyle="1" w:styleId="124">
    <w:name w:val="HTML 预设格式 字符"/>
    <w:link w:val="77"/>
    <w:qFormat/>
    <w:uiPriority w:val="99"/>
    <w:rPr>
      <w:rFonts w:ascii="Arial Unicode MS" w:eastAsia="Arial Unicode MS"/>
      <w:color w:val="000000"/>
      <w:shd w:val="clear" w:color="auto" w:fill="FFFFFF"/>
    </w:rPr>
  </w:style>
  <w:style w:type="character" w:customStyle="1" w:styleId="125">
    <w:name w:val="标题 字符"/>
    <w:link w:val="81"/>
    <w:qFormat/>
    <w:uiPriority w:val="0"/>
    <w:rPr>
      <w:rFonts w:ascii="Arial" w:hAnsi="Arial"/>
      <w:b/>
      <w:bCs/>
      <w:kern w:val="2"/>
      <w:sz w:val="36"/>
      <w:szCs w:val="32"/>
      <w:shd w:val="clear" w:color="auto" w:fill="FFFFFF"/>
    </w:rPr>
  </w:style>
  <w:style w:type="character" w:customStyle="1" w:styleId="126">
    <w:name w:val="批注主题 字符"/>
    <w:link w:val="82"/>
    <w:qFormat/>
    <w:uiPriority w:val="0"/>
    <w:rPr>
      <w:b/>
      <w:bCs/>
      <w:kern w:val="2"/>
      <w:sz w:val="21"/>
      <w:szCs w:val="24"/>
      <w:shd w:val="clear" w:color="auto" w:fill="FFFFFF"/>
    </w:rPr>
  </w:style>
  <w:style w:type="paragraph" w:customStyle="1" w:styleId="127">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128">
    <w:name w:val="标题 3 Char"/>
    <w:qFormat/>
    <w:uiPriority w:val="0"/>
    <w:rPr>
      <w:rFonts w:ascii="黑体" w:eastAsia="黑体"/>
      <w:bCs/>
      <w:sz w:val="30"/>
    </w:rPr>
  </w:style>
  <w:style w:type="paragraph" w:customStyle="1" w:styleId="129">
    <w:name w:val="样式41"/>
    <w:basedOn w:val="1"/>
    <w:qFormat/>
    <w:uiPriority w:val="0"/>
    <w:pPr>
      <w:tabs>
        <w:tab w:val="left" w:pos="945"/>
        <w:tab w:val="left" w:pos="2040"/>
      </w:tabs>
      <w:ind w:left="1000" w:leftChars="800" w:hanging="200" w:hangingChars="200"/>
    </w:pPr>
    <w:rPr>
      <w:b/>
      <w:color w:val="000000"/>
      <w:sz w:val="24"/>
      <w:szCs w:val="20"/>
    </w:rPr>
  </w:style>
  <w:style w:type="paragraph" w:customStyle="1" w:styleId="130">
    <w:name w:val="图"/>
    <w:basedOn w:val="1"/>
    <w:qFormat/>
    <w:uiPriority w:val="0"/>
    <w:pPr>
      <w:keepNext/>
      <w:spacing w:before="60" w:after="60" w:line="300" w:lineRule="auto"/>
      <w:jc w:val="center"/>
    </w:pPr>
    <w:rPr>
      <w:spacing w:val="20"/>
      <w:sz w:val="24"/>
      <w:szCs w:val="20"/>
    </w:rPr>
  </w:style>
  <w:style w:type="paragraph" w:customStyle="1" w:styleId="131">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132">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133">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134">
    <w:name w:val="Table Contents"/>
    <w:basedOn w:val="1"/>
    <w:qFormat/>
    <w:uiPriority w:val="0"/>
    <w:pPr>
      <w:suppressAutoHyphens/>
      <w:autoSpaceDE w:val="0"/>
      <w:spacing w:after="120"/>
      <w:jc w:val="left"/>
    </w:pPr>
    <w:rPr>
      <w:rFonts w:ascii="Helvetica" w:hAnsi="Helvetica"/>
      <w:kern w:val="2"/>
      <w:sz w:val="20"/>
      <w:szCs w:val="20"/>
    </w:rPr>
  </w:style>
  <w:style w:type="paragraph" w:customStyle="1" w:styleId="135">
    <w:name w:val="自定义正文"/>
    <w:basedOn w:val="1"/>
    <w:qFormat/>
    <w:uiPriority w:val="0"/>
    <w:pPr>
      <w:spacing w:afterLines="50"/>
      <w:ind w:left="600" w:leftChars="600"/>
    </w:pPr>
  </w:style>
  <w:style w:type="paragraph" w:customStyle="1" w:styleId="136">
    <w:name w:val="Char Char Char Char Char"/>
    <w:basedOn w:val="1"/>
    <w:qFormat/>
    <w:uiPriority w:val="0"/>
    <w:rPr>
      <w:rFonts w:ascii="Tahoma" w:hAnsi="Tahoma"/>
      <w:sz w:val="24"/>
      <w:szCs w:val="20"/>
    </w:rPr>
  </w:style>
  <w:style w:type="paragraph" w:customStyle="1" w:styleId="13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138">
    <w:name w:val="Char Char"/>
    <w:basedOn w:val="1"/>
    <w:qFormat/>
    <w:uiPriority w:val="0"/>
    <w:rPr>
      <w:rFonts w:ascii="Tahoma" w:hAnsi="Tahoma"/>
      <w:sz w:val="24"/>
      <w:szCs w:val="20"/>
    </w:rPr>
  </w:style>
  <w:style w:type="paragraph" w:customStyle="1" w:styleId="139">
    <w:name w:val="È±Ê¡ÎÄ±¾"/>
    <w:basedOn w:val="1"/>
    <w:qFormat/>
    <w:uiPriority w:val="0"/>
    <w:pPr>
      <w:overflowPunct w:val="0"/>
      <w:autoSpaceDE w:val="0"/>
      <w:autoSpaceDN w:val="0"/>
      <w:jc w:val="left"/>
      <w:textAlignment w:val="baseline"/>
    </w:pPr>
    <w:rPr>
      <w:sz w:val="24"/>
      <w:szCs w:val="20"/>
    </w:rPr>
  </w:style>
  <w:style w:type="character" w:customStyle="1" w:styleId="140">
    <w:name w:val="apple-converted-space"/>
    <w:qFormat/>
    <w:uiPriority w:val="0"/>
  </w:style>
  <w:style w:type="paragraph" w:customStyle="1" w:styleId="141">
    <w:name w:val="TOC 标题1"/>
    <w:basedOn w:val="2"/>
    <w:next w:val="1"/>
    <w:qFormat/>
    <w:uiPriority w:val="0"/>
    <w:pPr>
      <w:spacing w:before="480" w:after="0" w:line="276" w:lineRule="auto"/>
      <w:jc w:val="left"/>
      <w:outlineLvl w:val="9"/>
    </w:pPr>
    <w:rPr>
      <w:rFonts w:ascii="Cambria" w:hAnsi="Cambria" w:eastAsia="宋体"/>
      <w:color w:val="365F91"/>
      <w:kern w:val="0"/>
    </w:rPr>
  </w:style>
  <w:style w:type="paragraph" w:customStyle="1" w:styleId="142">
    <w:name w:val="Char Char Char"/>
    <w:basedOn w:val="1"/>
    <w:qFormat/>
    <w:uiPriority w:val="0"/>
    <w:rPr>
      <w:rFonts w:ascii="Tahoma" w:hAnsi="Tahoma"/>
      <w:sz w:val="24"/>
      <w:szCs w:val="20"/>
    </w:rPr>
  </w:style>
  <w:style w:type="paragraph" w:customStyle="1" w:styleId="143">
    <w:name w:val="列出段落1"/>
    <w:basedOn w:val="1"/>
    <w:link w:val="144"/>
    <w:qFormat/>
    <w:uiPriority w:val="0"/>
    <w:pPr>
      <w:ind w:firstLine="200" w:firstLineChars="200"/>
    </w:pPr>
    <w:rPr>
      <w:rFonts w:ascii="Times New Roman" w:cs="Times New Roman"/>
      <w:kern w:val="2"/>
    </w:rPr>
  </w:style>
  <w:style w:type="character" w:customStyle="1" w:styleId="144">
    <w:name w:val="List Paragraph Char"/>
    <w:link w:val="143"/>
    <w:qFormat/>
    <w:locked/>
    <w:uiPriority w:val="0"/>
    <w:rPr>
      <w:kern w:val="2"/>
      <w:sz w:val="21"/>
      <w:szCs w:val="24"/>
      <w:shd w:val="clear" w:color="auto" w:fill="FFFFFF"/>
    </w:rPr>
  </w:style>
  <w:style w:type="paragraph" w:customStyle="1" w:styleId="145">
    <w:name w:val="Default"/>
    <w:qFormat/>
    <w:uiPriority w:val="0"/>
    <w:pPr>
      <w:widowControl w:val="0"/>
      <w:autoSpaceDE w:val="0"/>
      <w:autoSpaceDN w:val="0"/>
      <w:adjustRightInd w:val="0"/>
      <w:spacing w:line="360" w:lineRule="auto"/>
      <w:jc w:val="both"/>
    </w:pPr>
    <w:rPr>
      <w:rFonts w:ascii="宋体" w:hAnsi="Times New Roman" w:eastAsia="宋体" w:cs="Times New Roman"/>
      <w:color w:val="000000"/>
      <w:sz w:val="24"/>
      <w:szCs w:val="24"/>
      <w:lang w:val="en-US" w:eastAsia="zh-CN" w:bidi="ar-SA"/>
    </w:rPr>
  </w:style>
  <w:style w:type="paragraph" w:customStyle="1" w:styleId="146">
    <w:name w:val="主题"/>
    <w:basedOn w:val="1"/>
    <w:qFormat/>
    <w:uiPriority w:val="0"/>
  </w:style>
  <w:style w:type="paragraph" w:customStyle="1" w:styleId="147">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148">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149">
    <w:name w:val="表1黑体居中"/>
    <w:basedOn w:val="1"/>
    <w:qFormat/>
    <w:uiPriority w:val="0"/>
    <w:pPr>
      <w:ind w:firstLine="435"/>
      <w:jc w:val="center"/>
      <w:textAlignment w:val="baseline"/>
    </w:pPr>
    <w:rPr>
      <w:rFonts w:ascii="黑体" w:eastAsia="黑体"/>
      <w:szCs w:val="21"/>
    </w:rPr>
  </w:style>
  <w:style w:type="paragraph" w:customStyle="1" w:styleId="150">
    <w:name w:val="MaoC2"/>
    <w:basedOn w:val="1"/>
    <w:qFormat/>
    <w:uiPriority w:val="0"/>
    <w:pPr>
      <w:numPr>
        <w:ilvl w:val="1"/>
        <w:numId w:val="11"/>
      </w:numPr>
      <w:spacing w:line="480" w:lineRule="auto"/>
      <w:outlineLvl w:val="1"/>
    </w:pPr>
    <w:rPr>
      <w:rFonts w:ascii="黑体" w:eastAsia="黑体"/>
      <w:szCs w:val="20"/>
    </w:rPr>
  </w:style>
  <w:style w:type="paragraph" w:customStyle="1" w:styleId="151">
    <w:name w:val="图目录4"/>
    <w:basedOn w:val="1"/>
    <w:next w:val="1"/>
    <w:qFormat/>
    <w:uiPriority w:val="0"/>
    <w:pPr>
      <w:numPr>
        <w:ilvl w:val="0"/>
        <w:numId w:val="12"/>
      </w:numPr>
      <w:ind w:left="0" w:hanging="448"/>
      <w:jc w:val="center"/>
      <w:textAlignment w:val="baseline"/>
    </w:pPr>
    <w:rPr>
      <w:szCs w:val="20"/>
    </w:rPr>
  </w:style>
  <w:style w:type="paragraph" w:customStyle="1" w:styleId="152">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53">
    <w:name w:val="样式1"/>
    <w:basedOn w:val="1"/>
    <w:qFormat/>
    <w:uiPriority w:val="0"/>
    <w:pPr>
      <w:keepNext/>
      <w:keepLines/>
      <w:numPr>
        <w:ilvl w:val="0"/>
        <w:numId w:val="13"/>
      </w:numPr>
      <w:spacing w:before="340" w:after="330"/>
      <w:outlineLvl w:val="0"/>
    </w:pPr>
    <w:rPr>
      <w:b/>
      <w:kern w:val="44"/>
      <w:sz w:val="44"/>
      <w:szCs w:val="20"/>
    </w:rPr>
  </w:style>
  <w:style w:type="paragraph" w:customStyle="1" w:styleId="154">
    <w:name w:val="参数内容"/>
    <w:basedOn w:val="143"/>
    <w:qFormat/>
    <w:uiPriority w:val="0"/>
    <w:pPr>
      <w:numPr>
        <w:ilvl w:val="0"/>
        <w:numId w:val="14"/>
      </w:numPr>
      <w:ind w:left="0" w:firstLine="0" w:firstLineChars="0"/>
    </w:pPr>
    <w:rPr>
      <w:szCs w:val="18"/>
    </w:rPr>
  </w:style>
  <w:style w:type="paragraph" w:customStyle="1" w:styleId="155">
    <w:name w:val="标准正文"/>
    <w:basedOn w:val="33"/>
    <w:qFormat/>
    <w:uiPriority w:val="0"/>
    <w:pPr>
      <w:spacing w:before="60" w:after="60"/>
      <w:ind w:firstLine="482" w:firstLineChars="0"/>
      <w:jc w:val="left"/>
    </w:pPr>
    <w:rPr>
      <w:rFonts w:ascii="宋体"/>
      <w:kern w:val="0"/>
      <w:sz w:val="24"/>
      <w:szCs w:val="20"/>
    </w:rPr>
  </w:style>
  <w:style w:type="paragraph" w:customStyle="1" w:styleId="156">
    <w:name w:val="下级参数内容"/>
    <w:basedOn w:val="143"/>
    <w:qFormat/>
    <w:uiPriority w:val="0"/>
    <w:pPr>
      <w:numPr>
        <w:ilvl w:val="0"/>
        <w:numId w:val="15"/>
      </w:numPr>
      <w:ind w:left="1134" w:firstLine="0" w:firstLineChars="0"/>
    </w:pPr>
    <w:rPr>
      <w:rFonts w:ascii="仿宋" w:hAnsi="仿宋"/>
    </w:rPr>
  </w:style>
  <w:style w:type="paragraph" w:customStyle="1" w:styleId="157">
    <w:name w:val="Char Char Char1"/>
    <w:basedOn w:val="1"/>
    <w:qFormat/>
    <w:uiPriority w:val="0"/>
    <w:rPr>
      <w:rFonts w:ascii="Tahoma" w:hAnsi="Tahoma"/>
      <w:sz w:val="24"/>
      <w:szCs w:val="20"/>
    </w:rPr>
  </w:style>
  <w:style w:type="paragraph" w:customStyle="1" w:styleId="158">
    <w:name w:val="Char Char10 Char Char"/>
    <w:basedOn w:val="24"/>
    <w:qFormat/>
    <w:uiPriority w:val="0"/>
    <w:rPr>
      <w:rFonts w:ascii="Tahoma" w:hAnsi="Tahoma"/>
      <w:sz w:val="24"/>
    </w:rPr>
  </w:style>
  <w:style w:type="paragraph" w:customStyle="1" w:styleId="159">
    <w:name w:val="_Style 95"/>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60">
    <w:name w:val="font5"/>
    <w:basedOn w:val="1"/>
    <w:qFormat/>
    <w:uiPriority w:val="0"/>
    <w:pPr>
      <w:spacing w:before="100" w:beforeAutospacing="1" w:after="100" w:afterAutospacing="1"/>
      <w:jc w:val="left"/>
    </w:pPr>
    <w:rPr>
      <w:sz w:val="18"/>
      <w:szCs w:val="18"/>
    </w:rPr>
  </w:style>
  <w:style w:type="paragraph" w:customStyle="1" w:styleId="161">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62">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6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64">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65">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66">
    <w:name w:val="样式 标题 3style3H3h33rd levelLevel 3 Headlevel_3PIM 33l3C..."/>
    <w:basedOn w:val="3"/>
    <w:qFormat/>
    <w:uiPriority w:val="0"/>
    <w:pPr>
      <w:tabs>
        <w:tab w:val="left" w:pos="851"/>
      </w:tabs>
      <w:spacing w:beforeLines="50" w:afterLines="50" w:line="415" w:lineRule="auto"/>
      <w:ind w:left="-2" w:leftChars="-2" w:right="220" w:firstLine="203" w:firstLineChars="203"/>
      <w:jc w:val="left"/>
    </w:pPr>
    <w:rPr>
      <w:rFonts w:ascii="Times New Roman"/>
      <w:bCs w:val="0"/>
      <w:color w:val="000000"/>
      <w:szCs w:val="20"/>
    </w:rPr>
  </w:style>
  <w:style w:type="paragraph" w:customStyle="1" w:styleId="167">
    <w:name w:val="样式2"/>
    <w:basedOn w:val="2"/>
    <w:qFormat/>
    <w:uiPriority w:val="0"/>
    <w:pPr>
      <w:keepNext/>
      <w:keepLines/>
      <w:spacing w:before="0" w:after="0" w:line="578" w:lineRule="auto"/>
      <w:ind w:left="1200"/>
      <w:jc w:val="both"/>
    </w:pPr>
    <w:rPr>
      <w:rFonts w:eastAsia="宋体"/>
      <w:szCs w:val="44"/>
    </w:rPr>
  </w:style>
  <w:style w:type="paragraph" w:customStyle="1" w:styleId="168">
    <w:name w:val="样式3"/>
    <w:basedOn w:val="1"/>
    <w:qFormat/>
    <w:uiPriority w:val="0"/>
    <w:pPr>
      <w:ind w:left="1620" w:hanging="420"/>
      <w:outlineLvl w:val="2"/>
    </w:pPr>
    <w:rPr>
      <w:b/>
    </w:rPr>
  </w:style>
  <w:style w:type="paragraph" w:customStyle="1" w:styleId="169">
    <w:name w:val="样式4"/>
    <w:basedOn w:val="143"/>
    <w:qFormat/>
    <w:uiPriority w:val="0"/>
    <w:pPr>
      <w:ind w:left="2040" w:firstLine="0" w:firstLineChars="0"/>
      <w:jc w:val="left"/>
      <w:outlineLvl w:val="3"/>
    </w:pPr>
    <w:rPr>
      <w:rFonts w:ascii="宋体"/>
    </w:rPr>
  </w:style>
  <w:style w:type="paragraph" w:customStyle="1" w:styleId="170">
    <w:name w:val="p0"/>
    <w:basedOn w:val="1"/>
    <w:qFormat/>
    <w:uiPriority w:val="0"/>
    <w:rPr>
      <w:rFonts w:ascii="Calibri" w:hAnsi="Calibri"/>
      <w:szCs w:val="21"/>
    </w:rPr>
  </w:style>
  <w:style w:type="paragraph" w:customStyle="1" w:styleId="171">
    <w:name w:val="图标题"/>
    <w:basedOn w:val="1"/>
    <w:qFormat/>
    <w:uiPriority w:val="0"/>
    <w:pPr>
      <w:jc w:val="center"/>
    </w:pPr>
    <w:rPr>
      <w:rFonts w:cs="Times New Roman"/>
      <w:kern w:val="2"/>
    </w:rPr>
  </w:style>
  <w:style w:type="paragraph" w:customStyle="1" w:styleId="172">
    <w:name w:val="表标题"/>
    <w:basedOn w:val="1"/>
    <w:qFormat/>
    <w:uiPriority w:val="0"/>
    <w:pPr>
      <w:jc w:val="center"/>
    </w:pPr>
    <w:rPr>
      <w:rFonts w:eastAsia="黑体"/>
      <w:b/>
    </w:rPr>
  </w:style>
  <w:style w:type="paragraph" w:customStyle="1" w:styleId="173">
    <w:name w:val="正文-1级标题-1"/>
    <w:basedOn w:val="1"/>
    <w:next w:val="1"/>
    <w:qFormat/>
    <w:uiPriority w:val="0"/>
    <w:pPr>
      <w:keepNext/>
      <w:tabs>
        <w:tab w:val="left" w:pos="420"/>
        <w:tab w:val="clear" w:pos="426"/>
      </w:tabs>
      <w:spacing w:beforeLines="30" w:afterLines="30"/>
    </w:pPr>
    <w:rPr>
      <w:b/>
      <w:sz w:val="24"/>
      <w:szCs w:val="28"/>
      <w:lang w:val="en-GB" w:eastAsia="en-GB"/>
    </w:rPr>
  </w:style>
  <w:style w:type="paragraph" w:customStyle="1" w:styleId="174">
    <w:name w:val="正文-1级列表-(1)"/>
    <w:basedOn w:val="1"/>
    <w:qFormat/>
    <w:uiPriority w:val="0"/>
    <w:pPr>
      <w:tabs>
        <w:tab w:val="left" w:pos="420"/>
        <w:tab w:val="clear" w:pos="426"/>
      </w:tabs>
      <w:ind w:left="800"/>
    </w:pPr>
    <w:rPr>
      <w:sz w:val="24"/>
      <w:lang w:val="en-GB" w:eastAsia="en-GB"/>
    </w:rPr>
  </w:style>
  <w:style w:type="paragraph" w:customStyle="1" w:styleId="175">
    <w:name w:val="样式 标题 1 + 段前: 0.5 行 段后: 0.5 行"/>
    <w:basedOn w:val="2"/>
    <w:qFormat/>
    <w:uiPriority w:val="0"/>
    <w:pPr>
      <w:keepNext/>
      <w:keepLines/>
      <w:numPr>
        <w:ilvl w:val="0"/>
        <w:numId w:val="16"/>
      </w:numPr>
      <w:spacing w:beforeLines="50" w:afterLines="50" w:line="578" w:lineRule="auto"/>
      <w:ind w:left="0" w:firstLine="0"/>
      <w:jc w:val="both"/>
    </w:pPr>
    <w:rPr>
      <w:rFonts w:ascii="Times New Roman" w:eastAsia="宋体"/>
      <w:sz w:val="44"/>
      <w:szCs w:val="20"/>
    </w:rPr>
  </w:style>
  <w:style w:type="paragraph" w:customStyle="1" w:styleId="176">
    <w:name w:val="样式 标题 4 + 段前: 0.5 行 段后: 0.5 行"/>
    <w:basedOn w:val="4"/>
    <w:qFormat/>
    <w:uiPriority w:val="0"/>
    <w:pPr>
      <w:spacing w:beforeLines="50" w:afterLines="50"/>
      <w:ind w:left="2240"/>
      <w:jc w:val="left"/>
    </w:pPr>
    <w:rPr>
      <w:rFonts w:ascii="Cambria" w:hAnsi="Cambria" w:eastAsia="宋体" w:cs="宋体"/>
      <w:sz w:val="24"/>
      <w:szCs w:val="20"/>
    </w:rPr>
  </w:style>
  <w:style w:type="paragraph" w:customStyle="1" w:styleId="177">
    <w:name w:val="样式 标题 4 + 段前: 0.5 行 段后: 0.5 行1"/>
    <w:basedOn w:val="4"/>
    <w:qFormat/>
    <w:uiPriority w:val="0"/>
    <w:pPr>
      <w:spacing w:beforeLines="50" w:afterLines="50"/>
      <w:ind w:left="-1" w:leftChars="-1" w:firstLine="233" w:firstLineChars="233"/>
      <w:jc w:val="left"/>
    </w:pPr>
    <w:rPr>
      <w:rFonts w:ascii="Cambria" w:hAnsi="Cambria" w:eastAsia="宋体" w:cs="宋体"/>
      <w:sz w:val="24"/>
      <w:szCs w:val="20"/>
    </w:rPr>
  </w:style>
  <w:style w:type="paragraph" w:customStyle="1" w:styleId="178">
    <w:name w:val="￥正文"/>
    <w:basedOn w:val="1"/>
    <w:qFormat/>
    <w:uiPriority w:val="0"/>
    <w:pPr>
      <w:ind w:firstLine="200" w:firstLineChars="200"/>
    </w:pPr>
    <w:rPr>
      <w:rFonts w:ascii="Calibri" w:hAnsi="Calibri" w:cs="Times New Roman"/>
      <w:kern w:val="2"/>
      <w:sz w:val="24"/>
      <w:szCs w:val="20"/>
    </w:rPr>
  </w:style>
  <w:style w:type="paragraph" w:customStyle="1" w:styleId="179">
    <w:name w:val="样式 标题 4h4heading 4h41heading 41h42heading 42h411heading ..."/>
    <w:basedOn w:val="4"/>
    <w:qFormat/>
    <w:uiPriority w:val="0"/>
    <w:pPr>
      <w:spacing w:beforeLines="50" w:afterLines="50"/>
      <w:ind w:left="2240" w:right="220"/>
      <w:jc w:val="left"/>
    </w:pPr>
    <w:rPr>
      <w:rFonts w:ascii="Cambria" w:hAnsi="Cambria" w:eastAsia="宋体" w:cs="宋体"/>
      <w:sz w:val="24"/>
      <w:szCs w:val="20"/>
    </w:rPr>
  </w:style>
  <w:style w:type="paragraph" w:customStyle="1" w:styleId="180">
    <w:name w:val="!项目ALT+P"/>
    <w:basedOn w:val="1"/>
    <w:qFormat/>
    <w:uiPriority w:val="0"/>
    <w:pPr>
      <w:numPr>
        <w:ilvl w:val="0"/>
        <w:numId w:val="17"/>
      </w:numPr>
      <w:tabs>
        <w:tab w:val="clear" w:pos="420"/>
      </w:tabs>
      <w:spacing w:line="320" w:lineRule="atLeast"/>
      <w:ind w:left="0" w:firstLine="0"/>
      <w:textAlignment w:val="baseline"/>
    </w:pPr>
    <w:rPr>
      <w:szCs w:val="21"/>
    </w:rPr>
  </w:style>
  <w:style w:type="paragraph" w:customStyle="1" w:styleId="181">
    <w:name w:val="样式 样式 (符号) 宋体 小四 行距: 1.5 倍行距 首行缩进:  1.5 字符 + 宋体 首行缩进:  2 字符"/>
    <w:basedOn w:val="1"/>
    <w:qFormat/>
    <w:uiPriority w:val="0"/>
    <w:pPr>
      <w:ind w:firstLine="200" w:firstLineChars="200"/>
    </w:pPr>
    <w:rPr>
      <w:sz w:val="24"/>
      <w:szCs w:val="20"/>
    </w:rPr>
  </w:style>
  <w:style w:type="paragraph" w:customStyle="1" w:styleId="182">
    <w:name w:val="正文内容"/>
    <w:basedOn w:val="1"/>
    <w:next w:val="24"/>
    <w:qFormat/>
    <w:uiPriority w:val="0"/>
    <w:rPr>
      <w:rFonts w:ascii="Times New Roman" w:cs="Times New Roman"/>
      <w:sz w:val="20"/>
    </w:rPr>
  </w:style>
  <w:style w:type="paragraph" w:customStyle="1" w:styleId="183">
    <w:name w:val="方案标题1"/>
    <w:basedOn w:val="81"/>
    <w:qFormat/>
    <w:uiPriority w:val="0"/>
    <w:pPr>
      <w:numPr>
        <w:ilvl w:val="0"/>
        <w:numId w:val="18"/>
      </w:numPr>
      <w:spacing w:beforeLines="50" w:afterLines="50"/>
      <w:ind w:firstLine="200" w:firstLineChars="200"/>
      <w:jc w:val="both"/>
    </w:pPr>
    <w:rPr>
      <w:color w:val="000000"/>
    </w:rPr>
  </w:style>
  <w:style w:type="paragraph" w:customStyle="1" w:styleId="184">
    <w:name w:val="方案标题2"/>
    <w:basedOn w:val="81"/>
    <w:qFormat/>
    <w:uiPriority w:val="0"/>
    <w:pPr>
      <w:numPr>
        <w:ilvl w:val="1"/>
        <w:numId w:val="18"/>
      </w:numPr>
      <w:spacing w:beforeLines="50" w:afterLines="50"/>
      <w:ind w:firstLine="200" w:firstLineChars="200"/>
      <w:jc w:val="left"/>
      <w:outlineLvl w:val="1"/>
    </w:pPr>
    <w:rPr>
      <w:rFonts w:eastAsia="仿宋_GB2312"/>
      <w:color w:val="000000"/>
      <w:sz w:val="30"/>
      <w:szCs w:val="30"/>
    </w:rPr>
  </w:style>
  <w:style w:type="paragraph" w:customStyle="1" w:styleId="185">
    <w:name w:val="方案标题3"/>
    <w:basedOn w:val="81"/>
    <w:qFormat/>
    <w:uiPriority w:val="0"/>
    <w:pPr>
      <w:numPr>
        <w:ilvl w:val="2"/>
        <w:numId w:val="18"/>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86">
    <w:name w:val="正文Land"/>
    <w:basedOn w:val="1"/>
    <w:qFormat/>
    <w:uiPriority w:val="0"/>
    <w:pPr>
      <w:spacing w:beforeLines="20" w:afterLines="50"/>
      <w:ind w:firstLine="200" w:firstLineChars="200"/>
    </w:pPr>
    <w:rPr>
      <w:color w:val="000000"/>
      <w:sz w:val="24"/>
    </w:rPr>
  </w:style>
  <w:style w:type="paragraph" w:customStyle="1" w:styleId="187">
    <w:name w:val="样式5"/>
    <w:basedOn w:val="1"/>
    <w:qFormat/>
    <w:uiPriority w:val="0"/>
    <w:pPr>
      <w:numPr>
        <w:ilvl w:val="0"/>
        <w:numId w:val="19"/>
      </w:numPr>
      <w:spacing w:beforeLines="50" w:afterLines="50"/>
      <w:ind w:left="0" w:firstLine="0"/>
    </w:pPr>
    <w:rPr>
      <w:rFonts w:eastAsia="仿宋_GB2312"/>
      <w:color w:val="000000"/>
      <w:sz w:val="24"/>
    </w:rPr>
  </w:style>
  <w:style w:type="paragraph" w:customStyle="1" w:styleId="188">
    <w:name w:val="font6"/>
    <w:basedOn w:val="1"/>
    <w:qFormat/>
    <w:uiPriority w:val="0"/>
    <w:pPr>
      <w:spacing w:beforeAutospacing="1" w:afterAutospacing="1"/>
      <w:jc w:val="left"/>
    </w:pPr>
    <w:rPr>
      <w:sz w:val="18"/>
      <w:szCs w:val="18"/>
    </w:rPr>
  </w:style>
  <w:style w:type="paragraph" w:customStyle="1" w:styleId="189">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90">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91">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92">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93">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94">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95">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9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97">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98">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99">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200">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201">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202">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203">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204">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205">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206">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207">
    <w:name w:val="xl87"/>
    <w:basedOn w:val="1"/>
    <w:qFormat/>
    <w:uiPriority w:val="0"/>
    <w:pPr>
      <w:spacing w:beforeAutospacing="1" w:afterAutospacing="1"/>
      <w:jc w:val="left"/>
    </w:pPr>
    <w:rPr>
      <w:sz w:val="24"/>
    </w:rPr>
  </w:style>
  <w:style w:type="paragraph" w:customStyle="1" w:styleId="20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209">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210">
    <w:name w:val="Bulleted Items--Level 2"/>
    <w:basedOn w:val="1"/>
    <w:qFormat/>
    <w:uiPriority w:val="0"/>
    <w:pPr>
      <w:numPr>
        <w:ilvl w:val="0"/>
        <w:numId w:val="20"/>
      </w:numPr>
      <w:tabs>
        <w:tab w:val="left" w:pos="1771"/>
        <w:tab w:val="left" w:pos="2520"/>
        <w:tab w:val="clear" w:pos="360"/>
      </w:tabs>
      <w:spacing w:line="280" w:lineRule="exact"/>
      <w:ind w:left="2520" w:firstLine="0"/>
    </w:pPr>
    <w:rPr>
      <w:color w:val="000000"/>
      <w:sz w:val="22"/>
      <w:szCs w:val="20"/>
      <w:lang w:eastAsia="en-US"/>
    </w:rPr>
  </w:style>
  <w:style w:type="paragraph" w:customStyle="1" w:styleId="211">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212">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213">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214">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15">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1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2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218">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21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220">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221">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222">
    <w:name w:val="xl101"/>
    <w:basedOn w:val="1"/>
    <w:qFormat/>
    <w:uiPriority w:val="0"/>
    <w:pPr>
      <w:spacing w:beforeAutospacing="1" w:afterAutospacing="1"/>
      <w:jc w:val="left"/>
      <w:textAlignment w:val="center"/>
    </w:pPr>
    <w:rPr>
      <w:color w:val="FF0000"/>
      <w:sz w:val="20"/>
      <w:szCs w:val="20"/>
    </w:rPr>
  </w:style>
  <w:style w:type="paragraph" w:customStyle="1" w:styleId="223">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224">
    <w:name w:val="xl103"/>
    <w:basedOn w:val="1"/>
    <w:qFormat/>
    <w:uiPriority w:val="0"/>
    <w:pPr>
      <w:spacing w:beforeAutospacing="1" w:afterAutospacing="1"/>
      <w:jc w:val="left"/>
      <w:textAlignment w:val="center"/>
    </w:pPr>
    <w:rPr>
      <w:color w:val="FF0000"/>
      <w:sz w:val="22"/>
      <w:szCs w:val="22"/>
    </w:rPr>
  </w:style>
  <w:style w:type="paragraph" w:customStyle="1" w:styleId="225">
    <w:name w:val="xl104"/>
    <w:basedOn w:val="1"/>
    <w:qFormat/>
    <w:uiPriority w:val="0"/>
    <w:pPr>
      <w:spacing w:beforeAutospacing="1" w:afterAutospacing="1"/>
      <w:jc w:val="center"/>
    </w:pPr>
    <w:rPr>
      <w:sz w:val="24"/>
    </w:rPr>
  </w:style>
  <w:style w:type="paragraph" w:customStyle="1" w:styleId="226">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227">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228">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229">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230">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23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2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233">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234">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235">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236">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237">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23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23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240">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41">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4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43">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44">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45">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46">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47">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48">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49">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5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51">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52">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eastAsia="黑体"/>
      <w:b/>
      <w:bCs/>
      <w:sz w:val="28"/>
      <w:szCs w:val="28"/>
    </w:rPr>
  </w:style>
  <w:style w:type="paragraph" w:customStyle="1" w:styleId="253">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eastAsia="黑体"/>
      <w:b/>
      <w:bCs/>
      <w:sz w:val="28"/>
      <w:szCs w:val="28"/>
    </w:rPr>
  </w:style>
  <w:style w:type="paragraph" w:customStyle="1" w:styleId="254">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eastAsia="黑体"/>
      <w:b/>
      <w:bCs/>
      <w:sz w:val="28"/>
      <w:szCs w:val="28"/>
    </w:rPr>
  </w:style>
  <w:style w:type="paragraph" w:customStyle="1" w:styleId="255">
    <w:name w:val="样式 首行缩进:  0 字符"/>
    <w:basedOn w:val="1"/>
    <w:qFormat/>
    <w:uiPriority w:val="0"/>
    <w:pPr>
      <w:ind w:firstLine="200" w:firstLineChars="200"/>
    </w:pPr>
    <w:rPr>
      <w:sz w:val="24"/>
      <w:szCs w:val="20"/>
    </w:rPr>
  </w:style>
  <w:style w:type="paragraph" w:customStyle="1" w:styleId="256">
    <w:name w:val="5"/>
    <w:basedOn w:val="1"/>
    <w:qFormat/>
    <w:uiPriority w:val="0"/>
    <w:pPr>
      <w:ind w:firstLine="200" w:firstLineChars="200"/>
      <w:jc w:val="left"/>
    </w:pPr>
    <w:rPr>
      <w:sz w:val="24"/>
    </w:rPr>
  </w:style>
  <w:style w:type="paragraph" w:customStyle="1" w:styleId="257">
    <w:name w:val="正文1"/>
    <w:link w:val="258"/>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character" w:customStyle="1" w:styleId="258">
    <w:name w:val="正文1 Char Char"/>
    <w:link w:val="257"/>
    <w:qFormat/>
    <w:uiPriority w:val="0"/>
    <w:rPr>
      <w:rFonts w:ascii="宋体"/>
      <w:sz w:val="28"/>
      <w:lang w:bidi="ar-SA"/>
    </w:rPr>
  </w:style>
  <w:style w:type="paragraph" w:customStyle="1" w:styleId="259">
    <w:name w:val="附件标题"/>
    <w:basedOn w:val="1"/>
    <w:qFormat/>
    <w:uiPriority w:val="0"/>
    <w:pPr>
      <w:ind w:firstLine="200" w:firstLineChars="200"/>
      <w:jc w:val="center"/>
    </w:pPr>
    <w:rPr>
      <w:rFonts w:ascii="Arial" w:hAnsi="Arial" w:eastAsia="黑体"/>
      <w:sz w:val="24"/>
    </w:rPr>
  </w:style>
  <w:style w:type="paragraph" w:customStyle="1" w:styleId="260">
    <w:name w:val="附件(1)"/>
    <w:basedOn w:val="1"/>
    <w:qFormat/>
    <w:uiPriority w:val="0"/>
    <w:pPr>
      <w:numPr>
        <w:ilvl w:val="0"/>
        <w:numId w:val="21"/>
      </w:numPr>
      <w:ind w:left="0" w:firstLine="200" w:firstLineChars="200"/>
    </w:pPr>
    <w:rPr>
      <w:sz w:val="24"/>
    </w:rPr>
  </w:style>
  <w:style w:type="paragraph" w:customStyle="1" w:styleId="261">
    <w:name w:val="附件1."/>
    <w:basedOn w:val="2"/>
    <w:qFormat/>
    <w:uiPriority w:val="0"/>
    <w:pPr>
      <w:tabs>
        <w:tab w:val="left" w:pos="360"/>
        <w:tab w:val="left" w:pos="420"/>
        <w:tab w:val="clear" w:pos="426"/>
      </w:tabs>
      <w:spacing w:before="0" w:after="0" w:line="360" w:lineRule="auto"/>
      <w:ind w:left="567" w:hanging="567"/>
      <w:jc w:val="both"/>
    </w:pPr>
    <w:rPr>
      <w:rFonts w:ascii="Times New Roman" w:eastAsia="宋体"/>
      <w:sz w:val="24"/>
      <w:szCs w:val="44"/>
    </w:rPr>
  </w:style>
  <w:style w:type="paragraph" w:customStyle="1" w:styleId="262">
    <w:name w:val="附件圈"/>
    <w:basedOn w:val="260"/>
    <w:qFormat/>
    <w:uiPriority w:val="0"/>
    <w:pPr>
      <w:numPr>
        <w:numId w:val="0"/>
      </w:numPr>
      <w:tabs>
        <w:tab w:val="left" w:pos="420"/>
        <w:tab w:val="clear" w:pos="426"/>
      </w:tabs>
      <w:ind w:firstLine="200" w:firstLineChars="200"/>
    </w:pPr>
  </w:style>
  <w:style w:type="paragraph" w:customStyle="1" w:styleId="263">
    <w:name w:val="样式 标题 2H2Heading 2 HiddenHeading 2 CCBSheading 22nd levelh..."/>
    <w:basedOn w:val="5"/>
    <w:qFormat/>
    <w:uiPriority w:val="0"/>
    <w:pPr>
      <w:snapToGrid w:val="0"/>
      <w:spacing w:before="120" w:after="120"/>
      <w:ind w:left="576" w:hanging="576"/>
      <w:jc w:val="left"/>
      <w:textAlignment w:val="auto"/>
    </w:pPr>
    <w:rPr>
      <w:bCs/>
      <w:kern w:val="2"/>
      <w:szCs w:val="28"/>
    </w:rPr>
  </w:style>
  <w:style w:type="paragraph" w:customStyle="1" w:styleId="264">
    <w:name w:val="样式 标题 2H2Heading 2 HiddenHeading 2 CCBSheading 22nd levelh...1"/>
    <w:basedOn w:val="5"/>
    <w:qFormat/>
    <w:uiPriority w:val="0"/>
    <w:pPr>
      <w:snapToGrid w:val="0"/>
      <w:spacing w:before="240" w:after="240"/>
      <w:ind w:left="576" w:hanging="576"/>
      <w:jc w:val="left"/>
      <w:textAlignment w:val="auto"/>
    </w:pPr>
    <w:rPr>
      <w:bCs/>
      <w:kern w:val="2"/>
      <w:szCs w:val="28"/>
    </w:rPr>
  </w:style>
  <w:style w:type="paragraph" w:customStyle="1" w:styleId="265">
    <w:name w:val="CM51"/>
    <w:basedOn w:val="145"/>
    <w:next w:val="145"/>
    <w:qFormat/>
    <w:uiPriority w:val="0"/>
    <w:pPr>
      <w:spacing w:after="103"/>
    </w:pPr>
    <w:rPr>
      <w:rFonts w:ascii="黑体" w:eastAsia="黑体"/>
      <w:color w:val="auto"/>
    </w:rPr>
  </w:style>
  <w:style w:type="paragraph" w:customStyle="1" w:styleId="266">
    <w:name w:val="pan"/>
    <w:basedOn w:val="143"/>
    <w:qFormat/>
    <w:uiPriority w:val="0"/>
    <w:pPr>
      <w:numPr>
        <w:ilvl w:val="0"/>
        <w:numId w:val="22"/>
      </w:numPr>
      <w:tabs>
        <w:tab w:val="left" w:pos="840"/>
      </w:tabs>
      <w:ind w:left="840" w:hanging="420" w:firstLineChars="0"/>
      <w:outlineLvl w:val="0"/>
    </w:pPr>
    <w:rPr>
      <w:rFonts w:ascii="黑体" w:eastAsia="黑体"/>
      <w:sz w:val="32"/>
      <w:szCs w:val="32"/>
    </w:rPr>
  </w:style>
  <w:style w:type="paragraph" w:customStyle="1" w:styleId="267">
    <w:name w:val="pan2"/>
    <w:basedOn w:val="143"/>
    <w:qFormat/>
    <w:uiPriority w:val="0"/>
    <w:pPr>
      <w:numPr>
        <w:ilvl w:val="1"/>
        <w:numId w:val="22"/>
      </w:numPr>
      <w:tabs>
        <w:tab w:val="left" w:pos="840"/>
      </w:tabs>
      <w:ind w:left="840" w:hanging="420" w:firstLineChars="0"/>
      <w:outlineLvl w:val="1"/>
    </w:pPr>
    <w:rPr>
      <w:rFonts w:ascii="黑体" w:eastAsia="黑体"/>
      <w:sz w:val="30"/>
      <w:szCs w:val="30"/>
    </w:rPr>
  </w:style>
  <w:style w:type="paragraph" w:customStyle="1" w:styleId="268">
    <w:name w:val="pan3"/>
    <w:basedOn w:val="143"/>
    <w:qFormat/>
    <w:uiPriority w:val="0"/>
    <w:pPr>
      <w:numPr>
        <w:ilvl w:val="2"/>
        <w:numId w:val="22"/>
      </w:numPr>
      <w:tabs>
        <w:tab w:val="left" w:pos="1260"/>
      </w:tabs>
      <w:ind w:left="1260" w:hanging="420" w:firstLineChars="0"/>
      <w:outlineLvl w:val="2"/>
    </w:pPr>
    <w:rPr>
      <w:rFonts w:ascii="黑体" w:eastAsia="黑体"/>
      <w:sz w:val="28"/>
      <w:szCs w:val="28"/>
    </w:rPr>
  </w:style>
  <w:style w:type="paragraph" w:customStyle="1" w:styleId="269">
    <w:name w:val="pan4"/>
    <w:basedOn w:val="143"/>
    <w:qFormat/>
    <w:uiPriority w:val="0"/>
    <w:pPr>
      <w:numPr>
        <w:ilvl w:val="3"/>
        <w:numId w:val="22"/>
      </w:numPr>
      <w:tabs>
        <w:tab w:val="left" w:pos="1680"/>
      </w:tabs>
      <w:ind w:left="1680" w:hanging="420" w:firstLineChars="0"/>
      <w:outlineLvl w:val="3"/>
    </w:pPr>
    <w:rPr>
      <w:rFonts w:ascii="黑体" w:eastAsia="黑体"/>
      <w:sz w:val="28"/>
      <w:szCs w:val="28"/>
    </w:rPr>
  </w:style>
  <w:style w:type="paragraph" w:customStyle="1" w:styleId="270">
    <w:name w:val="pan5"/>
    <w:basedOn w:val="143"/>
    <w:qFormat/>
    <w:uiPriority w:val="0"/>
    <w:pPr>
      <w:numPr>
        <w:ilvl w:val="4"/>
        <w:numId w:val="22"/>
      </w:numPr>
      <w:tabs>
        <w:tab w:val="left" w:pos="1008"/>
      </w:tabs>
      <w:ind w:left="1008" w:hanging="1008" w:firstLineChars="0"/>
      <w:outlineLvl w:val="4"/>
    </w:pPr>
    <w:rPr>
      <w:rFonts w:ascii="黑体" w:eastAsia="黑体"/>
      <w:sz w:val="24"/>
    </w:rPr>
  </w:style>
  <w:style w:type="paragraph" w:customStyle="1" w:styleId="271">
    <w:name w:val="一级标题"/>
    <w:basedOn w:val="143"/>
    <w:qFormat/>
    <w:uiPriority w:val="0"/>
    <w:pPr>
      <w:numPr>
        <w:ilvl w:val="0"/>
        <w:numId w:val="23"/>
      </w:numPr>
      <w:spacing w:line="720" w:lineRule="auto"/>
      <w:ind w:firstLineChars="0"/>
      <w:jc w:val="center"/>
      <w:outlineLvl w:val="0"/>
    </w:pPr>
    <w:rPr>
      <w:rFonts w:ascii="黑体" w:eastAsia="黑体"/>
      <w:sz w:val="44"/>
      <w:szCs w:val="44"/>
    </w:rPr>
  </w:style>
  <w:style w:type="paragraph" w:customStyle="1" w:styleId="272">
    <w:name w:val="二级标题"/>
    <w:basedOn w:val="143"/>
    <w:qFormat/>
    <w:uiPriority w:val="0"/>
    <w:pPr>
      <w:numPr>
        <w:ilvl w:val="1"/>
        <w:numId w:val="23"/>
      </w:numPr>
      <w:spacing w:line="720" w:lineRule="auto"/>
      <w:ind w:firstLineChars="0"/>
      <w:outlineLvl w:val="1"/>
    </w:pPr>
    <w:rPr>
      <w:rFonts w:ascii="黑体" w:eastAsia="黑体"/>
      <w:sz w:val="36"/>
      <w:szCs w:val="36"/>
    </w:rPr>
  </w:style>
  <w:style w:type="paragraph" w:customStyle="1" w:styleId="273">
    <w:name w:val="三级标题"/>
    <w:basedOn w:val="143"/>
    <w:qFormat/>
    <w:uiPriority w:val="0"/>
    <w:pPr>
      <w:numPr>
        <w:ilvl w:val="2"/>
        <w:numId w:val="23"/>
      </w:numPr>
      <w:spacing w:line="720" w:lineRule="auto"/>
      <w:ind w:firstLineChars="0"/>
      <w:outlineLvl w:val="2"/>
    </w:pPr>
    <w:rPr>
      <w:rFonts w:ascii="黑体" w:eastAsia="黑体"/>
      <w:sz w:val="32"/>
      <w:szCs w:val="32"/>
    </w:rPr>
  </w:style>
  <w:style w:type="paragraph" w:customStyle="1" w:styleId="274">
    <w:name w:val="四级标题"/>
    <w:basedOn w:val="143"/>
    <w:qFormat/>
    <w:uiPriority w:val="0"/>
    <w:pPr>
      <w:numPr>
        <w:ilvl w:val="3"/>
        <w:numId w:val="23"/>
      </w:numPr>
      <w:spacing w:line="720" w:lineRule="auto"/>
      <w:ind w:firstLineChars="0"/>
      <w:outlineLvl w:val="3"/>
    </w:pPr>
    <w:rPr>
      <w:rFonts w:ascii="黑体" w:eastAsia="黑体"/>
      <w:sz w:val="30"/>
      <w:szCs w:val="30"/>
    </w:rPr>
  </w:style>
  <w:style w:type="paragraph" w:customStyle="1" w:styleId="275">
    <w:name w:val="五级标题"/>
    <w:basedOn w:val="143"/>
    <w:qFormat/>
    <w:uiPriority w:val="0"/>
    <w:pPr>
      <w:numPr>
        <w:ilvl w:val="4"/>
        <w:numId w:val="23"/>
      </w:numPr>
      <w:spacing w:line="720" w:lineRule="auto"/>
      <w:ind w:firstLineChars="0"/>
      <w:outlineLvl w:val="4"/>
    </w:pPr>
    <w:rPr>
      <w:rFonts w:ascii="黑体" w:eastAsia="黑体"/>
      <w:sz w:val="28"/>
      <w:szCs w:val="28"/>
    </w:rPr>
  </w:style>
  <w:style w:type="paragraph" w:customStyle="1" w:styleId="276">
    <w:name w:val="图片"/>
    <w:basedOn w:val="1"/>
    <w:qFormat/>
    <w:uiPriority w:val="0"/>
    <w:pPr>
      <w:ind w:firstLine="200" w:firstLineChars="200"/>
      <w:jc w:val="center"/>
    </w:pPr>
    <w:rPr>
      <w:rFonts w:cs="Times New Roman"/>
      <w:kern w:val="2"/>
      <w:sz w:val="24"/>
    </w:rPr>
  </w:style>
  <w:style w:type="paragraph" w:customStyle="1" w:styleId="277">
    <w:name w:val="图片注释"/>
    <w:basedOn w:val="1"/>
    <w:qFormat/>
    <w:uiPriority w:val="0"/>
    <w:pPr>
      <w:spacing w:afterLines="25"/>
      <w:ind w:firstLine="200" w:firstLineChars="200"/>
      <w:jc w:val="center"/>
    </w:pPr>
    <w:rPr>
      <w:rFonts w:cs="Times New Roman"/>
      <w:kern w:val="2"/>
      <w:sz w:val="24"/>
      <w:u w:val="single"/>
    </w:rPr>
  </w:style>
  <w:style w:type="paragraph" w:customStyle="1" w:styleId="278">
    <w:name w:val="段内层标"/>
    <w:basedOn w:val="182"/>
    <w:qFormat/>
    <w:uiPriority w:val="0"/>
    <w:pPr>
      <w:numPr>
        <w:ilvl w:val="0"/>
        <w:numId w:val="24"/>
      </w:numPr>
      <w:spacing w:beforeLines="25" w:afterLines="25"/>
      <w:ind w:left="0" w:firstLine="200" w:firstLineChars="200"/>
    </w:pPr>
    <w:rPr>
      <w:rFonts w:ascii="宋体"/>
      <w:b/>
      <w:kern w:val="2"/>
      <w:sz w:val="28"/>
      <w:szCs w:val="28"/>
    </w:rPr>
  </w:style>
  <w:style w:type="paragraph" w:customStyle="1" w:styleId="279">
    <w:name w:val="方案设计1级标题"/>
    <w:basedOn w:val="143"/>
    <w:qFormat/>
    <w:uiPriority w:val="0"/>
    <w:pPr>
      <w:tabs>
        <w:tab w:val="left" w:pos="840"/>
      </w:tabs>
      <w:ind w:left="840" w:firstLine="0" w:firstLineChars="0"/>
      <w:jc w:val="center"/>
      <w:outlineLvl w:val="0"/>
    </w:pPr>
    <w:rPr>
      <w:rFonts w:ascii="黑体" w:eastAsia="黑体"/>
      <w:sz w:val="44"/>
      <w:szCs w:val="44"/>
    </w:rPr>
  </w:style>
  <w:style w:type="paragraph" w:customStyle="1" w:styleId="280">
    <w:name w:val="方案设计2级标题"/>
    <w:basedOn w:val="143"/>
    <w:qFormat/>
    <w:uiPriority w:val="0"/>
    <w:pPr>
      <w:numPr>
        <w:ilvl w:val="1"/>
        <w:numId w:val="25"/>
      </w:numPr>
      <w:ind w:firstLine="0" w:firstLineChars="0"/>
      <w:outlineLvl w:val="1"/>
    </w:pPr>
    <w:rPr>
      <w:rFonts w:ascii="黑体" w:eastAsia="黑体"/>
      <w:sz w:val="32"/>
      <w:szCs w:val="32"/>
    </w:rPr>
  </w:style>
  <w:style w:type="paragraph" w:customStyle="1" w:styleId="281">
    <w:name w:val="标题3"/>
    <w:basedOn w:val="143"/>
    <w:qFormat/>
    <w:uiPriority w:val="0"/>
    <w:pPr>
      <w:numPr>
        <w:ilvl w:val="2"/>
        <w:numId w:val="25"/>
      </w:numPr>
      <w:ind w:firstLine="0" w:firstLineChars="0"/>
      <w:outlineLvl w:val="2"/>
    </w:pPr>
    <w:rPr>
      <w:rFonts w:ascii="黑体" w:eastAsia="黑体"/>
      <w:sz w:val="28"/>
      <w:szCs w:val="28"/>
    </w:rPr>
  </w:style>
  <w:style w:type="paragraph" w:customStyle="1" w:styleId="282">
    <w:name w:val="标题5"/>
    <w:basedOn w:val="143"/>
    <w:qFormat/>
    <w:uiPriority w:val="0"/>
    <w:pPr>
      <w:tabs>
        <w:tab w:val="left" w:pos="2038"/>
      </w:tabs>
      <w:ind w:left="2038" w:hanging="420" w:firstLineChars="0"/>
      <w:jc w:val="left"/>
      <w:outlineLvl w:val="4"/>
    </w:pPr>
    <w:rPr>
      <w:rFonts w:ascii="黑体" w:eastAsia="黑体"/>
      <w:sz w:val="28"/>
      <w:szCs w:val="28"/>
    </w:rPr>
  </w:style>
  <w:style w:type="paragraph" w:customStyle="1" w:styleId="283">
    <w:name w:val="正文标题"/>
    <w:basedOn w:val="1"/>
    <w:qFormat/>
    <w:uiPriority w:val="0"/>
    <w:pPr>
      <w:numPr>
        <w:ilvl w:val="0"/>
        <w:numId w:val="25"/>
      </w:numPr>
      <w:ind w:left="0" w:firstLine="200" w:firstLineChars="200"/>
    </w:pPr>
    <w:rPr>
      <w:rFonts w:ascii="Calibri" w:hAnsi="Calibri" w:cs="Times New Roman"/>
      <w:b/>
      <w:kern w:val="2"/>
      <w:sz w:val="28"/>
      <w:szCs w:val="28"/>
    </w:rPr>
  </w:style>
  <w:style w:type="paragraph" w:customStyle="1" w:styleId="284">
    <w:name w:val="样式 Verdana 四号 首行缩进:  2 字符"/>
    <w:basedOn w:val="1"/>
    <w:qFormat/>
    <w:uiPriority w:val="0"/>
    <w:pPr>
      <w:ind w:firstLine="200" w:firstLineChars="200"/>
      <w:jc w:val="left"/>
    </w:pPr>
    <w:rPr>
      <w:rFonts w:ascii="Verdana" w:hAnsi="Verdana"/>
      <w:sz w:val="24"/>
      <w:szCs w:val="20"/>
    </w:rPr>
  </w:style>
  <w:style w:type="paragraph" w:customStyle="1" w:styleId="285">
    <w:name w:val="层标"/>
    <w:basedOn w:val="182"/>
    <w:qFormat/>
    <w:uiPriority w:val="0"/>
    <w:pPr>
      <w:numPr>
        <w:ilvl w:val="0"/>
        <w:numId w:val="26"/>
      </w:numPr>
      <w:spacing w:beforeLines="25" w:afterLines="25"/>
      <w:ind w:left="0" w:firstLine="0"/>
    </w:pPr>
    <w:rPr>
      <w:rFonts w:ascii="宋体"/>
      <w:b/>
      <w:kern w:val="2"/>
      <w:sz w:val="28"/>
      <w:szCs w:val="28"/>
    </w:rPr>
  </w:style>
  <w:style w:type="paragraph" w:styleId="286">
    <w:name w:val="Quote"/>
    <w:basedOn w:val="1"/>
    <w:next w:val="1"/>
    <w:qFormat/>
    <w:uiPriority w:val="0"/>
    <w:pPr>
      <w:jc w:val="center"/>
    </w:pPr>
    <w:rPr>
      <w:rFonts w:ascii="Times New Roman" w:cs="Times New Roman"/>
      <w:iCs/>
      <w:color w:val="000000"/>
      <w:kern w:val="2"/>
      <w:sz w:val="24"/>
    </w:rPr>
  </w:style>
  <w:style w:type="character" w:customStyle="1" w:styleId="287">
    <w:name w:val="明显参考1"/>
    <w:qFormat/>
    <w:uiPriority w:val="0"/>
    <w:rPr>
      <w:rFonts w:eastAsia="宋体"/>
      <w:bCs/>
      <w:smallCaps/>
      <w:color w:val="000000"/>
      <w:spacing w:val="5"/>
      <w:sz w:val="24"/>
      <w:u w:val="single"/>
    </w:rPr>
  </w:style>
  <w:style w:type="paragraph" w:customStyle="1" w:styleId="288">
    <w:name w:val="段落强调"/>
    <w:basedOn w:val="1"/>
    <w:qFormat/>
    <w:uiPriority w:val="0"/>
    <w:pPr>
      <w:numPr>
        <w:ilvl w:val="0"/>
        <w:numId w:val="27"/>
      </w:numPr>
      <w:ind w:left="0" w:firstLine="420"/>
    </w:pPr>
    <w:rPr>
      <w:rFonts w:ascii="Times New Roman" w:cs="Times New Roman"/>
      <w:b/>
      <w:kern w:val="2"/>
      <w:sz w:val="24"/>
    </w:rPr>
  </w:style>
  <w:style w:type="character" w:customStyle="1" w:styleId="289">
    <w:name w:val="书籍标题1"/>
    <w:qFormat/>
    <w:uiPriority w:val="0"/>
    <w:rPr>
      <w:b/>
      <w:bCs/>
      <w:smallCaps/>
      <w:spacing w:val="5"/>
    </w:rPr>
  </w:style>
  <w:style w:type="paragraph" w:customStyle="1" w:styleId="290">
    <w:name w:val="段内主题"/>
    <w:basedOn w:val="1"/>
    <w:qFormat/>
    <w:uiPriority w:val="0"/>
    <w:pPr>
      <w:numPr>
        <w:ilvl w:val="1"/>
        <w:numId w:val="28"/>
      </w:numPr>
      <w:ind w:firstLine="0"/>
    </w:pPr>
    <w:rPr>
      <w:rFonts w:cs="Times New Roman"/>
      <w:b/>
      <w:kern w:val="2"/>
      <w:sz w:val="24"/>
    </w:rPr>
  </w:style>
  <w:style w:type="paragraph" w:customStyle="1" w:styleId="291">
    <w:name w:val="图片注释新"/>
    <w:basedOn w:val="277"/>
    <w:qFormat/>
    <w:uiPriority w:val="0"/>
    <w:pPr>
      <w:spacing w:afterLines="0"/>
      <w:ind w:firstLine="0" w:firstLineChars="0"/>
    </w:pPr>
  </w:style>
  <w:style w:type="paragraph" w:customStyle="1" w:styleId="292">
    <w:name w:val="正文（缩进）"/>
    <w:basedOn w:val="1"/>
    <w:qFormat/>
    <w:uiPriority w:val="0"/>
    <w:pPr>
      <w:spacing w:beforeLines="50" w:afterLines="50"/>
      <w:ind w:firstLine="200" w:firstLineChars="200"/>
    </w:pPr>
    <w:rPr>
      <w:rFonts w:ascii="Times New Roman" w:cs="Times New Roman"/>
      <w:sz w:val="24"/>
    </w:rPr>
  </w:style>
  <w:style w:type="character" w:customStyle="1" w:styleId="293">
    <w:name w:val="Char Char4"/>
    <w:qFormat/>
    <w:uiPriority w:val="0"/>
    <w:rPr>
      <w:rFonts w:eastAsia="宋体"/>
      <w:b/>
      <w:kern w:val="2"/>
      <w:sz w:val="24"/>
      <w:lang w:val="en-US" w:eastAsia="zh-CN" w:bidi="ar-SA"/>
    </w:rPr>
  </w:style>
  <w:style w:type="paragraph" w:customStyle="1" w:styleId="294">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95">
    <w:name w:val="pa-2"/>
    <w:basedOn w:val="1"/>
    <w:qFormat/>
    <w:uiPriority w:val="0"/>
    <w:pPr>
      <w:spacing w:before="100" w:beforeAutospacing="1" w:after="100" w:afterAutospacing="1"/>
      <w:jc w:val="left"/>
    </w:pPr>
    <w:rPr>
      <w:sz w:val="24"/>
    </w:rPr>
  </w:style>
  <w:style w:type="paragraph" w:customStyle="1" w:styleId="296">
    <w:name w:val="方案正文段落"/>
    <w:basedOn w:val="1"/>
    <w:qFormat/>
    <w:uiPriority w:val="0"/>
    <w:pPr>
      <w:ind w:firstLine="200" w:firstLineChars="200"/>
    </w:pPr>
    <w:rPr>
      <w:rFonts w:ascii="Times New Roman" w:cs="Times New Roman"/>
      <w:kern w:val="2"/>
      <w:szCs w:val="20"/>
    </w:rPr>
  </w:style>
  <w:style w:type="paragraph" w:customStyle="1" w:styleId="297">
    <w:name w:val="修订1"/>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98">
    <w:name w:val="模板正文"/>
    <w:basedOn w:val="1"/>
    <w:qFormat/>
    <w:uiPriority w:val="0"/>
    <w:pPr>
      <w:widowControl w:val="0"/>
      <w:shd w:val="clear" w:color="auto" w:fill="auto"/>
      <w:tabs>
        <w:tab w:val="clear" w:pos="426"/>
      </w:tabs>
      <w:wordWrap w:val="0"/>
      <w:adjustRightInd/>
      <w:snapToGrid/>
      <w:spacing w:beforeLines="50"/>
      <w:ind w:firstLine="200" w:firstLineChars="200"/>
    </w:pPr>
    <w:rPr>
      <w:rFonts w:ascii="Times New Roman" w:eastAsia="仿宋_GB2312" w:cs="Times New Roman"/>
      <w:sz w:val="28"/>
      <w:szCs w:val="21"/>
    </w:rPr>
  </w:style>
  <w:style w:type="paragraph" w:styleId="299">
    <w:name w:val="List Paragraph"/>
    <w:basedOn w:val="1"/>
    <w:link w:val="300"/>
    <w:qFormat/>
    <w:uiPriority w:val="99"/>
    <w:pPr>
      <w:widowControl w:val="0"/>
      <w:shd w:val="clear" w:color="auto" w:fill="auto"/>
      <w:tabs>
        <w:tab w:val="clear" w:pos="426"/>
      </w:tabs>
      <w:adjustRightInd/>
      <w:snapToGrid/>
      <w:ind w:firstLine="200" w:firstLineChars="200"/>
    </w:pPr>
    <w:rPr>
      <w:rFonts w:ascii="Times New Roman" w:cs="Times New Roman"/>
      <w:kern w:val="2"/>
      <w:sz w:val="24"/>
    </w:rPr>
  </w:style>
  <w:style w:type="character" w:customStyle="1" w:styleId="300">
    <w:name w:val="列表段落 字符"/>
    <w:link w:val="299"/>
    <w:qFormat/>
    <w:uiPriority w:val="0"/>
    <w:rPr>
      <w:kern w:val="2"/>
      <w:sz w:val="24"/>
      <w:szCs w:val="24"/>
    </w:rPr>
  </w:style>
  <w:style w:type="paragraph" w:customStyle="1" w:styleId="30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0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03">
    <w:name w:val="USE 1"/>
    <w:basedOn w:val="1"/>
    <w:qFormat/>
    <w:uiPriority w:val="0"/>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304">
    <w:name w:val="标题 1 字符1"/>
    <w:qFormat/>
    <w:uiPriority w:val="0"/>
    <w:rPr>
      <w:rFonts w:ascii="Times New Roman" w:hAnsi="Times New Roman" w:eastAsia="宋体" w:cs="Times New Roman"/>
      <w:b/>
      <w:kern w:val="44"/>
      <w:sz w:val="44"/>
      <w:szCs w:val="20"/>
      <w:lang w:bidi="ar-SA"/>
    </w:rPr>
  </w:style>
  <w:style w:type="paragraph" w:customStyle="1" w:styleId="305">
    <w:name w:val="翟 正文"/>
    <w:basedOn w:val="1"/>
    <w:qFormat/>
    <w:uiPriority w:val="0"/>
    <w:pPr>
      <w:widowControl w:val="0"/>
      <w:shd w:val="clear" w:color="auto" w:fill="auto"/>
      <w:tabs>
        <w:tab w:val="clear" w:pos="426"/>
      </w:tabs>
      <w:adjustRightInd/>
      <w:snapToGrid/>
      <w:spacing w:line="480" w:lineRule="exact"/>
      <w:ind w:firstLine="200" w:firstLineChars="200"/>
    </w:pPr>
    <w:rPr>
      <w:rFonts w:cs="Times New Roman"/>
      <w:snapToGrid w:val="0"/>
      <w:color w:val="000000"/>
      <w:sz w:val="28"/>
      <w:szCs w:val="28"/>
    </w:rPr>
  </w:style>
  <w:style w:type="paragraph" w:customStyle="1" w:styleId="306">
    <w:name w:val="倪芳"/>
    <w:basedOn w:val="1"/>
    <w:qFormat/>
    <w:uiPriority w:val="0"/>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307">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308">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30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310">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11">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312">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3">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4">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5">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16">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7">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8">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19">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20">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2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3">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4">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5">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6">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7">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8">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30">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2">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5">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6">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7">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9">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341">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2">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343">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4">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5">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6">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7">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8">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49">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0">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1">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2">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3">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4">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6">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358">
    <w:name w:val="正文文本 Char"/>
    <w:qFormat/>
    <w:uiPriority w:val="0"/>
    <w:rPr>
      <w:rFonts w:ascii="宋体"/>
      <w:kern w:val="10"/>
      <w:sz w:val="21"/>
    </w:rPr>
  </w:style>
  <w:style w:type="paragraph" w:customStyle="1" w:styleId="359">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360">
    <w:name w:val="正文样式"/>
    <w:basedOn w:val="33"/>
    <w:qFormat/>
    <w:uiPriority w:val="0"/>
    <w:pPr>
      <w:widowControl w:val="0"/>
      <w:shd w:val="clear" w:color="auto" w:fill="auto"/>
      <w:tabs>
        <w:tab w:val="clear" w:pos="426"/>
      </w:tabs>
      <w:adjustRightInd/>
      <w:snapToGrid/>
      <w:jc w:val="left"/>
    </w:pPr>
    <w:rPr>
      <w:rFonts w:ascii="宋体" w:cs="宋体"/>
      <w:szCs w:val="20"/>
    </w:rPr>
  </w:style>
  <w:style w:type="paragraph" w:customStyle="1" w:styleId="361">
    <w:name w:val="样式 USE 1 + 行距: 单倍行距"/>
    <w:basedOn w:val="1"/>
    <w:qFormat/>
    <w:uiPriority w:val="0"/>
    <w:pPr>
      <w:widowControl w:val="0"/>
      <w:numPr>
        <w:ilvl w:val="0"/>
        <w:numId w:val="29"/>
      </w:numPr>
      <w:shd w:val="clear" w:color="auto" w:fill="auto"/>
      <w:tabs>
        <w:tab w:val="clear" w:pos="426"/>
      </w:tabs>
      <w:adjustRightInd/>
      <w:snapToGrid/>
      <w:spacing w:line="180" w:lineRule="atLeast"/>
      <w:jc w:val="left"/>
    </w:pPr>
    <w:rPr>
      <w:b/>
      <w:bCs/>
      <w:kern w:val="2"/>
      <w:sz w:val="24"/>
      <w:szCs w:val="20"/>
    </w:rPr>
  </w:style>
  <w:style w:type="paragraph" w:customStyle="1" w:styleId="362">
    <w:name w:val="USE 2"/>
    <w:basedOn w:val="1"/>
    <w:qFormat/>
    <w:uiPriority w:val="0"/>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363">
    <w:name w:val="USE 3"/>
    <w:basedOn w:val="1"/>
    <w:qFormat/>
    <w:uiPriority w:val="0"/>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364">
    <w:name w:val="USE 4"/>
    <w:basedOn w:val="1"/>
    <w:qFormat/>
    <w:uiPriority w:val="0"/>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365">
    <w:name w:val="USE 5"/>
    <w:basedOn w:val="1"/>
    <w:qFormat/>
    <w:uiPriority w:val="0"/>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366">
    <w:name w:val="样式 (西文) 宋体 行距: 1.5 倍行距"/>
    <w:basedOn w:val="1"/>
    <w:qFormat/>
    <w:uiPriority w:val="0"/>
    <w:pPr>
      <w:widowControl w:val="0"/>
      <w:shd w:val="clear" w:color="auto" w:fill="auto"/>
      <w:tabs>
        <w:tab w:val="clear" w:pos="426"/>
      </w:tabs>
      <w:adjustRightInd/>
      <w:snapToGrid/>
    </w:pPr>
    <w:rPr>
      <w:kern w:val="2"/>
      <w:szCs w:val="20"/>
    </w:rPr>
  </w:style>
  <w:style w:type="character" w:customStyle="1" w:styleId="367">
    <w:name w:val="font10pt"/>
    <w:qFormat/>
    <w:uiPriority w:val="0"/>
  </w:style>
  <w:style w:type="character" w:customStyle="1" w:styleId="368">
    <w:name w:val="ss1"/>
    <w:qFormat/>
    <w:uiPriority w:val="0"/>
    <w:rPr>
      <w:rFonts w:ascii="ˎ̥" w:hAnsi="ˎ̥"/>
      <w:color w:val="000000"/>
      <w:sz w:val="18"/>
      <w:szCs w:val="18"/>
      <w:u w:val="none"/>
    </w:rPr>
  </w:style>
  <w:style w:type="character" w:customStyle="1" w:styleId="369">
    <w:name w:val="unnamed211"/>
    <w:qFormat/>
    <w:uiPriority w:val="0"/>
    <w:rPr>
      <w:sz w:val="23"/>
      <w:szCs w:val="23"/>
    </w:rPr>
  </w:style>
  <w:style w:type="character" w:customStyle="1" w:styleId="370">
    <w:name w:val="f142"/>
    <w:qFormat/>
    <w:uiPriority w:val="0"/>
    <w:rPr>
      <w:sz w:val="21"/>
      <w:szCs w:val="21"/>
    </w:rPr>
  </w:style>
  <w:style w:type="character" w:customStyle="1" w:styleId="371">
    <w:name w:val="f14b1"/>
    <w:qFormat/>
    <w:uiPriority w:val="0"/>
    <w:rPr>
      <w:b/>
      <w:bCs/>
      <w:sz w:val="21"/>
      <w:szCs w:val="21"/>
    </w:rPr>
  </w:style>
  <w:style w:type="paragraph" w:customStyle="1" w:styleId="372">
    <w:name w:val="ggbody"/>
    <w:basedOn w:val="1"/>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73">
    <w:name w:val="ggtitle"/>
    <w:basedOn w:val="1"/>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374">
    <w:name w:val="ggwenhao"/>
    <w:qFormat/>
    <w:uiPriority w:val="0"/>
  </w:style>
  <w:style w:type="character" w:customStyle="1" w:styleId="375">
    <w:name w:val="text1"/>
    <w:qFormat/>
    <w:uiPriority w:val="0"/>
  </w:style>
  <w:style w:type="character" w:customStyle="1" w:styleId="376">
    <w:name w:val="style3"/>
    <w:qFormat/>
    <w:uiPriority w:val="0"/>
  </w:style>
  <w:style w:type="paragraph" w:customStyle="1" w:styleId="377">
    <w:name w:val="目录"/>
    <w:basedOn w:val="1"/>
    <w:qFormat/>
    <w:uiPriority w:val="0"/>
    <w:pPr>
      <w:shd w:val="clear" w:color="auto" w:fill="auto"/>
      <w:tabs>
        <w:tab w:val="clear" w:pos="426"/>
      </w:tabs>
      <w:adjustRightInd/>
      <w:snapToGrid/>
      <w:spacing w:line="240" w:lineRule="auto"/>
      <w:jc w:val="center"/>
    </w:pPr>
    <w:rPr>
      <w:rFonts w:cs="Times New Roman"/>
      <w:b/>
      <w:sz w:val="36"/>
      <w:szCs w:val="20"/>
    </w:rPr>
  </w:style>
  <w:style w:type="character" w:customStyle="1" w:styleId="378">
    <w:name w:val="tpc_content1"/>
    <w:qFormat/>
    <w:uiPriority w:val="0"/>
    <w:rPr>
      <w:sz w:val="20"/>
      <w:szCs w:val="20"/>
    </w:rPr>
  </w:style>
  <w:style w:type="paragraph" w:customStyle="1" w:styleId="379">
    <w:name w:val="Char1 Char Char Char"/>
    <w:basedOn w:val="1"/>
    <w:qFormat/>
    <w:uiPriority w:val="0"/>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380">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381">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382">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383">
    <w:name w:val="TOC 标题2"/>
    <w:basedOn w:val="2"/>
    <w:next w:val="1"/>
    <w:qFormat/>
    <w:uiPriority w:val="0"/>
    <w:pPr>
      <w:keepNext/>
      <w:keepLines/>
      <w:tabs>
        <w:tab w:val="clear" w:pos="426"/>
      </w:tabs>
      <w:spacing w:before="480" w:after="0" w:line="276" w:lineRule="auto"/>
      <w:jc w:val="left"/>
      <w:outlineLvl w:val="9"/>
    </w:pPr>
    <w:rPr>
      <w:rFonts w:ascii="Cambria" w:hAnsi="Cambria" w:eastAsia="宋体"/>
      <w:color w:val="365F91"/>
      <w:kern w:val="0"/>
    </w:rPr>
  </w:style>
  <w:style w:type="paragraph" w:customStyle="1" w:styleId="384">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eastAsia="仿宋_GB2312" w:cs="Times New Roman"/>
      <w:kern w:val="2"/>
      <w:sz w:val="24"/>
    </w:rPr>
  </w:style>
  <w:style w:type="paragraph" w:customStyle="1" w:styleId="385">
    <w:name w:val="表1"/>
    <w:basedOn w:val="1"/>
    <w:qFormat/>
    <w:uiPriority w:val="0"/>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386">
    <w:name w:val="138v1"/>
    <w:qFormat/>
    <w:uiPriority w:val="0"/>
  </w:style>
  <w:style w:type="character" w:customStyle="1" w:styleId="387">
    <w:name w:val="正文缩进 Char1"/>
    <w:qFormat/>
    <w:uiPriority w:val="0"/>
    <w:rPr>
      <w:kern w:val="2"/>
      <w:sz w:val="21"/>
    </w:rPr>
  </w:style>
  <w:style w:type="paragraph" w:customStyle="1" w:styleId="388">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38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390">
    <w:name w:val="_Style 38"/>
    <w:basedOn w:val="1"/>
    <w:qFormat/>
    <w:uiPriority w:val="0"/>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391">
    <w:name w:val="标题1"/>
    <w:basedOn w:val="2"/>
    <w:qFormat/>
    <w:uiPriority w:val="0"/>
    <w:pPr>
      <w:keepNext/>
      <w:keepLines/>
      <w:numPr>
        <w:ilvl w:val="0"/>
        <w:numId w:val="30"/>
      </w:numPr>
      <w:tabs>
        <w:tab w:val="clear" w:pos="426"/>
      </w:tabs>
      <w:spacing w:before="400" w:after="400" w:line="240" w:lineRule="auto"/>
      <w:jc w:val="both"/>
    </w:pPr>
    <w:rPr>
      <w:rFonts w:ascii="Times New Roman"/>
      <w:sz w:val="30"/>
      <w:szCs w:val="24"/>
    </w:rPr>
  </w:style>
  <w:style w:type="paragraph" w:customStyle="1" w:styleId="392">
    <w:name w:val="附录"/>
    <w:basedOn w:val="20"/>
    <w:next w:val="1"/>
    <w:qFormat/>
    <w:uiPriority w:val="0"/>
    <w:pPr>
      <w:widowControl w:val="0"/>
      <w:shd w:val="clear" w:color="auto" w:fill="auto"/>
      <w:tabs>
        <w:tab w:val="clear" w:pos="426"/>
      </w:tabs>
      <w:adjustRightInd/>
      <w:snapToGrid/>
      <w:spacing w:before="152" w:after="160" w:line="240" w:lineRule="auto"/>
    </w:pPr>
    <w:rPr>
      <w:kern w:val="2"/>
    </w:rPr>
  </w:style>
  <w:style w:type="paragraph" w:customStyle="1" w:styleId="393">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eastAsia="楷体_GB2312"/>
      <w:szCs w:val="21"/>
    </w:rPr>
  </w:style>
  <w:style w:type="paragraph" w:customStyle="1" w:styleId="394">
    <w:name w:val="样式 题注 + 行距: 固定值 23 磅"/>
    <w:basedOn w:val="20"/>
    <w:qFormat/>
    <w:uiPriority w:val="0"/>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395">
    <w:name w:val="普通文字1 Char Char"/>
    <w:qFormat/>
    <w:uiPriority w:val="0"/>
    <w:rPr>
      <w:rFonts w:ascii="宋体" w:eastAsia="宋体" w:cs="Courier New"/>
      <w:kern w:val="2"/>
      <w:sz w:val="21"/>
      <w:szCs w:val="21"/>
      <w:lang w:val="en-US" w:eastAsia="zh-CN" w:bidi="ar-SA"/>
    </w:rPr>
  </w:style>
  <w:style w:type="paragraph" w:customStyle="1" w:styleId="396">
    <w:name w:val="--规划正文"/>
    <w:basedOn w:val="1"/>
    <w:qFormat/>
    <w:uiPriority w:val="0"/>
    <w:pPr>
      <w:widowControl w:val="0"/>
      <w:shd w:val="clear" w:color="auto" w:fill="auto"/>
      <w:tabs>
        <w:tab w:val="clear" w:pos="426"/>
      </w:tabs>
      <w:adjustRightInd/>
      <w:snapToGrid/>
      <w:ind w:firstLine="200" w:firstLineChars="200"/>
    </w:pPr>
    <w:rPr>
      <w:rFonts w:ascii="Times New Roman" w:cs="Times New Roman"/>
      <w:kern w:val="2"/>
      <w:szCs w:val="20"/>
    </w:rPr>
  </w:style>
  <w:style w:type="paragraph" w:customStyle="1" w:styleId="39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98">
    <w:name w:val="cqq2"/>
    <w:basedOn w:val="1"/>
    <w:qFormat/>
    <w:uiPriority w:val="0"/>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399">
    <w:name w:val="纯文本 Char1"/>
    <w:qFormat/>
    <w:uiPriority w:val="0"/>
    <w:rPr>
      <w:rFonts w:ascii="宋体" w:cs="Courier New"/>
      <w:kern w:val="2"/>
      <w:sz w:val="21"/>
      <w:szCs w:val="21"/>
      <w:lang w:bidi="ar-SA"/>
    </w:rPr>
  </w:style>
  <w:style w:type="character" w:customStyle="1" w:styleId="400">
    <w:name w:val="日期 Char1"/>
    <w:qFormat/>
    <w:uiPriority w:val="0"/>
    <w:rPr>
      <w:kern w:val="2"/>
      <w:sz w:val="21"/>
      <w:szCs w:val="24"/>
    </w:rPr>
  </w:style>
  <w:style w:type="character" w:customStyle="1" w:styleId="401">
    <w:name w:val="文档结构图 Char1"/>
    <w:qFormat/>
    <w:uiPriority w:val="0"/>
    <w:rPr>
      <w:rFonts w:ascii="宋体"/>
      <w:kern w:val="2"/>
      <w:sz w:val="18"/>
      <w:szCs w:val="18"/>
    </w:rPr>
  </w:style>
  <w:style w:type="character" w:customStyle="1" w:styleId="402">
    <w:name w:val="正文文本缩进 Char1"/>
    <w:qFormat/>
    <w:uiPriority w:val="0"/>
    <w:rPr>
      <w:kern w:val="2"/>
      <w:sz w:val="21"/>
      <w:szCs w:val="24"/>
    </w:rPr>
  </w:style>
  <w:style w:type="character" w:customStyle="1" w:styleId="403">
    <w:name w:val="正文文本缩进 3 Char1"/>
    <w:qFormat/>
    <w:uiPriority w:val="0"/>
    <w:rPr>
      <w:kern w:val="2"/>
      <w:sz w:val="16"/>
      <w:szCs w:val="16"/>
    </w:rPr>
  </w:style>
  <w:style w:type="character" w:customStyle="1" w:styleId="404">
    <w:name w:val="副标题 Char1"/>
    <w:qFormat/>
    <w:uiPriority w:val="0"/>
    <w:rPr>
      <w:rFonts w:ascii="Cambria" w:hAnsi="Cambria" w:cs="Times New Roman"/>
      <w:b/>
      <w:bCs/>
      <w:kern w:val="28"/>
      <w:sz w:val="32"/>
      <w:szCs w:val="32"/>
      <w:lang w:bidi="ar-SA"/>
    </w:rPr>
  </w:style>
  <w:style w:type="character" w:customStyle="1" w:styleId="405">
    <w:name w:val="页脚 Char1"/>
    <w:qFormat/>
    <w:uiPriority w:val="0"/>
    <w:rPr>
      <w:kern w:val="2"/>
      <w:sz w:val="18"/>
      <w:szCs w:val="18"/>
    </w:rPr>
  </w:style>
  <w:style w:type="paragraph" w:customStyle="1" w:styleId="406">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407">
    <w:name w:val="1"/>
    <w:basedOn w:val="1"/>
    <w:qFormat/>
    <w:uiPriority w:val="0"/>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408">
    <w:name w:val="标题 1 Char"/>
    <w:qFormat/>
    <w:uiPriority w:val="0"/>
    <w:rPr>
      <w:rFonts w:ascii="宋体" w:hAnsi="宋体" w:eastAsia="黑体" w:cs="Times New Roman"/>
      <w:b/>
      <w:bCs/>
      <w:kern w:val="44"/>
      <w:sz w:val="28"/>
      <w:szCs w:val="28"/>
      <w:shd w:val="clear" w:color="auto" w:fill="FFFFFF"/>
      <w:lang w:bidi="ar-SA"/>
    </w:rPr>
  </w:style>
  <w:style w:type="paragraph" w:customStyle="1" w:styleId="409">
    <w:name w:val="样式 1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0">
    <w:name w:val="修订2"/>
    <w:qFormat/>
    <w:uiPriority w:val="0"/>
    <w:rPr>
      <w:rFonts w:ascii="宋体" w:hAnsi="Times New Roman" w:eastAsia="宋体" w:cs="宋体"/>
      <w:sz w:val="21"/>
      <w:szCs w:val="24"/>
      <w:lang w:val="en-US" w:eastAsia="zh-CN" w:bidi="ar-SA"/>
    </w:rPr>
  </w:style>
  <w:style w:type="paragraph" w:customStyle="1" w:styleId="411">
    <w:name w:val="样式 10 磅"/>
    <w:qFormat/>
    <w:uiPriority w:val="0"/>
    <w:pPr>
      <w:shd w:val="clear" w:color="auto" w:fill="FFFFFF"/>
      <w:tabs>
        <w:tab w:val="left" w:pos="426"/>
      </w:tabs>
      <w:adjustRightInd w:val="0"/>
      <w:snapToGrid w:val="0"/>
      <w:spacing w:line="360" w:lineRule="auto"/>
      <w:jc w:val="both"/>
    </w:pPr>
    <w:rPr>
      <w:rFonts w:ascii="宋体" w:hAnsi="Times New Roman" w:eastAsia="宋体" w:cs="宋体"/>
      <w:sz w:val="21"/>
      <w:szCs w:val="24"/>
      <w:lang w:val="en-US" w:eastAsia="zh-CN" w:bidi="ar-SA"/>
    </w:rPr>
  </w:style>
  <w:style w:type="paragraph" w:customStyle="1" w:styleId="412">
    <w:name w:val="_Style 386"/>
    <w:basedOn w:val="1"/>
    <w:next w:val="1"/>
    <w:link w:val="413"/>
    <w:qFormat/>
    <w:uiPriority w:val="0"/>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413">
    <w:name w:val="正文首行缩进 Char"/>
    <w:link w:val="412"/>
    <w:qFormat/>
    <w:uiPriority w:val="0"/>
    <w:rPr>
      <w:rFonts w:ascii="宋体"/>
      <w:kern w:val="2"/>
      <w:sz w:val="21"/>
      <w:szCs w:val="24"/>
    </w:rPr>
  </w:style>
  <w:style w:type="character" w:customStyle="1" w:styleId="414">
    <w:name w:val="unnamed4"/>
    <w:qFormat/>
    <w:uiPriority w:val="0"/>
  </w:style>
  <w:style w:type="character" w:customStyle="1" w:styleId="415">
    <w:name w:val="样式 小五"/>
    <w:qFormat/>
    <w:uiPriority w:val="0"/>
    <w:rPr>
      <w:rFonts w:eastAsia="仿宋_GB2312"/>
      <w:sz w:val="18"/>
    </w:rPr>
  </w:style>
  <w:style w:type="character" w:customStyle="1" w:styleId="416">
    <w:name w:val="标题 3 Char1"/>
    <w:qFormat/>
    <w:uiPriority w:val="0"/>
    <w:rPr>
      <w:rFonts w:eastAsia="宋体"/>
      <w:b/>
      <w:bCs/>
      <w:kern w:val="2"/>
      <w:sz w:val="32"/>
      <w:szCs w:val="32"/>
      <w:lang w:val="en-US" w:eastAsia="zh-CN" w:bidi="ar-SA"/>
    </w:rPr>
  </w:style>
  <w:style w:type="character" w:customStyle="1" w:styleId="417">
    <w:name w:val="标题 3 Char Char"/>
    <w:qFormat/>
    <w:uiPriority w:val="0"/>
    <w:rPr>
      <w:rFonts w:ascii="黑体" w:eastAsia="黑体"/>
      <w:bCs/>
      <w:sz w:val="30"/>
    </w:rPr>
  </w:style>
  <w:style w:type="paragraph" w:customStyle="1" w:styleId="418">
    <w:name w:val="正文缩入"/>
    <w:basedOn w:val="1"/>
    <w:qFormat/>
    <w:uiPriority w:val="0"/>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419">
    <w:name w:val="Char Char Char Char Char Char Char Char"/>
    <w:basedOn w:val="1"/>
    <w:next w:val="1"/>
    <w:qFormat/>
    <w:uiPriority w:val="0"/>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420">
    <w:name w:val="题注5"/>
    <w:basedOn w:val="1"/>
    <w:next w:val="20"/>
    <w:qFormat/>
    <w:uiPriority w:val="0"/>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421">
    <w:name w:val="正文缩进1"/>
    <w:basedOn w:val="1"/>
    <w:qFormat/>
    <w:uiPriority w:val="0"/>
    <w:pPr>
      <w:widowControl w:val="0"/>
      <w:shd w:val="clear" w:color="auto" w:fill="auto"/>
      <w:tabs>
        <w:tab w:val="clear" w:pos="426"/>
      </w:tabs>
      <w:adjustRightInd/>
      <w:snapToGrid/>
      <w:spacing w:line="240" w:lineRule="auto"/>
      <w:ind w:firstLine="200" w:firstLineChars="200"/>
    </w:pPr>
    <w:rPr>
      <w:rFonts w:ascii="Times New Roman" w:cs="Times New Roman"/>
      <w:sz w:val="20"/>
    </w:rPr>
  </w:style>
  <w:style w:type="paragraph" w:customStyle="1" w:styleId="422">
    <w:name w:val="表格文字"/>
    <w:basedOn w:val="1"/>
    <w:qFormat/>
    <w:uiPriority w:val="0"/>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423">
    <w:name w:val="样式 普通(网站) + 小五"/>
    <w:basedOn w:val="78"/>
    <w:link w:val="424"/>
    <w:qFormat/>
    <w:uiPriority w:val="0"/>
    <w:pPr>
      <w:shd w:val="clear" w:color="auto" w:fill="auto"/>
      <w:tabs>
        <w:tab w:val="clear" w:pos="426"/>
      </w:tabs>
      <w:adjustRightInd/>
      <w:snapToGrid/>
      <w:spacing w:line="240" w:lineRule="exact"/>
      <w:jc w:val="left"/>
    </w:pPr>
    <w:rPr>
      <w:rFonts w:ascii="Arial Unicode MS" w:hAnsi="Arial Unicode MS" w:eastAsia="仿宋_GB2312" w:cs="Times New Roman"/>
      <w:sz w:val="18"/>
    </w:rPr>
  </w:style>
  <w:style w:type="character" w:customStyle="1" w:styleId="424">
    <w:name w:val="样式 普通(网站) + 小五 Char"/>
    <w:link w:val="423"/>
    <w:qFormat/>
    <w:uiPriority w:val="0"/>
    <w:rPr>
      <w:rFonts w:ascii="Arial Unicode MS" w:hAnsi="Arial Unicode MS" w:eastAsia="仿宋_GB2312"/>
      <w:sz w:val="18"/>
      <w:szCs w:val="24"/>
    </w:rPr>
  </w:style>
  <w:style w:type="paragraph" w:customStyle="1" w:styleId="425">
    <w:name w:val="题注4"/>
    <w:basedOn w:val="1"/>
    <w:next w:val="20"/>
    <w:qFormat/>
    <w:uiPriority w:val="0"/>
    <w:pPr>
      <w:widowControl w:val="0"/>
      <w:shd w:val="clear" w:color="auto" w:fill="auto"/>
      <w:tabs>
        <w:tab w:val="clear" w:pos="426"/>
      </w:tabs>
      <w:adjustRightInd/>
      <w:snapToGrid/>
      <w:spacing w:line="240" w:lineRule="auto"/>
      <w:ind w:left="-62" w:leftChars="-64" w:right="-50" w:rightChars="-50" w:hanging="2"/>
      <w:jc w:val="center"/>
    </w:pPr>
    <w:rPr>
      <w:rFonts w:ascii="Times New Roman" w:cs="Times New Roman"/>
      <w:b/>
      <w:color w:val="FF0000"/>
      <w:kern w:val="2"/>
      <w:szCs w:val="21"/>
      <w:lang w:val="en-GB" w:eastAsia="en-GB"/>
    </w:rPr>
  </w:style>
  <w:style w:type="paragraph" w:customStyle="1" w:styleId="426">
    <w:name w:val="Char Char Char Char Char Char Char Char Char1 Char Char Char Char Char Char Char Char Char Char Char Char Char"/>
    <w:basedOn w:val="2"/>
    <w:qFormat/>
    <w:uiPriority w:val="0"/>
    <w:pPr>
      <w:keepNext/>
      <w:keepLines/>
      <w:widowControl/>
      <w:tabs>
        <w:tab w:val="left" w:pos="4032"/>
        <w:tab w:val="clear" w:pos="426"/>
      </w:tabs>
      <w:snapToGrid w:val="0"/>
      <w:spacing w:before="240" w:after="240" w:line="348" w:lineRule="auto"/>
      <w:ind w:left="907" w:hanging="907"/>
      <w:jc w:val="left"/>
    </w:pPr>
    <w:rPr>
      <w:rFonts w:ascii="华文细黑" w:hAnsi="华文细黑" w:eastAsia="宋体"/>
      <w:kern w:val="0"/>
      <w:szCs w:val="44"/>
    </w:rPr>
  </w:style>
  <w:style w:type="paragraph" w:customStyle="1" w:styleId="427">
    <w:name w:val="纯文本1"/>
    <w:basedOn w:val="1"/>
    <w:link w:val="428"/>
    <w:qFormat/>
    <w:uiPriority w:val="0"/>
    <w:pPr>
      <w:widowControl w:val="0"/>
      <w:shd w:val="clear" w:color="auto" w:fill="auto"/>
      <w:tabs>
        <w:tab w:val="clear" w:pos="426"/>
      </w:tabs>
      <w:adjustRightInd/>
      <w:snapToGrid/>
      <w:spacing w:line="240" w:lineRule="auto"/>
    </w:pPr>
    <w:rPr>
      <w:rFonts w:cs="Times New Roman"/>
      <w:sz w:val="20"/>
      <w:szCs w:val="21"/>
    </w:rPr>
  </w:style>
  <w:style w:type="character" w:customStyle="1" w:styleId="428">
    <w:name w:val="纯文本 Char"/>
    <w:link w:val="427"/>
    <w:qFormat/>
    <w:uiPriority w:val="0"/>
    <w:rPr>
      <w:rFonts w:ascii="宋体"/>
      <w:szCs w:val="21"/>
    </w:rPr>
  </w:style>
  <w:style w:type="paragraph" w:customStyle="1" w:styleId="429">
    <w:name w:val="保留正文"/>
    <w:basedOn w:val="32"/>
    <w:qFormat/>
    <w:uiPriority w:val="0"/>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430">
    <w:name w:val="Char Char2"/>
    <w:basedOn w:val="1"/>
    <w:qFormat/>
    <w:uiPriority w:val="0"/>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431">
    <w:name w:val="文档结构图1"/>
    <w:basedOn w:val="1"/>
    <w:link w:val="432"/>
    <w:qFormat/>
    <w:uiPriority w:val="0"/>
    <w:pPr>
      <w:widowControl w:val="0"/>
      <w:shd w:val="clear" w:color="auto" w:fill="auto"/>
      <w:tabs>
        <w:tab w:val="clear" w:pos="426"/>
      </w:tabs>
      <w:adjustRightInd/>
      <w:snapToGrid/>
      <w:spacing w:line="240" w:lineRule="auto"/>
    </w:pPr>
    <w:rPr>
      <w:rFonts w:cs="Times New Roman"/>
      <w:sz w:val="18"/>
      <w:szCs w:val="18"/>
    </w:rPr>
  </w:style>
  <w:style w:type="character" w:customStyle="1" w:styleId="432">
    <w:name w:val="文档结构图 Char"/>
    <w:link w:val="431"/>
    <w:qFormat/>
    <w:uiPriority w:val="0"/>
    <w:rPr>
      <w:rFonts w:ascii="宋体"/>
      <w:sz w:val="18"/>
      <w:szCs w:val="18"/>
    </w:rPr>
  </w:style>
  <w:style w:type="paragraph" w:customStyle="1" w:styleId="433">
    <w:name w:val="填表"/>
    <w:qFormat/>
    <w:uiPriority w:val="0"/>
    <w:rPr>
      <w:rFonts w:ascii="Times New Roman" w:hAnsi="Times New Roman" w:eastAsia="宋体" w:cs="Times New Roman"/>
      <w:kern w:val="2"/>
      <w:sz w:val="18"/>
      <w:szCs w:val="21"/>
      <w:lang w:val="en-US" w:eastAsia="zh-CN" w:bidi="ar-SA"/>
    </w:rPr>
  </w:style>
  <w:style w:type="paragraph" w:customStyle="1" w:styleId="434">
    <w:name w:val="Char Char Char Char Char Char Char Char Char Char"/>
    <w:basedOn w:val="1"/>
    <w:qFormat/>
    <w:uiPriority w:val="0"/>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435">
    <w:name w:val="默认段落字体 Para Char Char Char Char"/>
    <w:basedOn w:val="1"/>
    <w:qFormat/>
    <w:uiPriority w:val="0"/>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436">
    <w:name w:val="d_post_content"/>
    <w:basedOn w:val="1"/>
    <w:qFormat/>
    <w:uiPriority w:val="0"/>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437">
    <w:name w:val="文件正文"/>
    <w:basedOn w:val="1"/>
    <w:link w:val="438"/>
    <w:qFormat/>
    <w:uiPriority w:val="0"/>
    <w:pPr>
      <w:widowControl w:val="0"/>
      <w:shd w:val="clear" w:color="auto" w:fill="auto"/>
      <w:tabs>
        <w:tab w:val="clear" w:pos="426"/>
      </w:tabs>
      <w:adjustRightInd/>
      <w:snapToGrid/>
      <w:ind w:firstLine="480" w:firstLineChars="200"/>
    </w:pPr>
    <w:rPr>
      <w:rFonts w:ascii="Times New Roman" w:eastAsia="仿宋_GB2312" w:cs="Times New Roman"/>
      <w:kern w:val="2"/>
      <w:sz w:val="24"/>
      <w:szCs w:val="20"/>
    </w:rPr>
  </w:style>
  <w:style w:type="character" w:customStyle="1" w:styleId="438">
    <w:name w:val="文件正文 Char Char"/>
    <w:link w:val="437"/>
    <w:qFormat/>
    <w:uiPriority w:val="0"/>
    <w:rPr>
      <w:rFonts w:eastAsia="仿宋_GB2312"/>
      <w:kern w:val="2"/>
      <w:sz w:val="24"/>
    </w:rPr>
  </w:style>
  <w:style w:type="paragraph" w:customStyle="1" w:styleId="439">
    <w:name w:val="Char Char2 Char"/>
    <w:basedOn w:val="1"/>
    <w:qFormat/>
    <w:uiPriority w:val="0"/>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440">
    <w:name w:val="c lh15"/>
    <w:qFormat/>
    <w:uiPriority w:val="0"/>
  </w:style>
  <w:style w:type="character" w:customStyle="1" w:styleId="441">
    <w:name w:val="px14"/>
    <w:qFormat/>
    <w:uiPriority w:val="0"/>
  </w:style>
  <w:style w:type="character" w:customStyle="1" w:styleId="442">
    <w:name w:val="标题2"/>
    <w:qFormat/>
    <w:uiPriority w:val="0"/>
  </w:style>
  <w:style w:type="paragraph" w:customStyle="1" w:styleId="443">
    <w:name w:val="2册标题3"/>
    <w:basedOn w:val="1"/>
    <w:next w:val="1"/>
    <w:qFormat/>
    <w:uiPriority w:val="0"/>
    <w:pPr>
      <w:widowControl w:val="0"/>
      <w:shd w:val="clear" w:color="auto" w:fill="auto"/>
      <w:tabs>
        <w:tab w:val="clear" w:pos="426"/>
      </w:tabs>
      <w:adjustRightInd/>
      <w:snapToGrid/>
      <w:spacing w:beforeLines="50" w:afterLines="50" w:line="240" w:lineRule="auto"/>
      <w:ind w:left="100" w:leftChars="100"/>
      <w:outlineLvl w:val="2"/>
    </w:pPr>
    <w:rPr>
      <w:rFonts w:ascii="Arial" w:hAnsi="Arial" w:eastAsia="黑体" w:cs="Times New Roman"/>
      <w:kern w:val="2"/>
      <w:sz w:val="28"/>
      <w:szCs w:val="20"/>
    </w:rPr>
  </w:style>
  <w:style w:type="paragraph" w:customStyle="1" w:styleId="444">
    <w:name w:val="2册标题5"/>
    <w:basedOn w:val="445"/>
    <w:next w:val="1"/>
    <w:qFormat/>
    <w:uiPriority w:val="0"/>
    <w:pPr>
      <w:ind w:left="720" w:leftChars="300"/>
      <w:outlineLvl w:val="4"/>
    </w:pPr>
    <w:rPr>
      <w:rFonts w:eastAsia="楷体_GB2312"/>
      <w:b/>
    </w:rPr>
  </w:style>
  <w:style w:type="paragraph" w:customStyle="1" w:styleId="445">
    <w:name w:val="2册标题4"/>
    <w:basedOn w:val="1"/>
    <w:next w:val="1"/>
    <w:qFormat/>
    <w:uiPriority w:val="0"/>
    <w:pPr>
      <w:widowControl w:val="0"/>
      <w:shd w:val="clear" w:color="auto" w:fill="auto"/>
      <w:tabs>
        <w:tab w:val="clear" w:pos="426"/>
      </w:tabs>
      <w:adjustRightInd/>
      <w:snapToGrid/>
      <w:spacing w:beforeLines="50" w:afterLines="50" w:line="240" w:lineRule="auto"/>
      <w:ind w:left="480" w:leftChars="200"/>
      <w:outlineLvl w:val="3"/>
    </w:pPr>
    <w:rPr>
      <w:rFonts w:ascii="Arial" w:hAnsi="Arial" w:eastAsia="黑体" w:cs="Times New Roman"/>
      <w:kern w:val="2"/>
      <w:sz w:val="24"/>
      <w:szCs w:val="20"/>
    </w:rPr>
  </w:style>
  <w:style w:type="paragraph" w:customStyle="1" w:styleId="446">
    <w:name w:val="xl44"/>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黑体" w:hAnsi="宋体" w:eastAsia="黑体" w:cs="Times New Roman"/>
      <w:sz w:val="26"/>
      <w:szCs w:val="20"/>
    </w:rPr>
  </w:style>
  <w:style w:type="paragraph" w:customStyle="1" w:styleId="447">
    <w:name w:val="xl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48">
    <w:name w:val="表图名"/>
    <w:basedOn w:val="1"/>
    <w:qFormat/>
    <w:uiPriority w:val="0"/>
    <w:pPr>
      <w:widowControl w:val="0"/>
      <w:shd w:val="clear" w:color="auto" w:fill="auto"/>
      <w:tabs>
        <w:tab w:val="clear" w:pos="426"/>
      </w:tabs>
      <w:adjustRightInd/>
      <w:snapToGrid/>
    </w:pPr>
    <w:rPr>
      <w:rFonts w:ascii="Arial" w:hAnsi="Arial" w:cs="Times New Roman"/>
      <w:kern w:val="2"/>
      <w:sz w:val="24"/>
      <w:szCs w:val="20"/>
    </w:rPr>
  </w:style>
  <w:style w:type="paragraph" w:customStyle="1" w:styleId="449">
    <w:name w:val="xl40"/>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50">
    <w:name w:val="第12册用标题"/>
    <w:basedOn w:val="1"/>
    <w:next w:val="1"/>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44"/>
      <w:szCs w:val="20"/>
    </w:rPr>
  </w:style>
  <w:style w:type="paragraph" w:customStyle="1" w:styleId="451">
    <w:name w:val="xl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452">
    <w:name w:val="xl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3">
    <w:name w:val="xl2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55">
    <w:name w:val="样式 ˎ̥ 左 首行缩进:  2 字符"/>
    <w:basedOn w:val="1"/>
    <w:qFormat/>
    <w:uiPriority w:val="0"/>
    <w:pPr>
      <w:widowControl w:val="0"/>
      <w:shd w:val="clear" w:color="auto" w:fill="auto"/>
      <w:tabs>
        <w:tab w:val="clear" w:pos="426"/>
      </w:tabs>
      <w:adjustRightInd/>
      <w:snapToGrid/>
      <w:ind w:firstLine="480" w:firstLineChars="200"/>
      <w:jc w:val="left"/>
    </w:pPr>
    <w:rPr>
      <w:rFonts w:ascii="ˎ̥" w:hAnsi="ˎ̥" w:cs="Times New Roman"/>
      <w:sz w:val="24"/>
      <w:szCs w:val="20"/>
    </w:rPr>
  </w:style>
  <w:style w:type="paragraph" w:customStyle="1" w:styleId="456">
    <w:name w:val="xl42"/>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457">
    <w:name w:val="12册标题"/>
    <w:basedOn w:val="1"/>
    <w:next w:val="1"/>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44"/>
      <w:szCs w:val="20"/>
    </w:rPr>
  </w:style>
  <w:style w:type="paragraph" w:customStyle="1" w:styleId="458">
    <w:name w:val="xl39"/>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59">
    <w:name w:val="xl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黑体" w:hAnsi="宋体" w:eastAsia="黑体" w:cs="Times New Roman"/>
      <w:sz w:val="26"/>
      <w:szCs w:val="20"/>
    </w:rPr>
  </w:style>
  <w:style w:type="paragraph" w:customStyle="1" w:styleId="460">
    <w:name w:val="LED标题1"/>
    <w:basedOn w:val="1"/>
    <w:next w:val="1"/>
    <w:qFormat/>
    <w:uiPriority w:val="0"/>
    <w:pPr>
      <w:widowControl w:val="0"/>
      <w:shd w:val="clear" w:color="auto" w:fill="auto"/>
      <w:tabs>
        <w:tab w:val="clear" w:pos="426"/>
      </w:tabs>
      <w:adjustRightInd/>
      <w:snapToGrid/>
      <w:spacing w:beforeLines="50" w:afterLines="50" w:line="240" w:lineRule="auto"/>
      <w:ind w:firstLine="320" w:firstLineChars="100"/>
      <w:jc w:val="center"/>
      <w:outlineLvl w:val="0"/>
    </w:pPr>
    <w:rPr>
      <w:rFonts w:ascii="Arial" w:hAnsi="Arial" w:eastAsia="黑体" w:cs="Times New Roman"/>
      <w:color w:val="FF0000"/>
      <w:kern w:val="2"/>
      <w:sz w:val="32"/>
      <w:szCs w:val="20"/>
    </w:rPr>
  </w:style>
  <w:style w:type="paragraph" w:customStyle="1" w:styleId="461">
    <w:name w:val="xl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2">
    <w:name w:val="2册标题1"/>
    <w:basedOn w:val="1"/>
    <w:next w:val="1"/>
    <w:qFormat/>
    <w:uiPriority w:val="0"/>
    <w:pPr>
      <w:widowControl w:val="0"/>
      <w:shd w:val="clear" w:color="auto" w:fill="auto"/>
      <w:tabs>
        <w:tab w:val="clear" w:pos="426"/>
      </w:tabs>
      <w:adjustRightInd/>
      <w:snapToGrid/>
      <w:spacing w:beforeLines="50" w:afterLines="50" w:line="240" w:lineRule="auto"/>
      <w:jc w:val="center"/>
      <w:outlineLvl w:val="0"/>
    </w:pPr>
    <w:rPr>
      <w:rFonts w:ascii="Arial" w:hAnsi="Arial" w:eastAsia="黑体" w:cs="Times New Roman"/>
      <w:kern w:val="2"/>
      <w:sz w:val="32"/>
      <w:szCs w:val="20"/>
    </w:rPr>
  </w:style>
  <w:style w:type="paragraph" w:customStyle="1" w:styleId="463">
    <w:name w:val="xl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464">
    <w:name w:val="xl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465">
    <w:name w:val="xl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6">
    <w:name w:val="1册标题3"/>
    <w:basedOn w:val="1"/>
    <w:next w:val="1"/>
    <w:qFormat/>
    <w:uiPriority w:val="0"/>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467">
    <w:name w:val="xl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68">
    <w:name w:val="xl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469">
    <w:name w:val="xl38"/>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470">
    <w:name w:val="xl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仿宋_GB2312" w:hAnsi="宋体" w:eastAsia="仿宋_GB2312" w:cs="Times New Roman"/>
      <w:sz w:val="20"/>
      <w:szCs w:val="20"/>
    </w:rPr>
  </w:style>
  <w:style w:type="paragraph" w:customStyle="1" w:styleId="471">
    <w:name w:val="xl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pPr>
    <w:rPr>
      <w:rFonts w:hint="eastAsia" w:ascii="仿宋_GB2312" w:hAnsi="宋体" w:eastAsia="仿宋_GB2312" w:cs="Times New Roman"/>
      <w:sz w:val="24"/>
      <w:szCs w:val="20"/>
    </w:rPr>
  </w:style>
  <w:style w:type="paragraph" w:customStyle="1" w:styleId="472">
    <w:name w:val="Char2 Char Char Char Char Char Char"/>
    <w:basedOn w:val="1"/>
    <w:qFormat/>
    <w:uiPriority w:val="0"/>
    <w:pPr>
      <w:widowControl w:val="0"/>
      <w:shd w:val="clear" w:color="auto" w:fill="auto"/>
      <w:tabs>
        <w:tab w:val="clear" w:pos="426"/>
      </w:tabs>
      <w:snapToGrid/>
    </w:pPr>
    <w:rPr>
      <w:rFonts w:ascii="Times New Roman" w:cs="Times New Roman"/>
      <w:sz w:val="24"/>
      <w:szCs w:val="20"/>
    </w:rPr>
  </w:style>
  <w:style w:type="paragraph" w:customStyle="1" w:styleId="473">
    <w:name w:val="1册标题1"/>
    <w:basedOn w:val="1"/>
    <w:next w:val="1"/>
    <w:qFormat/>
    <w:uiPriority w:val="0"/>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474">
    <w:name w:val="xl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75">
    <w:name w:val="xl2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476">
    <w:name w:val="1册标题2"/>
    <w:basedOn w:val="5"/>
    <w:next w:val="1"/>
    <w:qFormat/>
    <w:uiPriority w:val="0"/>
    <w:pPr>
      <w:keepNext w:val="0"/>
      <w:keepLines w:val="0"/>
      <w:tabs>
        <w:tab w:val="clear" w:pos="426"/>
      </w:tabs>
      <w:spacing w:before="0" w:after="0" w:line="312" w:lineRule="auto"/>
      <w:jc w:val="center"/>
      <w:textAlignment w:val="auto"/>
      <w:outlineLvl w:val="9"/>
    </w:pPr>
    <w:rPr>
      <w:rFonts w:hAnsi="宋体"/>
      <w:kern w:val="2"/>
      <w:sz w:val="32"/>
    </w:rPr>
  </w:style>
  <w:style w:type="paragraph" w:customStyle="1" w:styleId="477">
    <w:name w:val="文字"/>
    <w:basedOn w:val="1"/>
    <w:qFormat/>
    <w:uiPriority w:val="0"/>
    <w:pPr>
      <w:widowControl w:val="0"/>
      <w:shd w:val="clear" w:color="auto" w:fill="auto"/>
      <w:tabs>
        <w:tab w:val="left" w:pos="8520"/>
        <w:tab w:val="clear" w:pos="426"/>
      </w:tabs>
      <w:adjustRightInd/>
      <w:snapToGrid/>
      <w:spacing w:line="312" w:lineRule="auto"/>
      <w:ind w:right="-210" w:firstLine="556"/>
    </w:pPr>
    <w:rPr>
      <w:rFonts w:cs="Times New Roman"/>
      <w:kern w:val="2"/>
      <w:sz w:val="28"/>
      <w:szCs w:val="20"/>
    </w:rPr>
  </w:style>
  <w:style w:type="paragraph" w:customStyle="1" w:styleId="478">
    <w:name w:val="正文 2"/>
    <w:basedOn w:val="1"/>
    <w:qFormat/>
    <w:uiPriority w:val="0"/>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479">
    <w:name w:val="h9point1"/>
    <w:qFormat/>
    <w:uiPriority w:val="0"/>
    <w:rPr>
      <w:rFonts w:hint="eastAsia" w:ascii="宋体" w:hAnsi="宋体" w:eastAsia="宋体"/>
      <w:spacing w:val="360"/>
      <w:sz w:val="18"/>
      <w:szCs w:val="18"/>
    </w:rPr>
  </w:style>
  <w:style w:type="paragraph" w:customStyle="1" w:styleId="480">
    <w:name w:val="contentlabel"/>
    <w:basedOn w:val="1"/>
    <w:qFormat/>
    <w:uiPriority w:val="0"/>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481">
    <w:name w:val="Char Char1 Char Char Char Char Char Char Char Char Char Char Char Char Char Char Char"/>
    <w:basedOn w:val="1"/>
    <w:qFormat/>
    <w:uiPriority w:val="0"/>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482">
    <w:name w:val="33"/>
    <w:basedOn w:val="1"/>
    <w:next w:val="42"/>
    <w:link w:val="483"/>
    <w:qFormat/>
    <w:uiPriority w:val="0"/>
    <w:pPr>
      <w:widowControl w:val="0"/>
      <w:shd w:val="clear" w:color="auto" w:fill="auto"/>
      <w:tabs>
        <w:tab w:val="clear" w:pos="426"/>
      </w:tabs>
      <w:adjustRightInd/>
      <w:snapToGrid/>
      <w:spacing w:before="120" w:after="120" w:line="500" w:lineRule="exact"/>
      <w:ind w:firstLine="551" w:firstLineChars="196"/>
    </w:pPr>
    <w:rPr>
      <w:rFonts w:ascii="幼圆" w:eastAsia="幼圆" w:cs="Times New Roman"/>
      <w:b/>
      <w:bCs/>
      <w:kern w:val="2"/>
      <w:sz w:val="28"/>
      <w:szCs w:val="28"/>
    </w:rPr>
  </w:style>
  <w:style w:type="character" w:customStyle="1" w:styleId="483">
    <w:name w:val="33 Char"/>
    <w:link w:val="482"/>
    <w:qFormat/>
    <w:uiPriority w:val="0"/>
    <w:rPr>
      <w:rFonts w:ascii="幼圆" w:eastAsia="幼圆"/>
      <w:b/>
      <w:bCs/>
      <w:kern w:val="2"/>
      <w:sz w:val="28"/>
      <w:szCs w:val="28"/>
    </w:rPr>
  </w:style>
  <w:style w:type="paragraph" w:customStyle="1" w:styleId="484">
    <w:name w:val="样式 样式 首行缩进:  2 字符 + 首行缩进:  2 字符"/>
    <w:basedOn w:val="485"/>
    <w:qFormat/>
    <w:uiPriority w:val="0"/>
    <w:pPr>
      <w:ind w:firstLine="560"/>
    </w:pPr>
    <w:rPr>
      <w:sz w:val="24"/>
    </w:rPr>
  </w:style>
  <w:style w:type="paragraph" w:customStyle="1" w:styleId="485">
    <w:name w:val="样式 首行缩进:  2 字符"/>
    <w:basedOn w:val="1"/>
    <w:qFormat/>
    <w:uiPriority w:val="0"/>
    <w:pPr>
      <w:widowControl w:val="0"/>
      <w:shd w:val="clear" w:color="auto" w:fill="auto"/>
      <w:tabs>
        <w:tab w:val="clear" w:pos="426"/>
      </w:tabs>
      <w:adjustRightInd/>
      <w:snapToGrid/>
      <w:spacing w:line="300" w:lineRule="auto"/>
      <w:ind w:firstLine="200" w:firstLineChars="200"/>
    </w:pPr>
    <w:rPr>
      <w:rFonts w:ascii="Times New Roman"/>
      <w:kern w:val="2"/>
      <w:sz w:val="28"/>
      <w:szCs w:val="20"/>
    </w:rPr>
  </w:style>
  <w:style w:type="paragraph" w:customStyle="1" w:styleId="486">
    <w:name w:val="xl47"/>
    <w:basedOn w:val="1"/>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7">
    <w:name w:val="xl48"/>
    <w:basedOn w:val="1"/>
    <w:qFormat/>
    <w:uiPriority w:val="0"/>
    <w:pPr>
      <w:pBdr>
        <w:top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8">
    <w:name w:val="xl49"/>
    <w:basedOn w:val="1"/>
    <w:qFormat/>
    <w:uiPriority w:val="0"/>
    <w:pPr>
      <w:pBdr>
        <w:top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89">
    <w:name w:val="xl5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490">
    <w:name w:val="xl5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491">
    <w:name w:val="xl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492">
    <w:name w:val="xl5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493">
    <w:name w:val="xl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494">
    <w:name w:val="xl55"/>
    <w:basedOn w:val="1"/>
    <w:qFormat/>
    <w:uiPriority w:val="0"/>
    <w:pPr>
      <w:pBdr>
        <w:top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495">
    <w:name w:val="xl56"/>
    <w:basedOn w:val="1"/>
    <w:qFormat/>
    <w:uiPriority w:val="0"/>
    <w:pPr>
      <w:pBdr>
        <w:top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96">
    <w:name w:val="xl5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497">
    <w:name w:val="xl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498">
    <w:name w:val="xl5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499">
    <w:name w:val="xl60"/>
    <w:basedOn w:val="1"/>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500">
    <w:name w:val="xl61"/>
    <w:basedOn w:val="1"/>
    <w:qFormat/>
    <w:uiPriority w:val="0"/>
    <w:pPr>
      <w:pBdr>
        <w:top w:val="single" w:color="auto" w:sz="4" w:space="0"/>
        <w:left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1">
    <w:name w:val="xl62"/>
    <w:basedOn w:val="1"/>
    <w:qFormat/>
    <w:uiPriority w:val="0"/>
    <w:pPr>
      <w:pBdr>
        <w:top w:val="single" w:color="auto" w:sz="4" w:space="0"/>
        <w:bottom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2">
    <w:name w:val="xl63"/>
    <w:basedOn w:val="1"/>
    <w:qFormat/>
    <w:uiPriority w:val="0"/>
    <w:pPr>
      <w:pBdr>
        <w:top w:val="single" w:color="auto" w:sz="4" w:space="0"/>
        <w:bottom w:val="single" w:color="auto" w:sz="4" w:space="0"/>
        <w:right w:val="single" w:color="auto" w:sz="4" w:space="0"/>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03">
    <w:name w:val="样式 段后: 0.25 行"/>
    <w:basedOn w:val="1"/>
    <w:qFormat/>
    <w:uiPriority w:val="0"/>
    <w:pPr>
      <w:widowControl w:val="0"/>
      <w:shd w:val="clear" w:color="auto" w:fill="auto"/>
      <w:tabs>
        <w:tab w:val="clear" w:pos="426"/>
      </w:tabs>
      <w:adjustRightInd/>
      <w:snapToGrid/>
      <w:spacing w:afterLines="25" w:line="300" w:lineRule="auto"/>
      <w:ind w:firstLine="420" w:firstLineChars="200"/>
    </w:pPr>
    <w:rPr>
      <w:rFonts w:ascii="Arial" w:hAnsi="Arial"/>
      <w:kern w:val="2"/>
      <w:szCs w:val="20"/>
    </w:rPr>
  </w:style>
  <w:style w:type="paragraph" w:customStyle="1" w:styleId="504">
    <w:name w:val="默认段落字体 Para Char Char Char Char Char Char Char Char Char Char"/>
    <w:basedOn w:val="1"/>
    <w:qFormat/>
    <w:uiPriority w:val="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505">
    <w:name w:val="默认段落字体 Para Char Char Char Char Char Char Char"/>
    <w:basedOn w:val="1"/>
    <w:qFormat/>
    <w:uiPriority w:val="0"/>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506">
    <w:name w:val="H6 Char"/>
    <w:qFormat/>
    <w:uiPriority w:val="0"/>
    <w:rPr>
      <w:rFonts w:ascii="Arial" w:hAnsi="Arial" w:eastAsia="黑体"/>
      <w:b/>
      <w:kern w:val="2"/>
      <w:sz w:val="24"/>
    </w:rPr>
  </w:style>
  <w:style w:type="character" w:customStyle="1" w:styleId="507">
    <w:name w:val="L7 Char Char"/>
    <w:qFormat/>
    <w:uiPriority w:val="0"/>
    <w:rPr>
      <w:b/>
      <w:kern w:val="2"/>
      <w:sz w:val="24"/>
    </w:rPr>
  </w:style>
  <w:style w:type="character" w:customStyle="1" w:styleId="508">
    <w:name w:val="Char Char17"/>
    <w:qFormat/>
    <w:uiPriority w:val="0"/>
    <w:rPr>
      <w:rFonts w:ascii="Arial" w:hAnsi="Arial" w:eastAsia="黑体"/>
      <w:kern w:val="2"/>
      <w:sz w:val="24"/>
    </w:rPr>
  </w:style>
  <w:style w:type="character" w:customStyle="1" w:styleId="509">
    <w:name w:val="Char Char16"/>
    <w:qFormat/>
    <w:uiPriority w:val="0"/>
    <w:rPr>
      <w:rFonts w:ascii="Arial" w:hAnsi="Arial" w:eastAsia="黑体"/>
      <w:kern w:val="2"/>
      <w:sz w:val="21"/>
    </w:rPr>
  </w:style>
  <w:style w:type="character" w:customStyle="1" w:styleId="510">
    <w:name w:val="HTML 预设格式 Char1"/>
    <w:semiHidden/>
    <w:qFormat/>
    <w:uiPriority w:val="0"/>
    <w:rPr>
      <w:rFonts w:ascii="Courier New" w:hAnsi="Courier New" w:cs="Courier New"/>
      <w:kern w:val="2"/>
    </w:rPr>
  </w:style>
  <w:style w:type="character" w:customStyle="1" w:styleId="511">
    <w:name w:val="Char Char14"/>
    <w:qFormat/>
    <w:uiPriority w:val="0"/>
    <w:rPr>
      <w:rFonts w:ascii="华康简标题宋" w:eastAsia="华康简标题宋"/>
      <w:kern w:val="2"/>
      <w:sz w:val="52"/>
    </w:rPr>
  </w:style>
  <w:style w:type="character" w:customStyle="1" w:styleId="512">
    <w:name w:val="h Char"/>
    <w:qFormat/>
    <w:uiPriority w:val="0"/>
    <w:rPr>
      <w:rFonts w:ascii="宋体"/>
      <w:sz w:val="18"/>
    </w:rPr>
  </w:style>
  <w:style w:type="paragraph" w:customStyle="1" w:styleId="513">
    <w:name w:val="正式"/>
    <w:basedOn w:val="1"/>
    <w:qFormat/>
    <w:uiPriority w:val="0"/>
    <w:pPr>
      <w:widowControl w:val="0"/>
      <w:shd w:val="clear" w:color="auto" w:fill="auto"/>
      <w:tabs>
        <w:tab w:val="clear" w:pos="426"/>
      </w:tabs>
      <w:adjustRightInd/>
      <w:snapToGrid/>
      <w:ind w:firstLine="560"/>
    </w:pPr>
    <w:rPr>
      <w:rFonts w:hAnsi="宋体" w:cs="Times New Roman"/>
      <w:kern w:val="2"/>
      <w:sz w:val="28"/>
    </w:rPr>
  </w:style>
  <w:style w:type="paragraph" w:customStyle="1" w:styleId="514">
    <w:name w:val="样式 样式 (西文) 宋体 四号 行距: 1.5 倍行距 + 首行缩进:  2 字符"/>
    <w:basedOn w:val="1"/>
    <w:qFormat/>
    <w:uiPriority w:val="0"/>
    <w:pPr>
      <w:widowControl w:val="0"/>
      <w:shd w:val="clear" w:color="auto" w:fill="auto"/>
      <w:tabs>
        <w:tab w:val="clear" w:pos="426"/>
      </w:tabs>
      <w:adjustRightInd/>
      <w:snapToGrid/>
      <w:ind w:firstLine="560" w:firstLineChars="200"/>
    </w:pPr>
    <w:rPr>
      <w:rFonts w:hAnsi="宋体"/>
      <w:kern w:val="2"/>
      <w:sz w:val="28"/>
      <w:szCs w:val="20"/>
    </w:rPr>
  </w:style>
  <w:style w:type="character" w:customStyle="1" w:styleId="515">
    <w:name w:val="文件正文 Char Char Char"/>
    <w:qFormat/>
    <w:uiPriority w:val="0"/>
    <w:rPr>
      <w:rFonts w:eastAsia="仿宋_GB2312"/>
      <w:kern w:val="2"/>
      <w:sz w:val="24"/>
    </w:rPr>
  </w:style>
  <w:style w:type="character" w:customStyle="1" w:styleId="516">
    <w:name w:val="33 Char Char"/>
    <w:qFormat/>
    <w:uiPriority w:val="0"/>
    <w:rPr>
      <w:rFonts w:ascii="幼圆" w:eastAsia="幼圆"/>
      <w:b/>
      <w:bCs/>
      <w:sz w:val="28"/>
      <w:szCs w:val="28"/>
    </w:rPr>
  </w:style>
  <w:style w:type="character" w:customStyle="1" w:styleId="517">
    <w:name w:val="表格 Char Char"/>
    <w:link w:val="518"/>
    <w:qFormat/>
    <w:uiPriority w:val="0"/>
    <w:rPr>
      <w:rFonts w:ascii="宋体" w:hAnsi="宋体"/>
    </w:rPr>
  </w:style>
  <w:style w:type="paragraph" w:customStyle="1" w:styleId="518">
    <w:name w:val="表格"/>
    <w:basedOn w:val="1"/>
    <w:link w:val="517"/>
    <w:qFormat/>
    <w:uiPriority w:val="0"/>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519">
    <w:name w:val="批注文字 Char1"/>
    <w:qFormat/>
    <w:uiPriority w:val="99"/>
    <w:rPr>
      <w:rFonts w:ascii="Times New Roman" w:hAnsi="Times New Roman" w:eastAsia="宋体" w:cs="Times New Roman"/>
      <w:szCs w:val="24"/>
    </w:rPr>
  </w:style>
  <w:style w:type="character" w:customStyle="1" w:styleId="520">
    <w:name w:val="批注主题 Char1"/>
    <w:semiHidden/>
    <w:qFormat/>
    <w:uiPriority w:val="0"/>
    <w:rPr>
      <w:rFonts w:ascii="Times New Roman" w:hAnsi="Times New Roman" w:eastAsia="宋体" w:cs="Times New Roman"/>
      <w:b/>
      <w:bCs/>
      <w:szCs w:val="24"/>
    </w:rPr>
  </w:style>
  <w:style w:type="character" w:customStyle="1" w:styleId="521">
    <w:name w:val="脚注文本 Char1"/>
    <w:semiHidden/>
    <w:qFormat/>
    <w:uiPriority w:val="0"/>
    <w:rPr>
      <w:rFonts w:ascii="Times New Roman" w:hAnsi="Times New Roman" w:eastAsia="宋体" w:cs="Times New Roman"/>
      <w:sz w:val="18"/>
      <w:szCs w:val="18"/>
    </w:rPr>
  </w:style>
  <w:style w:type="character" w:customStyle="1" w:styleId="522">
    <w:name w:val="普通文字1 Char Char1"/>
    <w:qFormat/>
    <w:uiPriority w:val="0"/>
    <w:rPr>
      <w:rFonts w:ascii="宋体" w:hAnsi="Courier New"/>
      <w:kern w:val="2"/>
      <w:sz w:val="21"/>
    </w:rPr>
  </w:style>
  <w:style w:type="character" w:customStyle="1" w:styleId="523">
    <w:name w:val="标题 Char1"/>
    <w:qFormat/>
    <w:uiPriority w:val="0"/>
    <w:rPr>
      <w:rFonts w:ascii="Cambria" w:hAnsi="Cambria" w:eastAsia="宋体" w:cs="Times New Roman"/>
      <w:b/>
      <w:bCs/>
      <w:sz w:val="32"/>
      <w:szCs w:val="32"/>
    </w:rPr>
  </w:style>
  <w:style w:type="paragraph" w:customStyle="1" w:styleId="524">
    <w:name w:val="列表内容"/>
    <w:basedOn w:val="1"/>
    <w:next w:val="1"/>
    <w:qFormat/>
    <w:uiPriority w:val="0"/>
    <w:pPr>
      <w:shd w:val="clear" w:color="auto" w:fill="auto"/>
      <w:tabs>
        <w:tab w:val="left" w:pos="907"/>
        <w:tab w:val="left" w:pos="1271"/>
        <w:tab w:val="clear" w:pos="426"/>
      </w:tabs>
      <w:adjustRightInd/>
      <w:snapToGrid/>
      <w:spacing w:line="240" w:lineRule="auto"/>
      <w:ind w:left="907" w:hanging="907"/>
      <w:jc w:val="left"/>
    </w:pPr>
    <w:rPr>
      <w:rFonts w:ascii="Times New Roman" w:cs="Times New Roman"/>
      <w:sz w:val="18"/>
    </w:rPr>
  </w:style>
  <w:style w:type="paragraph" w:customStyle="1" w:styleId="525">
    <w:name w:val="p16"/>
    <w:basedOn w:val="1"/>
    <w:qFormat/>
    <w:uiPriority w:val="99"/>
    <w:pPr>
      <w:shd w:val="clear" w:color="auto" w:fill="auto"/>
      <w:tabs>
        <w:tab w:val="clear" w:pos="426"/>
      </w:tabs>
      <w:adjustRightInd/>
      <w:snapToGrid/>
      <w:spacing w:line="240" w:lineRule="auto"/>
      <w:ind w:firstLine="420"/>
    </w:pPr>
    <w:rPr>
      <w:rFonts w:ascii="Arial Unicode MS" w:hAnsi="Arial Unicode MS" w:eastAsia="Arial Unicode MS" w:cs="Arial Unicode MS"/>
      <w:sz w:val="32"/>
      <w:szCs w:val="32"/>
    </w:rPr>
  </w:style>
  <w:style w:type="character" w:customStyle="1" w:styleId="526">
    <w:name w:val="15"/>
    <w:qFormat/>
    <w:uiPriority w:val="0"/>
    <w:rPr>
      <w:rFonts w:hint="default" w:ascii="Times New Roman" w:hAnsi="Times New Roman" w:cs="Times New Roman"/>
      <w:color w:val="0000FF"/>
      <w:u w:val="single"/>
    </w:rPr>
  </w:style>
  <w:style w:type="paragraph" w:customStyle="1" w:styleId="527">
    <w:name w:val="p15"/>
    <w:basedOn w:val="1"/>
    <w:qFormat/>
    <w:uiPriority w:val="0"/>
    <w:pPr>
      <w:shd w:val="clear" w:color="auto" w:fill="auto"/>
      <w:tabs>
        <w:tab w:val="clear" w:pos="426"/>
      </w:tabs>
      <w:adjustRightInd/>
      <w:spacing w:line="240" w:lineRule="auto"/>
      <w:ind w:left="420" w:hanging="420"/>
    </w:pPr>
    <w:rPr>
      <w:rFonts w:hAnsi="宋体"/>
      <w:szCs w:val="21"/>
    </w:rPr>
  </w:style>
  <w:style w:type="paragraph" w:customStyle="1" w:styleId="528">
    <w:name w:val="xl23"/>
    <w:basedOn w:val="1"/>
    <w:qFormat/>
    <w:uiPriority w:val="0"/>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52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0">
    <w:name w:val="样式1_0"/>
    <w:basedOn w:val="529"/>
    <w:qFormat/>
    <w:uiPriority w:val="0"/>
    <w:pPr>
      <w:numPr>
        <w:ilvl w:val="0"/>
        <w:numId w:val="31"/>
      </w:numPr>
    </w:pPr>
    <w:rPr>
      <w:rFonts w:ascii="宋体" w:hAnsi="宋体"/>
      <w:szCs w:val="21"/>
    </w:rPr>
  </w:style>
  <w:style w:type="paragraph" w:customStyle="1" w:styleId="531">
    <w:name w:val="正文缩进_0"/>
    <w:basedOn w:val="529"/>
    <w:qFormat/>
    <w:uiPriority w:val="0"/>
    <w:pPr>
      <w:ind w:firstLine="420"/>
    </w:pPr>
  </w:style>
  <w:style w:type="paragraph" w:customStyle="1" w:styleId="532">
    <w:name w:val="标题 2_1"/>
    <w:basedOn w:val="529"/>
    <w:next w:val="529"/>
    <w:qFormat/>
    <w:uiPriority w:val="0"/>
    <w:pPr>
      <w:keepNext/>
      <w:keepLines/>
      <w:spacing w:before="260" w:after="260" w:line="412" w:lineRule="auto"/>
      <w:outlineLvl w:val="1"/>
    </w:pPr>
    <w:rPr>
      <w:rFonts w:ascii="Arial" w:hAnsi="Arial" w:eastAsia="黑体"/>
      <w:b/>
      <w:sz w:val="32"/>
    </w:rPr>
  </w:style>
  <w:style w:type="paragraph" w:customStyle="1" w:styleId="533">
    <w:name w:val="纯文本_1"/>
    <w:basedOn w:val="529"/>
    <w:qFormat/>
    <w:uiPriority w:val="0"/>
    <w:rPr>
      <w:rFonts w:ascii="宋体"/>
      <w:szCs w:val="21"/>
    </w:rPr>
  </w:style>
  <w:style w:type="paragraph" w:customStyle="1" w:styleId="534">
    <w:name w:val="普通(网站)_0"/>
    <w:basedOn w:val="529"/>
    <w:qFormat/>
    <w:uiPriority w:val="0"/>
    <w:pPr>
      <w:widowControl/>
      <w:spacing w:before="100" w:beforeAutospacing="1" w:after="100" w:afterAutospacing="1"/>
      <w:jc w:val="left"/>
    </w:pPr>
    <w:rPr>
      <w:rFonts w:ascii="宋体"/>
      <w:kern w:val="0"/>
      <w:sz w:val="24"/>
      <w:szCs w:val="24"/>
      <w:lang w:eastAsia="en-US"/>
    </w:rPr>
  </w:style>
  <w:style w:type="character" w:customStyle="1" w:styleId="535">
    <w:name w:val="Char Char15"/>
    <w:qFormat/>
    <w:uiPriority w:val="0"/>
    <w:rPr>
      <w:rFonts w:ascii="宋体" w:hAnsi="宋体"/>
      <w:sz w:val="24"/>
    </w:rPr>
  </w:style>
  <w:style w:type="character" w:customStyle="1" w:styleId="536">
    <w:name w:val="Char Char13"/>
    <w:qFormat/>
    <w:uiPriority w:val="0"/>
    <w:rPr>
      <w:rFonts w:ascii="宋体" w:hAnsi="宋体"/>
      <w:b/>
      <w:kern w:val="2"/>
      <w:sz w:val="21"/>
    </w:rPr>
  </w:style>
  <w:style w:type="character" w:customStyle="1" w:styleId="537">
    <w:name w:val="Char Char10"/>
    <w:qFormat/>
    <w:uiPriority w:val="0"/>
    <w:rPr>
      <w:rFonts w:ascii="宋体"/>
      <w:sz w:val="28"/>
    </w:rPr>
  </w:style>
  <w:style w:type="character" w:customStyle="1" w:styleId="538">
    <w:name w:val="正文缩进2格 Char"/>
    <w:link w:val="539"/>
    <w:qFormat/>
    <w:uiPriority w:val="0"/>
    <w:rPr>
      <w:rFonts w:ascii="仿宋_GB2312" w:hAnsi="宋体" w:eastAsia="仿宋_GB2312"/>
      <w:kern w:val="2"/>
      <w:sz w:val="31"/>
    </w:rPr>
  </w:style>
  <w:style w:type="paragraph" w:customStyle="1" w:styleId="539">
    <w:name w:val="正文缩进2格"/>
    <w:basedOn w:val="1"/>
    <w:link w:val="538"/>
    <w:qFormat/>
    <w:uiPriority w:val="0"/>
    <w:pPr>
      <w:widowControl w:val="0"/>
      <w:shd w:val="clear" w:color="auto" w:fill="auto"/>
      <w:tabs>
        <w:tab w:val="clear" w:pos="426"/>
      </w:tabs>
      <w:adjustRightInd/>
      <w:snapToGrid/>
      <w:spacing w:line="600" w:lineRule="exact"/>
      <w:ind w:firstLine="639" w:firstLineChars="206"/>
    </w:pPr>
    <w:rPr>
      <w:rFonts w:ascii="仿宋_GB2312" w:hAnsi="宋体" w:eastAsia="仿宋_GB2312" w:cs="Times New Roman"/>
      <w:kern w:val="2"/>
      <w:sz w:val="31"/>
      <w:szCs w:val="20"/>
    </w:rPr>
  </w:style>
  <w:style w:type="character" w:customStyle="1" w:styleId="540">
    <w:name w:val="style5"/>
    <w:qFormat/>
    <w:uiPriority w:val="0"/>
  </w:style>
  <w:style w:type="character" w:customStyle="1" w:styleId="541">
    <w:name w:val="样式 标题 3 + 小四 Char"/>
    <w:qFormat/>
    <w:uiPriority w:val="0"/>
    <w:rPr>
      <w:rFonts w:ascii="宋体" w:hAnsi="宋体" w:eastAsia="宋体" w:cs="Arial"/>
      <w:b/>
      <w:bCs/>
      <w:smallCaps/>
      <w:kern w:val="2"/>
      <w:sz w:val="24"/>
      <w:szCs w:val="24"/>
      <w:lang w:val="en-US" w:eastAsia="zh-CN" w:bidi="ar-SA"/>
    </w:rPr>
  </w:style>
  <w:style w:type="paragraph" w:customStyle="1" w:styleId="542">
    <w:name w:val="font514155"/>
    <w:basedOn w:val="1"/>
    <w:qFormat/>
    <w:uiPriority w:val="0"/>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543">
    <w:name w:val="xl73141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544">
    <w:name w:val="标题 1.1 Char1"/>
    <w:qFormat/>
    <w:uiPriority w:val="0"/>
    <w:rPr>
      <w:rFonts w:ascii="Arial" w:hAnsi="Arial" w:eastAsia="黑体"/>
      <w:b/>
      <w:bCs/>
      <w:kern w:val="2"/>
      <w:sz w:val="32"/>
      <w:szCs w:val="32"/>
      <w:lang w:val="en-US" w:eastAsia="zh-CN" w:bidi="ar-SA"/>
    </w:rPr>
  </w:style>
  <w:style w:type="paragraph" w:customStyle="1" w:styleId="545">
    <w:name w:val="TOC 标题3"/>
    <w:basedOn w:val="2"/>
    <w:next w:val="1"/>
    <w:qFormat/>
    <w:uiPriority w:val="0"/>
    <w:pPr>
      <w:keepNext/>
      <w:keepLines/>
      <w:widowControl/>
      <w:tabs>
        <w:tab w:val="clear" w:pos="426"/>
      </w:tabs>
      <w:spacing w:before="480" w:after="0" w:line="276" w:lineRule="auto"/>
      <w:jc w:val="left"/>
      <w:outlineLvl w:val="9"/>
    </w:pPr>
    <w:rPr>
      <w:rFonts w:ascii="Cambria" w:hAnsi="Cambria" w:eastAsia="宋体"/>
      <w:color w:val="365F91"/>
      <w:kern w:val="0"/>
    </w:rPr>
  </w:style>
  <w:style w:type="character" w:customStyle="1" w:styleId="546">
    <w:name w:val="标题 3.1 Char"/>
    <w:link w:val="547"/>
    <w:qFormat/>
    <w:uiPriority w:val="0"/>
    <w:rPr>
      <w:rFonts w:ascii="宋体" w:hAnsi="宋体"/>
      <w:b/>
      <w:color w:val="FF0000"/>
      <w:kern w:val="2"/>
      <w:sz w:val="32"/>
    </w:rPr>
  </w:style>
  <w:style w:type="paragraph" w:customStyle="1" w:styleId="547">
    <w:name w:val="标题 3.1"/>
    <w:basedOn w:val="3"/>
    <w:link w:val="546"/>
    <w:qFormat/>
    <w:uiPriority w:val="0"/>
    <w:pPr>
      <w:tabs>
        <w:tab w:val="left" w:pos="1440"/>
        <w:tab w:val="left" w:pos="1620"/>
      </w:tabs>
      <w:spacing w:line="600" w:lineRule="exact"/>
    </w:pPr>
    <w:rPr>
      <w:rFonts w:hAnsi="宋体"/>
      <w:bCs w:val="0"/>
      <w:color w:val="FF0000"/>
      <w:sz w:val="32"/>
      <w:szCs w:val="20"/>
    </w:rPr>
  </w:style>
  <w:style w:type="character" w:customStyle="1" w:styleId="548">
    <w:name w:val="文件正文 Char"/>
    <w:qFormat/>
    <w:uiPriority w:val="0"/>
    <w:rPr>
      <w:rFonts w:eastAsia="仿宋_GB2312"/>
      <w:kern w:val="2"/>
      <w:sz w:val="24"/>
    </w:rPr>
  </w:style>
  <w:style w:type="paragraph" w:customStyle="1" w:styleId="549">
    <w:name w:val="Char Char1"/>
    <w:basedOn w:val="1"/>
    <w:qFormat/>
    <w:uiPriority w:val="0"/>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550">
    <w:name w:val="Char Char Char Char Char Char1 Char"/>
    <w:basedOn w:val="1"/>
    <w:qFormat/>
    <w:uiPriority w:val="0"/>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551">
    <w:name w:val="正文1 Char"/>
    <w:qFormat/>
    <w:uiPriority w:val="0"/>
    <w:rPr>
      <w:rFonts w:ascii="宋体" w:hAnsi="宋体" w:cs="宋体"/>
      <w:sz w:val="21"/>
    </w:rPr>
  </w:style>
  <w:style w:type="character" w:customStyle="1" w:styleId="552">
    <w:name w:val="标题 2 Char Char Char Char"/>
    <w:qFormat/>
    <w:uiPriority w:val="0"/>
    <w:rPr>
      <w:rFonts w:ascii="Arial" w:hAnsi="Arial" w:eastAsia="黑体"/>
      <w:b/>
      <w:bCs/>
      <w:kern w:val="2"/>
      <w:sz w:val="32"/>
      <w:szCs w:val="32"/>
      <w:lang w:val="en-US" w:eastAsia="zh-CN" w:bidi="ar-SA"/>
    </w:rPr>
  </w:style>
  <w:style w:type="paragraph" w:customStyle="1" w:styleId="553">
    <w:name w:val="表中文字"/>
    <w:basedOn w:val="1"/>
    <w:qFormat/>
    <w:uiPriority w:val="0"/>
    <w:pPr>
      <w:shd w:val="clear" w:color="auto" w:fill="auto"/>
      <w:tabs>
        <w:tab w:val="clear" w:pos="426"/>
      </w:tabs>
      <w:adjustRightInd/>
      <w:snapToGrid/>
      <w:spacing w:line="240" w:lineRule="auto"/>
    </w:pPr>
    <w:rPr>
      <w:rFonts w:ascii="Arial" w:hAnsi="Arial" w:cs="Times New Roman"/>
      <w:kern w:val="2"/>
      <w:szCs w:val="20"/>
    </w:rPr>
  </w:style>
  <w:style w:type="character" w:customStyle="1" w:styleId="554">
    <w:name w:val="批注文字 字符"/>
    <w:qFormat/>
    <w:uiPriority w:val="0"/>
    <w:rPr>
      <w:rFonts w:eastAsia="宋体"/>
      <w:szCs w:val="24"/>
    </w:rPr>
  </w:style>
  <w:style w:type="character" w:customStyle="1" w:styleId="555">
    <w:name w:val="批注框文本 字符"/>
    <w:qFormat/>
    <w:uiPriority w:val="0"/>
    <w:rPr>
      <w:rFonts w:ascii="Times New Roman" w:hAnsi="Times New Roman" w:eastAsia="宋体" w:cs="Times New Roman"/>
      <w:sz w:val="18"/>
      <w:szCs w:val="18"/>
    </w:rPr>
  </w:style>
  <w:style w:type="character" w:customStyle="1" w:styleId="556">
    <w:name w:val="页眉 字符"/>
    <w:qFormat/>
    <w:uiPriority w:val="0"/>
    <w:rPr>
      <w:rFonts w:ascii="Times New Roman" w:hAnsi="Times New Roman" w:eastAsia="宋体" w:cs="Times New Roman"/>
      <w:sz w:val="18"/>
      <w:szCs w:val="18"/>
    </w:rPr>
  </w:style>
  <w:style w:type="character" w:customStyle="1" w:styleId="557">
    <w:name w:val="页脚 字符"/>
    <w:qFormat/>
    <w:uiPriority w:val="99"/>
    <w:rPr>
      <w:rFonts w:ascii="Times New Roman" w:hAnsi="Times New Roman" w:eastAsia="宋体" w:cs="Times New Roman"/>
      <w:sz w:val="18"/>
      <w:szCs w:val="18"/>
    </w:rPr>
  </w:style>
  <w:style w:type="paragraph" w:customStyle="1" w:styleId="558">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9">
    <w:name w:val="Text Char"/>
    <w:link w:val="560"/>
    <w:qFormat/>
    <w:uiPriority w:val="0"/>
    <w:rPr>
      <w:rFonts w:ascii="Calibri" w:hAnsi="Calibri" w:eastAsia="微软雅黑 Light"/>
      <w:kern w:val="2"/>
      <w:sz w:val="24"/>
      <w:szCs w:val="28"/>
    </w:rPr>
  </w:style>
  <w:style w:type="paragraph" w:customStyle="1" w:styleId="560">
    <w:name w:val="Text"/>
    <w:basedOn w:val="1"/>
    <w:link w:val="559"/>
    <w:qFormat/>
    <w:uiPriority w:val="0"/>
    <w:pPr>
      <w:widowControl w:val="0"/>
      <w:shd w:val="clear" w:color="auto" w:fill="auto"/>
      <w:tabs>
        <w:tab w:val="clear" w:pos="426"/>
      </w:tabs>
      <w:spacing w:line="240" w:lineRule="auto"/>
      <w:ind w:firstLine="200" w:firstLineChars="200"/>
    </w:pPr>
    <w:rPr>
      <w:rFonts w:ascii="Calibri" w:hAnsi="Calibri" w:eastAsia="微软雅黑 Light" w:cs="Times New Roman"/>
      <w:kern w:val="2"/>
      <w:sz w:val="24"/>
      <w:szCs w:val="28"/>
    </w:rPr>
  </w:style>
  <w:style w:type="paragraph" w:customStyle="1" w:styleId="561">
    <w:name w:val="列表段落1"/>
    <w:basedOn w:val="1"/>
    <w:qFormat/>
    <w:uiPriority w:val="0"/>
    <w:pPr>
      <w:widowControl w:val="0"/>
      <w:shd w:val="clear" w:color="auto" w:fill="auto"/>
      <w:tabs>
        <w:tab w:val="clear" w:pos="426"/>
      </w:tabs>
      <w:adjustRightInd/>
      <w:snapToGrid/>
      <w:spacing w:line="240" w:lineRule="auto"/>
      <w:ind w:firstLine="200" w:firstLineChars="200"/>
    </w:pPr>
    <w:rPr>
      <w:rFonts w:ascii="Calibri" w:hAnsi="Calibri" w:cs="Times New Roman"/>
      <w:sz w:val="24"/>
    </w:rPr>
  </w:style>
  <w:style w:type="paragraph" w:customStyle="1" w:styleId="562">
    <w:name w:val="样式 正文缩进表正文正文非缩进特点段1四号正文不缩进标题4??????????ALT+Z水上软件特点 ...4"/>
    <w:basedOn w:val="7"/>
    <w:qFormat/>
    <w:uiPriority w:val="0"/>
    <w:pPr>
      <w:widowControl w:val="0"/>
      <w:shd w:val="clear" w:color="auto" w:fill="auto"/>
      <w:tabs>
        <w:tab w:val="clear" w:pos="426"/>
      </w:tabs>
      <w:adjustRightInd/>
      <w:snapToGrid/>
      <w:ind w:firstLine="200" w:firstLineChars="200"/>
    </w:pPr>
    <w:rPr>
      <w:rFonts w:cs="宋体"/>
      <w:color w:val="000000"/>
    </w:rPr>
  </w:style>
  <w:style w:type="paragraph" w:customStyle="1" w:styleId="563">
    <w:name w:val="正文！！！"/>
    <w:basedOn w:val="1"/>
    <w:qFormat/>
    <w:uiPriority w:val="0"/>
    <w:pPr>
      <w:widowControl w:val="0"/>
      <w:shd w:val="clear" w:color="auto" w:fill="auto"/>
      <w:tabs>
        <w:tab w:val="clear" w:pos="426"/>
      </w:tabs>
      <w:adjustRightInd/>
      <w:snapToGrid/>
      <w:ind w:firstLine="420" w:firstLineChars="200"/>
    </w:pPr>
    <w:rPr>
      <w:rFonts w:ascii="Arial" w:hAnsi="Arial" w:eastAsia="微软雅黑"/>
      <w:kern w:val="2"/>
      <w:sz w:val="24"/>
      <w:szCs w:val="20"/>
    </w:rPr>
  </w:style>
  <w:style w:type="paragraph" w:customStyle="1" w:styleId="564">
    <w:name w:val="样式 正文缩进表正文正文非缩进特点段1四号正文不缩进标题4??????????ALT+Z水上软件特点 ..."/>
    <w:basedOn w:val="7"/>
    <w:qFormat/>
    <w:uiPriority w:val="0"/>
    <w:pPr>
      <w:widowControl w:val="0"/>
      <w:shd w:val="clear" w:color="auto" w:fill="auto"/>
      <w:tabs>
        <w:tab w:val="clear" w:pos="426"/>
      </w:tabs>
      <w:adjustRightInd/>
      <w:snapToGrid/>
      <w:ind w:firstLine="200" w:firstLineChars="200"/>
    </w:pPr>
    <w:rPr>
      <w:rFonts w:cs="宋体"/>
    </w:rPr>
  </w:style>
  <w:style w:type="table" w:customStyle="1" w:styleId="565">
    <w:name w:val="网格型1"/>
    <w:basedOn w:val="85"/>
    <w:qFormat/>
    <w:uiPriority w:val="0"/>
    <w:rPr>
      <w:rFonts w:ascii="Calibri" w:hAnsi="Calibr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6">
    <w:name w:val="_Style 565"/>
    <w:unhideWhenUsed/>
    <w:qFormat/>
    <w:uiPriority w:val="99"/>
    <w:rPr>
      <w:rFonts w:ascii="宋体" w:hAnsi="Times New Roman" w:eastAsia="宋体" w:cs="宋体"/>
      <w:sz w:val="21"/>
      <w:szCs w:val="24"/>
      <w:lang w:val="en-US" w:eastAsia="zh-CN" w:bidi="ar-SA"/>
    </w:rPr>
  </w:style>
  <w:style w:type="character" w:customStyle="1" w:styleId="567">
    <w:name w:val="_Style 566"/>
    <w:unhideWhenUsed/>
    <w:qFormat/>
    <w:uiPriority w:val="99"/>
    <w:rPr>
      <w:color w:val="605E5C"/>
      <w:shd w:val="clear" w:color="auto" w:fill="E1DFDD"/>
    </w:rPr>
  </w:style>
  <w:style w:type="paragraph" w:customStyle="1" w:styleId="568">
    <w:name w:val="修订3"/>
    <w:hidden/>
    <w:semiHidden/>
    <w:qFormat/>
    <w:uiPriority w:val="99"/>
    <w:rPr>
      <w:rFonts w:ascii="宋体" w:hAnsi="Times New Roman" w:eastAsia="宋体" w:cs="宋体"/>
      <w:sz w:val="21"/>
      <w:szCs w:val="24"/>
      <w:lang w:val="en-US" w:eastAsia="zh-CN" w:bidi="ar-SA"/>
    </w:rPr>
  </w:style>
  <w:style w:type="paragraph" w:customStyle="1" w:styleId="569">
    <w:name w:val="修订4"/>
    <w:hidden/>
    <w:semiHidden/>
    <w:qFormat/>
    <w:uiPriority w:val="99"/>
    <w:rPr>
      <w:rFonts w:ascii="宋体" w:hAnsi="Times New Roman" w:eastAsia="宋体" w:cs="宋体"/>
      <w:sz w:val="21"/>
      <w:szCs w:val="24"/>
      <w:lang w:val="en-US" w:eastAsia="zh-CN" w:bidi="ar-SA"/>
    </w:rPr>
  </w:style>
  <w:style w:type="paragraph" w:customStyle="1" w:styleId="570">
    <w:name w:val="彩色列表 - 强调文字颜色 111"/>
    <w:basedOn w:val="1"/>
    <w:qFormat/>
    <w:uiPriority w:val="0"/>
    <w:pPr>
      <w:widowControl w:val="0"/>
      <w:shd w:val="clear" w:color="auto" w:fill="auto"/>
      <w:tabs>
        <w:tab w:val="clear" w:pos="426"/>
      </w:tabs>
      <w:adjustRightInd/>
      <w:snapToGrid/>
      <w:spacing w:line="240" w:lineRule="auto"/>
      <w:ind w:firstLine="420" w:firstLineChars="200"/>
    </w:pPr>
    <w:rPr>
      <w:rFonts w:ascii="Times New Roman" w:eastAsia="仿宋体" w:cs="Times New Roman"/>
      <w:kern w:val="2"/>
      <w:sz w:val="32"/>
      <w:szCs w:val="32"/>
    </w:rPr>
  </w:style>
  <w:style w:type="character" w:customStyle="1" w:styleId="571">
    <w:name w:val="未处理的提及1"/>
    <w:basedOn w:val="87"/>
    <w:semiHidden/>
    <w:unhideWhenUsed/>
    <w:qFormat/>
    <w:uiPriority w:val="99"/>
    <w:rPr>
      <w:color w:val="605E5C"/>
      <w:shd w:val="clear" w:color="auto" w:fill="E1DFDD"/>
    </w:rPr>
  </w:style>
  <w:style w:type="paragraph" w:customStyle="1" w:styleId="572">
    <w:name w:val="修订5"/>
    <w:hidden/>
    <w:semiHidden/>
    <w:qFormat/>
    <w:uiPriority w:val="99"/>
    <w:rPr>
      <w:rFonts w:ascii="宋体" w:hAnsi="Times New Roman" w:eastAsia="宋体" w:cs="宋体"/>
      <w:sz w:val="21"/>
      <w:szCs w:val="24"/>
      <w:lang w:val="en-US" w:eastAsia="zh-CN" w:bidi="ar-SA"/>
    </w:rPr>
  </w:style>
  <w:style w:type="character" w:customStyle="1" w:styleId="573">
    <w:name w:val="未处理的提及2"/>
    <w:basedOn w:val="87"/>
    <w:semiHidden/>
    <w:unhideWhenUsed/>
    <w:qFormat/>
    <w:uiPriority w:val="99"/>
    <w:rPr>
      <w:color w:val="605E5C"/>
      <w:shd w:val="clear" w:color="auto" w:fill="E1DFDD"/>
    </w:rPr>
  </w:style>
  <w:style w:type="paragraph" w:customStyle="1" w:styleId="574">
    <w:name w:val="修订6"/>
    <w:hidden/>
    <w:semiHidden/>
    <w:qFormat/>
    <w:uiPriority w:val="99"/>
    <w:rPr>
      <w:rFonts w:ascii="宋体" w:hAnsi="Times New Roman" w:eastAsia="宋体" w:cs="宋体"/>
      <w:sz w:val="21"/>
      <w:szCs w:val="24"/>
      <w:lang w:val="en-US" w:eastAsia="zh-CN" w:bidi="ar-SA"/>
    </w:rPr>
  </w:style>
  <w:style w:type="paragraph" w:customStyle="1" w:styleId="575">
    <w:name w:val="Table Paragraph"/>
    <w:basedOn w:val="1"/>
    <w:qFormat/>
    <w:uiPriority w:val="1"/>
    <w:pPr>
      <w:widowControl w:val="0"/>
      <w:shd w:val="clear" w:color="auto" w:fill="auto"/>
      <w:tabs>
        <w:tab w:val="clear" w:pos="426"/>
      </w:tabs>
      <w:autoSpaceDE w:val="0"/>
      <w:autoSpaceDN w:val="0"/>
      <w:snapToGrid/>
      <w:spacing w:line="240" w:lineRule="auto"/>
      <w:jc w:val="left"/>
    </w:pPr>
    <w:rPr>
      <w:rFonts w:ascii="Times New Roman" w:cs="Times New Roman" w:eastAsiaTheme="minorEastAsia"/>
      <w:sz w:val="24"/>
    </w:rPr>
  </w:style>
  <w:style w:type="character" w:customStyle="1" w:styleId="576">
    <w:name w:val="未处理的提及3"/>
    <w:basedOn w:val="87"/>
    <w:semiHidden/>
    <w:unhideWhenUsed/>
    <w:qFormat/>
    <w:uiPriority w:val="99"/>
    <w:rPr>
      <w:color w:val="605E5C"/>
      <w:shd w:val="clear" w:color="auto" w:fill="E1DFDD"/>
    </w:rPr>
  </w:style>
  <w:style w:type="paragraph" w:customStyle="1" w:styleId="577">
    <w:name w:val="修订7"/>
    <w:hidden/>
    <w:unhideWhenUsed/>
    <w:qFormat/>
    <w:uiPriority w:val="99"/>
    <w:rPr>
      <w:rFonts w:ascii="宋体" w:hAnsi="Times New Roman" w:eastAsia="宋体" w:cs="宋体"/>
      <w:sz w:val="21"/>
      <w:szCs w:val="24"/>
      <w:lang w:val="en-US" w:eastAsia="zh-CN" w:bidi="ar-SA"/>
    </w:rPr>
  </w:style>
  <w:style w:type="paragraph" w:customStyle="1" w:styleId="578">
    <w:name w:val="修订8"/>
    <w:hidden/>
    <w:unhideWhenUsed/>
    <w:qFormat/>
    <w:uiPriority w:val="99"/>
    <w:rPr>
      <w:rFonts w:ascii="宋体" w:hAnsi="Times New Roman" w:eastAsia="宋体" w:cs="宋体"/>
      <w:sz w:val="21"/>
      <w:szCs w:val="24"/>
      <w:lang w:val="en-US" w:eastAsia="zh-CN" w:bidi="ar-SA"/>
    </w:rPr>
  </w:style>
  <w:style w:type="character" w:customStyle="1" w:styleId="579">
    <w:name w:val="纯文本 字符"/>
    <w:basedOn w:val="87"/>
    <w:link w:val="43"/>
    <w:qFormat/>
    <w:uiPriority w:val="0"/>
    <w:rPr>
      <w:rFonts w:ascii="宋体"/>
      <w:kern w:val="2"/>
      <w:sz w:val="21"/>
      <w:shd w:val="clear" w:color="auto" w:fill="FFFFFF"/>
    </w:rPr>
  </w:style>
  <w:style w:type="character" w:customStyle="1" w:styleId="580">
    <w:name w:val="16"/>
    <w:basedOn w:val="87"/>
    <w:qFormat/>
    <w:uiPriority w:val="0"/>
    <w:rPr>
      <w:rFonts w:hint="eastAsia" w:ascii="宋体" w:hAnsi="宋体" w:eastAsia="宋体" w:cs="宋体"/>
      <w:color w:val="000000"/>
      <w:sz w:val="21"/>
      <w:szCs w:val="21"/>
    </w:rPr>
  </w:style>
  <w:style w:type="paragraph" w:customStyle="1" w:styleId="581">
    <w:name w:val="修订9"/>
    <w:hidden/>
    <w:unhideWhenUsed/>
    <w:qFormat/>
    <w:uiPriority w:val="99"/>
    <w:rPr>
      <w:rFonts w:ascii="宋体" w:hAnsi="Times New Roman" w:eastAsia="宋体" w:cs="宋体"/>
      <w:sz w:val="21"/>
      <w:szCs w:val="24"/>
      <w:lang w:val="en-US" w:eastAsia="zh-CN" w:bidi="ar-SA"/>
    </w:rPr>
  </w:style>
  <w:style w:type="paragraph" w:customStyle="1" w:styleId="582">
    <w:name w:val="修订10"/>
    <w:hidden/>
    <w:unhideWhenUsed/>
    <w:qFormat/>
    <w:uiPriority w:val="99"/>
    <w:rPr>
      <w:rFonts w:ascii="宋体" w:hAnsi="Times New Roman" w:eastAsia="宋体" w:cs="宋体"/>
      <w:sz w:val="21"/>
      <w:szCs w:val="24"/>
      <w:lang w:val="en-US" w:eastAsia="zh-CN" w:bidi="ar-SA"/>
    </w:rPr>
  </w:style>
  <w:style w:type="paragraph" w:customStyle="1" w:styleId="583">
    <w:name w:val="修订11"/>
    <w:hidden/>
    <w:unhideWhenUsed/>
    <w:qFormat/>
    <w:uiPriority w:val="99"/>
    <w:rPr>
      <w:rFonts w:ascii="宋体" w:hAnsi="Times New Roman" w:eastAsia="宋体" w:cs="宋体"/>
      <w:sz w:val="21"/>
      <w:szCs w:val="24"/>
      <w:lang w:val="en-US" w:eastAsia="zh-CN" w:bidi="ar-SA"/>
    </w:rPr>
  </w:style>
  <w:style w:type="paragraph" w:customStyle="1" w:styleId="584">
    <w:name w:val="列出段落"/>
    <w:basedOn w:val="1"/>
    <w:autoRedefine/>
    <w:qFormat/>
    <w:uiPriority w:val="99"/>
    <w:pPr>
      <w:widowControl w:val="0"/>
      <w:shd w:val="clear" w:color="auto" w:fill="auto"/>
      <w:tabs>
        <w:tab w:val="clear" w:pos="426"/>
      </w:tabs>
      <w:adjustRightInd/>
      <w:snapToGrid/>
      <w:spacing w:line="240" w:lineRule="auto"/>
      <w:ind w:firstLine="420" w:firstLineChars="200"/>
    </w:pPr>
    <w:rPr>
      <w:rFonts w:ascii="Times New Roman" w:eastAsia="仿宋体" w:cs="Times New Roman"/>
      <w:kern w:val="2"/>
      <w:sz w:val="32"/>
    </w:rPr>
  </w:style>
  <w:style w:type="paragraph" w:customStyle="1" w:styleId="585">
    <w:name w:val="BodyText"/>
    <w:basedOn w:val="1"/>
    <w:autoRedefine/>
    <w:qFormat/>
    <w:uiPriority w:val="0"/>
    <w:pPr>
      <w:widowControl w:val="0"/>
      <w:shd w:val="clear" w:color="auto" w:fill="auto"/>
      <w:tabs>
        <w:tab w:val="clear" w:pos="426"/>
      </w:tabs>
      <w:adjustRightInd/>
      <w:snapToGrid/>
    </w:pPr>
    <w:rPr>
      <w:rFonts w:ascii="Times New Roman" w:eastAsia="仿宋体" w:cs="Times New Roman"/>
      <w:b/>
      <w:sz w:val="24"/>
    </w:rPr>
  </w:style>
  <w:style w:type="paragraph" w:customStyle="1" w:styleId="586">
    <w:name w:val="修订12"/>
    <w:hidden/>
    <w:unhideWhenUsed/>
    <w:qFormat/>
    <w:uiPriority w:val="99"/>
    <w:rPr>
      <w:rFonts w:ascii="宋体" w:hAnsi="Times New Roman"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C488-93A7-4D47-8D80-F5F85F719B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58856</Words>
  <Characters>64216</Characters>
  <Lines>486</Lines>
  <Paragraphs>136</Paragraphs>
  <TotalTime>3</TotalTime>
  <ScaleCrop>false</ScaleCrop>
  <LinksUpToDate>false</LinksUpToDate>
  <CharactersWithSpaces>65569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2022-07-29T16:11:00Z</dcterms:created>
  <dc:creator>thsware</dc:creator>
  <cp:lastModifiedBy>微信用户</cp:lastModifiedBy>
  <cp:lastPrinted>2023-03-28T10:09:00Z</cp:lastPrinted>
  <dcterms:modified xsi:type="dcterms:W3CDTF">2024-09-18T10:30:46Z</dcterms:modified>
  <dc:title>招  标　文　件</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0EF53C47C8054AF788C35DF2DF29BF04_13</vt:lpwstr>
  </property>
</Properties>
</file>