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5"/>
      </w:pPr>
    </w:p>
    <w:p>
      <w:pPr>
        <w:shd w:val="clear" w:color="auto" w:fill="auto"/>
        <w:tabs>
          <w:tab w:val="clear" w:pos="426"/>
        </w:tabs>
        <w:ind w:firstLine="420"/>
        <w:rPr>
          <w:rFonts w:ascii="Times New Roman" w:hAnsi="Times New Roman" w:cs="Times New Roman"/>
        </w:rPr>
      </w:pPr>
    </w:p>
    <w:p>
      <w:pPr>
        <w:pStyle w:val="55"/>
      </w:pPr>
    </w:p>
    <w:p>
      <w:pPr>
        <w:pStyle w:val="291"/>
        <w:shd w:val="clear" w:color="auto" w:fill="auto"/>
        <w:ind w:firstLine="420"/>
      </w:pPr>
      <w:r>
        <w:t>采购项目编号：</w:t>
      </w:r>
      <w:r>
        <w:rPr>
          <w:rFonts w:hint="eastAsia"/>
        </w:rPr>
        <w:t>SSZX2024-419</w:t>
      </w:r>
    </w:p>
    <w:p>
      <w:pPr>
        <w:shd w:val="clear" w:color="auto" w:fill="auto"/>
        <w:tabs>
          <w:tab w:val="clear" w:pos="426"/>
        </w:tabs>
        <w:ind w:firstLine="420"/>
        <w:rPr>
          <w:rFonts w:ascii="Times New Roman" w:hAnsi="Times New Roman" w:cs="Times New Roman"/>
        </w:rPr>
      </w:pPr>
    </w:p>
    <w:p>
      <w:pPr>
        <w:shd w:val="clear" w:color="auto" w:fill="auto"/>
        <w:tabs>
          <w:tab w:val="clear" w:pos="426"/>
        </w:tabs>
        <w:ind w:firstLine="420"/>
        <w:rPr>
          <w:rFonts w:ascii="Times New Roman" w:hAnsi="Times New Roman" w:cs="Times New Roman"/>
        </w:rPr>
      </w:pPr>
    </w:p>
    <w:p>
      <w:pPr>
        <w:shd w:val="clear" w:color="auto" w:fill="auto"/>
        <w:tabs>
          <w:tab w:val="clear" w:pos="426"/>
        </w:tabs>
        <w:rPr>
          <w:rFonts w:ascii="Times New Roman" w:hAnsi="Times New Roman" w:cs="Times New Roman"/>
        </w:rPr>
      </w:pPr>
    </w:p>
    <w:p>
      <w:pPr>
        <w:pStyle w:val="290"/>
        <w:rPr>
          <w:rFonts w:ascii="Times New Roman" w:hAnsi="Times New Roman"/>
        </w:rPr>
      </w:pPr>
      <w:r>
        <w:rPr>
          <w:rFonts w:ascii="Times New Roman" w:hAnsi="Times New Roman"/>
        </w:rPr>
        <w:t>深圳市政府采购</w:t>
      </w:r>
    </w:p>
    <w:p>
      <w:pPr>
        <w:pStyle w:val="290"/>
        <w:rPr>
          <w:rFonts w:ascii="Times New Roman" w:hAnsi="Times New Roman"/>
        </w:rPr>
      </w:pPr>
      <w:r>
        <w:rPr>
          <w:rFonts w:ascii="Times New Roman" w:hAnsi="Times New Roman"/>
        </w:rPr>
        <w:t>招标文件</w:t>
      </w:r>
    </w:p>
    <w:p>
      <w:pPr>
        <w:shd w:val="clear" w:color="auto" w:fill="auto"/>
        <w:tabs>
          <w:tab w:val="clear" w:pos="426"/>
        </w:tabs>
        <w:ind w:firstLine="420"/>
        <w:rPr>
          <w:rFonts w:ascii="Times New Roman" w:hAnsi="Times New Roman" w:cs="Times New Roman"/>
        </w:rPr>
      </w:pPr>
    </w:p>
    <w:p>
      <w:pPr>
        <w:shd w:val="clear" w:color="auto" w:fill="auto"/>
        <w:tabs>
          <w:tab w:val="clear" w:pos="426"/>
        </w:tabs>
        <w:ind w:firstLine="420"/>
        <w:rPr>
          <w:rFonts w:ascii="Times New Roman" w:hAnsi="Times New Roman" w:cs="Times New Roman"/>
        </w:rPr>
      </w:pPr>
    </w:p>
    <w:p>
      <w:pPr>
        <w:shd w:val="clear" w:color="auto" w:fill="auto"/>
        <w:tabs>
          <w:tab w:val="clear" w:pos="426"/>
        </w:tabs>
        <w:ind w:firstLine="420"/>
        <w:rPr>
          <w:rFonts w:ascii="Times New Roman" w:hAnsi="Times New Roman" w:cs="Times New Roman"/>
        </w:rPr>
      </w:pPr>
    </w:p>
    <w:p>
      <w:pPr>
        <w:shd w:val="clear" w:color="auto" w:fill="auto"/>
        <w:tabs>
          <w:tab w:val="clear" w:pos="426"/>
        </w:tabs>
        <w:ind w:firstLine="420"/>
        <w:rPr>
          <w:rFonts w:ascii="Times New Roman" w:hAnsi="Times New Roman" w:cs="Times New Roman"/>
        </w:rPr>
      </w:pPr>
    </w:p>
    <w:p>
      <w:pPr>
        <w:pStyle w:val="293"/>
        <w:shd w:val="clear" w:color="auto" w:fill="auto"/>
        <w:ind w:firstLine="1040"/>
        <w:rPr>
          <w:rFonts w:ascii="Times New Roman" w:hAnsi="Times New Roman" w:cs="Times New Roman"/>
        </w:rPr>
      </w:pPr>
      <w:r>
        <w:rPr>
          <w:rFonts w:ascii="Times New Roman" w:hAnsi="Times New Roman" w:cs="Times New Roman"/>
        </w:rPr>
        <w:t>【</w:t>
      </w:r>
      <w:r>
        <w:rPr>
          <w:rFonts w:hint="eastAsia" w:ascii="Times New Roman" w:hAnsi="Times New Roman" w:cs="Times New Roman"/>
        </w:rPr>
        <w:t>服务</w:t>
      </w:r>
      <w:r>
        <w:rPr>
          <w:rFonts w:ascii="Times New Roman" w:hAnsi="Times New Roman" w:cs="Times New Roman"/>
        </w:rPr>
        <w:t>类】</w:t>
      </w:r>
    </w:p>
    <w:p>
      <w:pPr>
        <w:shd w:val="clear" w:color="auto" w:fill="auto"/>
        <w:tabs>
          <w:tab w:val="clear" w:pos="426"/>
        </w:tabs>
        <w:ind w:firstLine="420"/>
        <w:rPr>
          <w:rFonts w:ascii="Times New Roman" w:hAnsi="Times New Roman" w:cs="Times New Roman"/>
        </w:rPr>
      </w:pPr>
    </w:p>
    <w:p>
      <w:pPr>
        <w:shd w:val="clear" w:color="auto" w:fill="auto"/>
        <w:tabs>
          <w:tab w:val="clear" w:pos="426"/>
        </w:tabs>
        <w:ind w:firstLine="420"/>
        <w:rPr>
          <w:rFonts w:ascii="Times New Roman" w:hAnsi="Times New Roman" w:cs="Times New Roman"/>
        </w:rPr>
      </w:pPr>
    </w:p>
    <w:p>
      <w:pPr>
        <w:shd w:val="clear" w:color="auto" w:fill="auto"/>
        <w:tabs>
          <w:tab w:val="clear" w:pos="426"/>
        </w:tabs>
        <w:ind w:firstLine="420"/>
        <w:rPr>
          <w:rFonts w:ascii="Times New Roman" w:hAnsi="Times New Roman" w:cs="Times New Roman"/>
        </w:rPr>
      </w:pPr>
    </w:p>
    <w:p>
      <w:pPr>
        <w:shd w:val="clear" w:color="auto" w:fill="auto"/>
        <w:tabs>
          <w:tab w:val="clear" w:pos="426"/>
        </w:tabs>
        <w:ind w:firstLine="420"/>
        <w:rPr>
          <w:rFonts w:ascii="Times New Roman" w:hAnsi="Times New Roman" w:cs="Times New Roman"/>
        </w:rPr>
      </w:pPr>
    </w:p>
    <w:p>
      <w:pPr>
        <w:shd w:val="clear" w:color="auto" w:fill="auto"/>
        <w:tabs>
          <w:tab w:val="clear" w:pos="426"/>
        </w:tabs>
        <w:ind w:firstLine="420"/>
        <w:rPr>
          <w:rFonts w:ascii="Times New Roman" w:hAnsi="Times New Roman" w:cs="Times New Roman"/>
        </w:rPr>
      </w:pPr>
    </w:p>
    <w:p>
      <w:pPr>
        <w:pStyle w:val="295"/>
        <w:ind w:left="2130" w:leftChars="300" w:hanging="1500" w:hangingChars="500"/>
        <w:rPr>
          <w:rFonts w:ascii="Times New Roman" w:hAnsi="Times New Roman"/>
        </w:rPr>
      </w:pPr>
      <w:r>
        <w:rPr>
          <w:rFonts w:ascii="Times New Roman" w:hAnsi="Times New Roman"/>
        </w:rPr>
        <w:t>项目名称：</w:t>
      </w:r>
      <w:r>
        <w:rPr>
          <w:rFonts w:hint="eastAsia" w:ascii="Times New Roman" w:hAnsi="Times New Roman"/>
          <w:u w:val="single"/>
        </w:rPr>
        <w:t>深圳少年儿童图书馆整体搬迁服务</w:t>
      </w:r>
      <w:r>
        <w:rPr>
          <w:rFonts w:ascii="Times New Roman" w:hAnsi="Times New Roman"/>
          <w:u w:val="single"/>
        </w:rPr>
        <w:t xml:space="preserve">              </w:t>
      </w:r>
      <w:r>
        <w:rPr>
          <w:rFonts w:hint="eastAsia" w:ascii="Times New Roman" w:hAnsi="Times New Roman"/>
          <w:u w:val="single"/>
        </w:rPr>
        <w:t xml:space="preserve">              </w:t>
      </w:r>
    </w:p>
    <w:p>
      <w:pPr>
        <w:pStyle w:val="295"/>
        <w:ind w:firstLine="600"/>
        <w:rPr>
          <w:rFonts w:ascii="Times New Roman" w:hAnsi="Times New Roman"/>
        </w:rPr>
      </w:pPr>
    </w:p>
    <w:p>
      <w:pPr>
        <w:pStyle w:val="295"/>
        <w:ind w:firstLine="600"/>
        <w:rPr>
          <w:rFonts w:ascii="Times New Roman" w:hAnsi="Times New Roman"/>
        </w:rPr>
      </w:pPr>
      <w:bookmarkStart w:id="0" w:name="_Hlk41553452"/>
      <w:r>
        <w:rPr>
          <w:rFonts w:ascii="Times New Roman" w:hAnsi="Times New Roman"/>
        </w:rPr>
        <w:t>采购人名称：</w:t>
      </w:r>
      <w:r>
        <w:rPr>
          <w:rFonts w:hint="eastAsia"/>
          <w:u w:val="single"/>
        </w:rPr>
        <w:t>深圳少年儿童图书馆</w:t>
      </w:r>
      <w:r>
        <w:rPr>
          <w:rFonts w:ascii="Times New Roman" w:hAnsi="Times New Roman"/>
          <w:u w:val="single"/>
        </w:rPr>
        <w:t xml:space="preserve">               </w:t>
      </w:r>
      <w:r>
        <w:rPr>
          <w:rFonts w:hint="eastAsia" w:ascii="Times New Roman" w:hAnsi="Times New Roman"/>
          <w:u w:val="single"/>
        </w:rPr>
        <w:t xml:space="preserve">           </w:t>
      </w:r>
      <w:r>
        <w:rPr>
          <w:rFonts w:ascii="Times New Roman" w:hAnsi="Times New Roman"/>
          <w:u w:val="single"/>
        </w:rPr>
        <w:t xml:space="preserve">    </w:t>
      </w:r>
    </w:p>
    <w:p>
      <w:pPr>
        <w:pStyle w:val="295"/>
        <w:ind w:firstLine="600"/>
        <w:rPr>
          <w:rFonts w:ascii="Times New Roman" w:hAnsi="Times New Roman"/>
        </w:rPr>
      </w:pPr>
    </w:p>
    <w:p>
      <w:pPr>
        <w:pStyle w:val="295"/>
        <w:ind w:firstLine="600"/>
        <w:rPr>
          <w:rFonts w:ascii="Times New Roman" w:hAnsi="Times New Roman"/>
        </w:rPr>
      </w:pPr>
      <w:r>
        <w:rPr>
          <w:rFonts w:ascii="Times New Roman" w:hAnsi="Times New Roman"/>
        </w:rPr>
        <w:t>采购代理机构名称：</w:t>
      </w:r>
      <w:r>
        <w:rPr>
          <w:rFonts w:ascii="Times New Roman" w:hAnsi="Times New Roman"/>
          <w:u w:val="single"/>
        </w:rPr>
        <w:t xml:space="preserve">深圳市深水水务咨询有限公司           </w:t>
      </w:r>
    </w:p>
    <w:bookmarkEnd w:id="0"/>
    <w:p>
      <w:pPr>
        <w:shd w:val="clear" w:color="auto" w:fill="auto"/>
        <w:tabs>
          <w:tab w:val="clear" w:pos="426"/>
        </w:tabs>
        <w:ind w:firstLine="420"/>
        <w:rPr>
          <w:rFonts w:ascii="Times New Roman" w:hAnsi="Times New Roman" w:cs="Times New Roman"/>
        </w:rPr>
      </w:pPr>
      <w:r>
        <w:rPr>
          <w:rFonts w:ascii="Times New Roman" w:hAnsi="Times New Roman" w:cs="Times New Roman"/>
        </w:rPr>
        <w:br w:type="page"/>
      </w:r>
    </w:p>
    <w:p>
      <w:pPr>
        <w:pStyle w:val="299"/>
        <w:shd w:val="clear" w:color="auto" w:fill="auto"/>
        <w:ind w:firstLine="643"/>
        <w:rPr>
          <w:rFonts w:ascii="Times New Roman" w:hAnsi="Times New Roman" w:cs="Times New Roman"/>
        </w:rPr>
      </w:pPr>
      <w:r>
        <w:rPr>
          <w:rFonts w:ascii="Times New Roman" w:hAnsi="Times New Roman" w:cs="Times New Roman"/>
        </w:rPr>
        <w:t>目      录（通用）</w:t>
      </w:r>
    </w:p>
    <w:p>
      <w:pPr>
        <w:shd w:val="clear" w:color="auto" w:fill="auto"/>
        <w:tabs>
          <w:tab w:val="clear" w:pos="426"/>
        </w:tabs>
        <w:ind w:firstLine="640"/>
        <w:jc w:val="center"/>
        <w:rPr>
          <w:rFonts w:ascii="Times New Roman" w:hAnsi="Times New Roman" w:cs="Times New Roman"/>
          <w:sz w:val="32"/>
          <w:szCs w:val="32"/>
        </w:rPr>
      </w:pPr>
    </w:p>
    <w:p>
      <w:pPr>
        <w:pStyle w:val="31"/>
        <w:shd w:val="clear" w:color="auto" w:fill="auto"/>
        <w:ind w:firstLine="562"/>
        <w:rPr>
          <w:rFonts w:asciiTheme="minorHAnsi" w:hAnsiTheme="minorHAnsi" w:eastAsiaTheme="minorEastAsia" w:cstheme="minorBidi"/>
          <w:b w:val="0"/>
          <w:bCs w:val="0"/>
          <w:caps w:val="0"/>
          <w:kern w:val="2"/>
          <w:sz w:val="21"/>
          <w:szCs w:val="22"/>
        </w:rPr>
      </w:pPr>
      <w:r>
        <w:rPr>
          <w:rFonts w:ascii="Times New Roman" w:hAnsi="Times New Roman" w:cs="Times New Roman"/>
        </w:rPr>
        <w:fldChar w:fldCharType="begin"/>
      </w:r>
      <w:r>
        <w:rPr>
          <w:rFonts w:ascii="Times New Roman" w:hAnsi="Times New Roman" w:cs="Times New Roman"/>
        </w:rPr>
        <w:instrText xml:space="preserve"> TOC \o "1-2" \h \z \u </w:instrText>
      </w:r>
      <w:r>
        <w:rPr>
          <w:rFonts w:ascii="Times New Roman" w:hAnsi="Times New Roman" w:cs="Times New Roman"/>
        </w:rPr>
        <w:fldChar w:fldCharType="separate"/>
      </w:r>
      <w:r>
        <w:fldChar w:fldCharType="begin"/>
      </w:r>
      <w:r>
        <w:instrText xml:space="preserve"> HYPERLINK \l "_Toc169101006" </w:instrText>
      </w:r>
      <w:r>
        <w:fldChar w:fldCharType="separate"/>
      </w:r>
      <w:r>
        <w:rPr>
          <w:rStyle w:val="52"/>
          <w:rFonts w:ascii="Times New Roman" w:hAnsi="Times New Roman"/>
        </w:rPr>
        <w:t>第一册  专用条款</w:t>
      </w:r>
      <w:r>
        <w:tab/>
      </w:r>
      <w:r>
        <w:fldChar w:fldCharType="begin"/>
      </w:r>
      <w:r>
        <w:instrText xml:space="preserve"> PAGEREF _Toc169101006 \h </w:instrText>
      </w:r>
      <w:r>
        <w:fldChar w:fldCharType="separate"/>
      </w:r>
      <w:r>
        <w:t>2</w:t>
      </w:r>
      <w:r>
        <w:fldChar w:fldCharType="end"/>
      </w:r>
      <w:r>
        <w:fldChar w:fldCharType="end"/>
      </w:r>
    </w:p>
    <w:p>
      <w:pPr>
        <w:pStyle w:val="36"/>
        <w:shd w:val="clear" w:color="auto" w:fill="auto"/>
        <w:ind w:left="105" w:firstLine="560"/>
        <w:rPr>
          <w:rFonts w:asciiTheme="minorHAnsi" w:hAnsiTheme="minorHAnsi" w:eastAsiaTheme="minorEastAsia" w:cstheme="minorBidi"/>
          <w:smallCaps w:val="0"/>
          <w:kern w:val="2"/>
          <w:sz w:val="21"/>
          <w:szCs w:val="22"/>
        </w:rPr>
      </w:pPr>
      <w:r>
        <w:fldChar w:fldCharType="begin"/>
      </w:r>
      <w:r>
        <w:instrText xml:space="preserve"> HYPERLINK \l "_Toc169101007" </w:instrText>
      </w:r>
      <w:r>
        <w:fldChar w:fldCharType="separate"/>
      </w:r>
      <w:r>
        <w:rPr>
          <w:rStyle w:val="52"/>
          <w:rFonts w:ascii="Times New Roman" w:hAnsi="Times New Roman"/>
        </w:rPr>
        <w:t>警示条款</w:t>
      </w:r>
      <w:r>
        <w:tab/>
      </w:r>
      <w:r>
        <w:fldChar w:fldCharType="begin"/>
      </w:r>
      <w:r>
        <w:instrText xml:space="preserve"> PAGEREF _Toc169101007 \h </w:instrText>
      </w:r>
      <w:r>
        <w:fldChar w:fldCharType="separate"/>
      </w:r>
      <w:r>
        <w:t>2</w:t>
      </w:r>
      <w:r>
        <w:fldChar w:fldCharType="end"/>
      </w:r>
      <w:r>
        <w:fldChar w:fldCharType="end"/>
      </w:r>
    </w:p>
    <w:p>
      <w:pPr>
        <w:pStyle w:val="36"/>
        <w:shd w:val="clear" w:color="auto" w:fill="auto"/>
        <w:ind w:left="105" w:firstLine="560"/>
        <w:rPr>
          <w:rFonts w:asciiTheme="minorHAnsi" w:hAnsiTheme="minorHAnsi" w:eastAsiaTheme="minorEastAsia" w:cstheme="minorBidi"/>
          <w:smallCaps w:val="0"/>
          <w:kern w:val="2"/>
          <w:sz w:val="21"/>
          <w:szCs w:val="22"/>
        </w:rPr>
      </w:pPr>
      <w:r>
        <w:fldChar w:fldCharType="begin"/>
      </w:r>
      <w:r>
        <w:instrText xml:space="preserve"> HYPERLINK \l "_Toc169101008" </w:instrText>
      </w:r>
      <w:r>
        <w:fldChar w:fldCharType="separate"/>
      </w:r>
      <w:r>
        <w:rPr>
          <w:rStyle w:val="52"/>
          <w:rFonts w:ascii="Times New Roman" w:hAnsi="Times New Roman"/>
        </w:rPr>
        <w:t>关键信息（通用）</w:t>
      </w:r>
      <w:r>
        <w:tab/>
      </w:r>
      <w:r>
        <w:fldChar w:fldCharType="begin"/>
      </w:r>
      <w:r>
        <w:instrText xml:space="preserve"> PAGEREF _Toc169101008 \h </w:instrText>
      </w:r>
      <w:r>
        <w:fldChar w:fldCharType="separate"/>
      </w:r>
      <w:r>
        <w:t>4</w:t>
      </w:r>
      <w:r>
        <w:fldChar w:fldCharType="end"/>
      </w:r>
      <w:r>
        <w:fldChar w:fldCharType="end"/>
      </w:r>
    </w:p>
    <w:p>
      <w:pPr>
        <w:pStyle w:val="36"/>
        <w:shd w:val="clear" w:color="auto" w:fill="auto"/>
        <w:ind w:left="105" w:firstLine="560"/>
        <w:rPr>
          <w:rFonts w:asciiTheme="minorHAnsi" w:hAnsiTheme="minorHAnsi" w:eastAsiaTheme="minorEastAsia" w:cstheme="minorBidi"/>
          <w:smallCaps w:val="0"/>
          <w:kern w:val="2"/>
          <w:sz w:val="21"/>
          <w:szCs w:val="22"/>
        </w:rPr>
      </w:pPr>
      <w:r>
        <w:fldChar w:fldCharType="begin"/>
      </w:r>
      <w:r>
        <w:instrText xml:space="preserve"> HYPERLINK \l "_Toc169101009" </w:instrText>
      </w:r>
      <w:r>
        <w:fldChar w:fldCharType="separate"/>
      </w:r>
      <w:r>
        <w:rPr>
          <w:rStyle w:val="52"/>
          <w:rFonts w:ascii="Times New Roman" w:hAnsi="Times New Roman"/>
        </w:rPr>
        <w:t>第一章 采购公告</w:t>
      </w:r>
      <w:r>
        <w:tab/>
      </w:r>
      <w:r>
        <w:fldChar w:fldCharType="begin"/>
      </w:r>
      <w:r>
        <w:instrText xml:space="preserve"> PAGEREF _Toc169101009 \h </w:instrText>
      </w:r>
      <w:r>
        <w:fldChar w:fldCharType="separate"/>
      </w:r>
      <w:r>
        <w:t>17</w:t>
      </w:r>
      <w:r>
        <w:fldChar w:fldCharType="end"/>
      </w:r>
      <w:r>
        <w:fldChar w:fldCharType="end"/>
      </w:r>
    </w:p>
    <w:p>
      <w:pPr>
        <w:pStyle w:val="36"/>
        <w:shd w:val="clear" w:color="auto" w:fill="auto"/>
        <w:ind w:left="105" w:firstLine="560"/>
        <w:rPr>
          <w:rFonts w:asciiTheme="minorHAnsi" w:hAnsiTheme="minorHAnsi" w:eastAsiaTheme="minorEastAsia" w:cstheme="minorBidi"/>
          <w:smallCaps w:val="0"/>
          <w:kern w:val="2"/>
          <w:sz w:val="21"/>
          <w:szCs w:val="22"/>
        </w:rPr>
      </w:pPr>
      <w:r>
        <w:fldChar w:fldCharType="begin"/>
      </w:r>
      <w:r>
        <w:instrText xml:space="preserve"> HYPERLINK \l "_Toc169101010" </w:instrText>
      </w:r>
      <w:r>
        <w:fldChar w:fldCharType="separate"/>
      </w:r>
      <w:r>
        <w:rPr>
          <w:rStyle w:val="52"/>
          <w:rFonts w:ascii="Times New Roman" w:hAnsi="Times New Roman"/>
        </w:rPr>
        <w:t>第二章 投标须知前附表</w:t>
      </w:r>
      <w:r>
        <w:tab/>
      </w:r>
      <w:r>
        <w:fldChar w:fldCharType="begin"/>
      </w:r>
      <w:r>
        <w:instrText xml:space="preserve"> PAGEREF _Toc169101010 \h </w:instrText>
      </w:r>
      <w:r>
        <w:fldChar w:fldCharType="separate"/>
      </w:r>
      <w:r>
        <w:t>19</w:t>
      </w:r>
      <w:r>
        <w:fldChar w:fldCharType="end"/>
      </w:r>
      <w:r>
        <w:fldChar w:fldCharType="end"/>
      </w:r>
    </w:p>
    <w:p>
      <w:pPr>
        <w:pStyle w:val="36"/>
        <w:shd w:val="clear" w:color="auto" w:fill="auto"/>
        <w:ind w:left="105" w:firstLine="560"/>
        <w:rPr>
          <w:rFonts w:asciiTheme="minorHAnsi" w:hAnsiTheme="minorHAnsi" w:eastAsiaTheme="minorEastAsia" w:cstheme="minorBidi"/>
          <w:smallCaps w:val="0"/>
          <w:kern w:val="2"/>
          <w:sz w:val="21"/>
          <w:szCs w:val="22"/>
        </w:rPr>
      </w:pPr>
      <w:r>
        <w:fldChar w:fldCharType="begin"/>
      </w:r>
      <w:r>
        <w:instrText xml:space="preserve"> HYPERLINK \l "_Toc169101011" </w:instrText>
      </w:r>
      <w:r>
        <w:fldChar w:fldCharType="separate"/>
      </w:r>
      <w:r>
        <w:rPr>
          <w:rStyle w:val="52"/>
          <w:rFonts w:ascii="Times New Roman" w:hAnsi="Times New Roman"/>
        </w:rPr>
        <w:t>第三章 项目需求</w:t>
      </w:r>
      <w:r>
        <w:tab/>
      </w:r>
      <w:r>
        <w:fldChar w:fldCharType="begin"/>
      </w:r>
      <w:r>
        <w:instrText xml:space="preserve"> PAGEREF _Toc169101011 \h </w:instrText>
      </w:r>
      <w:r>
        <w:fldChar w:fldCharType="separate"/>
      </w:r>
      <w:r>
        <w:t>21</w:t>
      </w:r>
      <w:r>
        <w:fldChar w:fldCharType="end"/>
      </w:r>
      <w:r>
        <w:fldChar w:fldCharType="end"/>
      </w:r>
    </w:p>
    <w:p>
      <w:pPr>
        <w:pStyle w:val="36"/>
        <w:shd w:val="clear" w:color="auto" w:fill="auto"/>
        <w:ind w:left="105" w:firstLine="560"/>
        <w:rPr>
          <w:rFonts w:asciiTheme="minorHAnsi" w:hAnsiTheme="minorHAnsi" w:eastAsiaTheme="minorEastAsia" w:cstheme="minorBidi"/>
          <w:smallCaps w:val="0"/>
          <w:kern w:val="2"/>
          <w:sz w:val="21"/>
          <w:szCs w:val="22"/>
        </w:rPr>
      </w:pPr>
      <w:r>
        <w:fldChar w:fldCharType="begin"/>
      </w:r>
      <w:r>
        <w:instrText xml:space="preserve"> HYPERLINK \l "_Toc169101012" </w:instrText>
      </w:r>
      <w:r>
        <w:fldChar w:fldCharType="separate"/>
      </w:r>
      <w:r>
        <w:rPr>
          <w:rStyle w:val="52"/>
          <w:rFonts w:ascii="Times New Roman" w:hAnsi="Times New Roman"/>
        </w:rPr>
        <w:t>第四章 政府采购合同的签订、履约及验收</w:t>
      </w:r>
      <w:r>
        <w:tab/>
      </w:r>
      <w:r>
        <w:fldChar w:fldCharType="begin"/>
      </w:r>
      <w:r>
        <w:instrText xml:space="preserve"> PAGEREF _Toc169101012 \h </w:instrText>
      </w:r>
      <w:r>
        <w:fldChar w:fldCharType="separate"/>
      </w:r>
      <w:r>
        <w:t>34</w:t>
      </w:r>
      <w:r>
        <w:fldChar w:fldCharType="end"/>
      </w:r>
      <w:r>
        <w:fldChar w:fldCharType="end"/>
      </w:r>
    </w:p>
    <w:p>
      <w:pPr>
        <w:pStyle w:val="36"/>
        <w:shd w:val="clear" w:color="auto" w:fill="auto"/>
        <w:ind w:left="105" w:firstLine="560"/>
        <w:rPr>
          <w:rFonts w:asciiTheme="minorHAnsi" w:hAnsiTheme="minorHAnsi" w:eastAsiaTheme="minorEastAsia" w:cstheme="minorBidi"/>
          <w:smallCaps w:val="0"/>
          <w:kern w:val="2"/>
          <w:sz w:val="21"/>
          <w:szCs w:val="22"/>
        </w:rPr>
      </w:pPr>
      <w:r>
        <w:fldChar w:fldCharType="begin"/>
      </w:r>
      <w:r>
        <w:instrText xml:space="preserve"> HYPERLINK \l "_Toc169101013" </w:instrText>
      </w:r>
      <w:r>
        <w:fldChar w:fldCharType="separate"/>
      </w:r>
      <w:r>
        <w:rPr>
          <w:rStyle w:val="52"/>
          <w:rFonts w:ascii="Times New Roman" w:hAnsi="Times New Roman" w:cs="Times New Roman"/>
          <w:b/>
          <w:bCs/>
          <w:kern w:val="28"/>
        </w:rPr>
        <w:t>第五章 投标文件格式、附件</w:t>
      </w:r>
      <w:r>
        <w:tab/>
      </w:r>
      <w:r>
        <w:fldChar w:fldCharType="begin"/>
      </w:r>
      <w:r>
        <w:instrText xml:space="preserve"> PAGEREF _Toc169101013 \h </w:instrText>
      </w:r>
      <w:r>
        <w:fldChar w:fldCharType="separate"/>
      </w:r>
      <w:r>
        <w:t>40</w:t>
      </w:r>
      <w:r>
        <w:fldChar w:fldCharType="end"/>
      </w:r>
      <w:r>
        <w:fldChar w:fldCharType="end"/>
      </w:r>
    </w:p>
    <w:p>
      <w:pPr>
        <w:pStyle w:val="31"/>
        <w:shd w:val="clear" w:color="auto" w:fill="auto"/>
        <w:ind w:firstLine="562"/>
        <w:rPr>
          <w:rFonts w:asciiTheme="minorHAnsi" w:hAnsiTheme="minorHAnsi" w:eastAsiaTheme="minorEastAsia" w:cstheme="minorBidi"/>
          <w:b w:val="0"/>
          <w:bCs w:val="0"/>
          <w:caps w:val="0"/>
          <w:kern w:val="2"/>
          <w:sz w:val="21"/>
          <w:szCs w:val="22"/>
        </w:rPr>
      </w:pPr>
      <w:r>
        <w:fldChar w:fldCharType="begin"/>
      </w:r>
      <w:r>
        <w:instrText xml:space="preserve"> HYPERLINK \l "_Toc169101014" </w:instrText>
      </w:r>
      <w:r>
        <w:fldChar w:fldCharType="separate"/>
      </w:r>
      <w:r>
        <w:rPr>
          <w:rStyle w:val="52"/>
          <w:rFonts w:ascii="Times New Roman" w:hAnsi="Times New Roman"/>
        </w:rPr>
        <w:t>第二册  通用条款（通用）</w:t>
      </w:r>
      <w:r>
        <w:tab/>
      </w:r>
      <w:r>
        <w:fldChar w:fldCharType="begin"/>
      </w:r>
      <w:r>
        <w:instrText xml:space="preserve"> PAGEREF _Toc169101014 \h </w:instrText>
      </w:r>
      <w:r>
        <w:fldChar w:fldCharType="separate"/>
      </w:r>
      <w:r>
        <w:t>66</w:t>
      </w:r>
      <w:r>
        <w:fldChar w:fldCharType="end"/>
      </w:r>
      <w:r>
        <w:fldChar w:fldCharType="end"/>
      </w:r>
    </w:p>
    <w:p>
      <w:pPr>
        <w:pStyle w:val="36"/>
        <w:shd w:val="clear" w:color="auto" w:fill="auto"/>
        <w:ind w:left="105" w:firstLine="560"/>
        <w:rPr>
          <w:rFonts w:asciiTheme="minorHAnsi" w:hAnsiTheme="minorHAnsi" w:eastAsiaTheme="minorEastAsia" w:cstheme="minorBidi"/>
          <w:smallCaps w:val="0"/>
          <w:kern w:val="2"/>
          <w:sz w:val="21"/>
          <w:szCs w:val="22"/>
        </w:rPr>
      </w:pPr>
      <w:r>
        <w:fldChar w:fldCharType="begin"/>
      </w:r>
      <w:r>
        <w:instrText xml:space="preserve"> HYPERLINK \l "_Toc169101015" </w:instrText>
      </w:r>
      <w:r>
        <w:fldChar w:fldCharType="separate"/>
      </w:r>
      <w:r>
        <w:rPr>
          <w:rStyle w:val="52"/>
          <w:rFonts w:ascii="Times New Roman" w:hAnsi="Times New Roman"/>
        </w:rPr>
        <w:t>第一章 总则</w:t>
      </w:r>
      <w:r>
        <w:tab/>
      </w:r>
      <w:bookmarkStart w:id="62" w:name="_GoBack"/>
      <w:bookmarkEnd w:id="62"/>
      <w:r>
        <w:fldChar w:fldCharType="begin"/>
      </w:r>
      <w:r>
        <w:instrText xml:space="preserve"> PAGEREF _Toc169101015 \h </w:instrText>
      </w:r>
      <w:r>
        <w:fldChar w:fldCharType="separate"/>
      </w:r>
      <w:r>
        <w:t>66</w:t>
      </w:r>
      <w:r>
        <w:fldChar w:fldCharType="end"/>
      </w:r>
      <w:r>
        <w:fldChar w:fldCharType="end"/>
      </w:r>
    </w:p>
    <w:p>
      <w:pPr>
        <w:pStyle w:val="36"/>
        <w:shd w:val="clear" w:color="auto" w:fill="auto"/>
        <w:ind w:left="105" w:firstLine="560"/>
        <w:rPr>
          <w:rFonts w:asciiTheme="minorHAnsi" w:hAnsiTheme="minorHAnsi" w:eastAsiaTheme="minorEastAsia" w:cstheme="minorBidi"/>
          <w:smallCaps w:val="0"/>
          <w:kern w:val="2"/>
          <w:sz w:val="21"/>
          <w:szCs w:val="22"/>
        </w:rPr>
      </w:pPr>
      <w:r>
        <w:fldChar w:fldCharType="begin"/>
      </w:r>
      <w:r>
        <w:instrText xml:space="preserve"> HYPERLINK \l "_Toc169101016" </w:instrText>
      </w:r>
      <w:r>
        <w:fldChar w:fldCharType="separate"/>
      </w:r>
      <w:r>
        <w:rPr>
          <w:rStyle w:val="52"/>
          <w:rFonts w:ascii="Times New Roman" w:hAnsi="Times New Roman"/>
        </w:rPr>
        <w:t>第二章 招标文件</w:t>
      </w:r>
      <w:r>
        <w:tab/>
      </w:r>
      <w:r>
        <w:fldChar w:fldCharType="begin"/>
      </w:r>
      <w:r>
        <w:instrText xml:space="preserve"> PAGEREF _Toc169101016 \h </w:instrText>
      </w:r>
      <w:r>
        <w:fldChar w:fldCharType="separate"/>
      </w:r>
      <w:r>
        <w:t>68</w:t>
      </w:r>
      <w:r>
        <w:fldChar w:fldCharType="end"/>
      </w:r>
      <w:r>
        <w:fldChar w:fldCharType="end"/>
      </w:r>
    </w:p>
    <w:p>
      <w:pPr>
        <w:pStyle w:val="36"/>
        <w:shd w:val="clear" w:color="auto" w:fill="auto"/>
        <w:ind w:left="105" w:firstLine="560"/>
        <w:rPr>
          <w:rFonts w:asciiTheme="minorHAnsi" w:hAnsiTheme="minorHAnsi" w:eastAsiaTheme="minorEastAsia" w:cstheme="minorBidi"/>
          <w:smallCaps w:val="0"/>
          <w:kern w:val="2"/>
          <w:sz w:val="21"/>
          <w:szCs w:val="22"/>
        </w:rPr>
      </w:pPr>
      <w:r>
        <w:fldChar w:fldCharType="begin"/>
      </w:r>
      <w:r>
        <w:instrText xml:space="preserve"> HYPERLINK \l "_Toc169101017" </w:instrText>
      </w:r>
      <w:r>
        <w:fldChar w:fldCharType="separate"/>
      </w:r>
      <w:r>
        <w:rPr>
          <w:rStyle w:val="52"/>
          <w:rFonts w:ascii="Times New Roman" w:hAnsi="Times New Roman"/>
        </w:rPr>
        <w:t>第三章 投标文件的编制与递交</w:t>
      </w:r>
      <w:r>
        <w:tab/>
      </w:r>
      <w:r>
        <w:fldChar w:fldCharType="begin"/>
      </w:r>
      <w:r>
        <w:instrText xml:space="preserve"> PAGEREF _Toc169101017 \h </w:instrText>
      </w:r>
      <w:r>
        <w:fldChar w:fldCharType="separate"/>
      </w:r>
      <w:r>
        <w:t>70</w:t>
      </w:r>
      <w:r>
        <w:fldChar w:fldCharType="end"/>
      </w:r>
      <w:r>
        <w:fldChar w:fldCharType="end"/>
      </w:r>
    </w:p>
    <w:p>
      <w:pPr>
        <w:pStyle w:val="36"/>
        <w:shd w:val="clear" w:color="auto" w:fill="auto"/>
        <w:ind w:left="105" w:firstLine="560"/>
        <w:rPr>
          <w:rFonts w:asciiTheme="minorHAnsi" w:hAnsiTheme="minorHAnsi" w:eastAsiaTheme="minorEastAsia" w:cstheme="minorBidi"/>
          <w:smallCaps w:val="0"/>
          <w:kern w:val="2"/>
          <w:sz w:val="21"/>
          <w:szCs w:val="22"/>
        </w:rPr>
      </w:pPr>
      <w:r>
        <w:fldChar w:fldCharType="begin"/>
      </w:r>
      <w:r>
        <w:instrText xml:space="preserve"> HYPERLINK \l "_Toc169101018" </w:instrText>
      </w:r>
      <w:r>
        <w:fldChar w:fldCharType="separate"/>
      </w:r>
      <w:r>
        <w:rPr>
          <w:rStyle w:val="52"/>
          <w:rFonts w:ascii="Times New Roman" w:hAnsi="Times New Roman"/>
        </w:rPr>
        <w:t>第四章 开标</w:t>
      </w:r>
      <w:r>
        <w:tab/>
      </w:r>
      <w:r>
        <w:fldChar w:fldCharType="begin"/>
      </w:r>
      <w:r>
        <w:instrText xml:space="preserve"> PAGEREF _Toc169101018 \h </w:instrText>
      </w:r>
      <w:r>
        <w:fldChar w:fldCharType="separate"/>
      </w:r>
      <w:r>
        <w:t>74</w:t>
      </w:r>
      <w:r>
        <w:fldChar w:fldCharType="end"/>
      </w:r>
      <w:r>
        <w:fldChar w:fldCharType="end"/>
      </w:r>
    </w:p>
    <w:p>
      <w:pPr>
        <w:pStyle w:val="36"/>
        <w:shd w:val="clear" w:color="auto" w:fill="auto"/>
        <w:ind w:left="105" w:firstLine="560"/>
        <w:rPr>
          <w:rFonts w:asciiTheme="minorHAnsi" w:hAnsiTheme="minorHAnsi" w:eastAsiaTheme="minorEastAsia" w:cstheme="minorBidi"/>
          <w:smallCaps w:val="0"/>
          <w:kern w:val="2"/>
          <w:sz w:val="21"/>
          <w:szCs w:val="22"/>
        </w:rPr>
      </w:pPr>
      <w:r>
        <w:fldChar w:fldCharType="begin"/>
      </w:r>
      <w:r>
        <w:instrText xml:space="preserve"> HYPERLINK \l "_Toc169101019" </w:instrText>
      </w:r>
      <w:r>
        <w:fldChar w:fldCharType="separate"/>
      </w:r>
      <w:r>
        <w:rPr>
          <w:rStyle w:val="52"/>
          <w:rFonts w:ascii="Times New Roman" w:hAnsi="Times New Roman"/>
        </w:rPr>
        <w:t>第五章 评标要求</w:t>
      </w:r>
      <w:r>
        <w:tab/>
      </w:r>
      <w:r>
        <w:fldChar w:fldCharType="begin"/>
      </w:r>
      <w:r>
        <w:instrText xml:space="preserve"> PAGEREF _Toc169101019 \h </w:instrText>
      </w:r>
      <w:r>
        <w:fldChar w:fldCharType="separate"/>
      </w:r>
      <w:r>
        <w:t>74</w:t>
      </w:r>
      <w:r>
        <w:fldChar w:fldCharType="end"/>
      </w:r>
      <w:r>
        <w:fldChar w:fldCharType="end"/>
      </w:r>
    </w:p>
    <w:p>
      <w:pPr>
        <w:pStyle w:val="36"/>
        <w:shd w:val="clear" w:color="auto" w:fill="auto"/>
        <w:ind w:left="105" w:firstLine="560"/>
        <w:rPr>
          <w:rFonts w:asciiTheme="minorHAnsi" w:hAnsiTheme="minorHAnsi" w:eastAsiaTheme="minorEastAsia" w:cstheme="minorBidi"/>
          <w:smallCaps w:val="0"/>
          <w:kern w:val="2"/>
          <w:sz w:val="21"/>
          <w:szCs w:val="22"/>
        </w:rPr>
      </w:pPr>
      <w:r>
        <w:fldChar w:fldCharType="begin"/>
      </w:r>
      <w:r>
        <w:instrText xml:space="preserve"> HYPERLINK \l "_Toc169101020" </w:instrText>
      </w:r>
      <w:r>
        <w:fldChar w:fldCharType="separate"/>
      </w:r>
      <w:r>
        <w:rPr>
          <w:rStyle w:val="52"/>
          <w:rFonts w:ascii="Times New Roman" w:hAnsi="Times New Roman"/>
        </w:rPr>
        <w:t>第六章 评标程序及评标方法</w:t>
      </w:r>
      <w:r>
        <w:tab/>
      </w:r>
      <w:r>
        <w:fldChar w:fldCharType="begin"/>
      </w:r>
      <w:r>
        <w:instrText xml:space="preserve"> PAGEREF _Toc169101020 \h </w:instrText>
      </w:r>
      <w:r>
        <w:fldChar w:fldCharType="separate"/>
      </w:r>
      <w:r>
        <w:t>75</w:t>
      </w:r>
      <w:r>
        <w:fldChar w:fldCharType="end"/>
      </w:r>
      <w:r>
        <w:fldChar w:fldCharType="end"/>
      </w:r>
    </w:p>
    <w:p>
      <w:pPr>
        <w:pStyle w:val="36"/>
        <w:shd w:val="clear" w:color="auto" w:fill="auto"/>
        <w:ind w:left="105" w:firstLine="560"/>
        <w:rPr>
          <w:rFonts w:asciiTheme="minorHAnsi" w:hAnsiTheme="minorHAnsi" w:eastAsiaTheme="minorEastAsia" w:cstheme="minorBidi"/>
          <w:smallCaps w:val="0"/>
          <w:kern w:val="2"/>
          <w:sz w:val="21"/>
          <w:szCs w:val="22"/>
        </w:rPr>
      </w:pPr>
      <w:r>
        <w:fldChar w:fldCharType="begin"/>
      </w:r>
      <w:r>
        <w:instrText xml:space="preserve"> HYPERLINK \l "_Toc169101021" </w:instrText>
      </w:r>
      <w:r>
        <w:fldChar w:fldCharType="separate"/>
      </w:r>
      <w:r>
        <w:rPr>
          <w:rStyle w:val="52"/>
          <w:rFonts w:ascii="Times New Roman" w:hAnsi="Times New Roman"/>
        </w:rPr>
        <w:t>第七章 定标及公示</w:t>
      </w:r>
      <w:r>
        <w:tab/>
      </w:r>
      <w:r>
        <w:fldChar w:fldCharType="begin"/>
      </w:r>
      <w:r>
        <w:instrText xml:space="preserve"> PAGEREF _Toc169101021 \h </w:instrText>
      </w:r>
      <w:r>
        <w:fldChar w:fldCharType="separate"/>
      </w:r>
      <w:r>
        <w:t>78</w:t>
      </w:r>
      <w:r>
        <w:fldChar w:fldCharType="end"/>
      </w:r>
      <w:r>
        <w:fldChar w:fldCharType="end"/>
      </w:r>
    </w:p>
    <w:p>
      <w:pPr>
        <w:pStyle w:val="36"/>
        <w:shd w:val="clear" w:color="auto" w:fill="auto"/>
        <w:ind w:left="105" w:firstLine="560"/>
        <w:rPr>
          <w:rFonts w:asciiTheme="minorHAnsi" w:hAnsiTheme="minorHAnsi" w:eastAsiaTheme="minorEastAsia" w:cstheme="minorBidi"/>
          <w:smallCaps w:val="0"/>
          <w:kern w:val="2"/>
          <w:sz w:val="21"/>
          <w:szCs w:val="22"/>
        </w:rPr>
      </w:pPr>
      <w:r>
        <w:fldChar w:fldCharType="begin"/>
      </w:r>
      <w:r>
        <w:instrText xml:space="preserve"> HYPERLINK \l "_Toc169101022" </w:instrText>
      </w:r>
      <w:r>
        <w:fldChar w:fldCharType="separate"/>
      </w:r>
      <w:r>
        <w:rPr>
          <w:rStyle w:val="52"/>
          <w:rFonts w:ascii="Times New Roman" w:hAnsi="Times New Roman"/>
        </w:rPr>
        <w:t>第八章 公开招标失败的后续处理</w:t>
      </w:r>
      <w:r>
        <w:tab/>
      </w:r>
      <w:r>
        <w:fldChar w:fldCharType="begin"/>
      </w:r>
      <w:r>
        <w:instrText xml:space="preserve"> PAGEREF _Toc169101022 \h </w:instrText>
      </w:r>
      <w:r>
        <w:fldChar w:fldCharType="separate"/>
      </w:r>
      <w:r>
        <w:t>80</w:t>
      </w:r>
      <w:r>
        <w:fldChar w:fldCharType="end"/>
      </w:r>
      <w:r>
        <w:fldChar w:fldCharType="end"/>
      </w:r>
    </w:p>
    <w:p>
      <w:pPr>
        <w:pStyle w:val="36"/>
        <w:shd w:val="clear" w:color="auto" w:fill="auto"/>
        <w:ind w:left="105" w:firstLine="560"/>
        <w:rPr>
          <w:rFonts w:asciiTheme="minorHAnsi" w:hAnsiTheme="minorHAnsi" w:eastAsiaTheme="minorEastAsia" w:cstheme="minorBidi"/>
          <w:smallCaps w:val="0"/>
          <w:kern w:val="2"/>
          <w:sz w:val="21"/>
          <w:szCs w:val="22"/>
        </w:rPr>
      </w:pPr>
      <w:r>
        <w:fldChar w:fldCharType="begin"/>
      </w:r>
      <w:r>
        <w:instrText xml:space="preserve"> HYPERLINK \l "_Toc169101023" </w:instrText>
      </w:r>
      <w:r>
        <w:fldChar w:fldCharType="separate"/>
      </w:r>
      <w:r>
        <w:rPr>
          <w:rStyle w:val="52"/>
          <w:rFonts w:ascii="Times New Roman" w:hAnsi="Times New Roman"/>
        </w:rPr>
        <w:t>第九章 合同的授予与备案</w:t>
      </w:r>
      <w:r>
        <w:tab/>
      </w:r>
      <w:r>
        <w:fldChar w:fldCharType="begin"/>
      </w:r>
      <w:r>
        <w:instrText xml:space="preserve"> PAGEREF _Toc169101023 \h </w:instrText>
      </w:r>
      <w:r>
        <w:fldChar w:fldCharType="separate"/>
      </w:r>
      <w:r>
        <w:t>82</w:t>
      </w:r>
      <w:r>
        <w:fldChar w:fldCharType="end"/>
      </w:r>
      <w:r>
        <w:fldChar w:fldCharType="end"/>
      </w:r>
    </w:p>
    <w:p>
      <w:pPr>
        <w:pStyle w:val="36"/>
        <w:shd w:val="clear" w:color="auto" w:fill="auto"/>
        <w:ind w:left="105" w:firstLine="560"/>
        <w:rPr>
          <w:rFonts w:asciiTheme="minorHAnsi" w:hAnsiTheme="minorHAnsi" w:eastAsiaTheme="minorEastAsia" w:cstheme="minorBidi"/>
          <w:smallCaps w:val="0"/>
          <w:kern w:val="2"/>
          <w:sz w:val="21"/>
          <w:szCs w:val="22"/>
        </w:rPr>
      </w:pPr>
      <w:r>
        <w:fldChar w:fldCharType="begin"/>
      </w:r>
      <w:r>
        <w:instrText xml:space="preserve"> HYPERLINK \l "_Toc169101024" </w:instrText>
      </w:r>
      <w:r>
        <w:fldChar w:fldCharType="separate"/>
      </w:r>
      <w:r>
        <w:rPr>
          <w:rStyle w:val="52"/>
          <w:rFonts w:ascii="Times New Roman" w:hAnsi="Times New Roman"/>
        </w:rPr>
        <w:t>第十章 质疑受理</w:t>
      </w:r>
      <w:r>
        <w:tab/>
      </w:r>
      <w:r>
        <w:fldChar w:fldCharType="begin"/>
      </w:r>
      <w:r>
        <w:instrText xml:space="preserve"> PAGEREF _Toc169101024 \h </w:instrText>
      </w:r>
      <w:r>
        <w:fldChar w:fldCharType="separate"/>
      </w:r>
      <w:r>
        <w:t>83</w:t>
      </w:r>
      <w:r>
        <w:fldChar w:fldCharType="end"/>
      </w:r>
      <w:r>
        <w:fldChar w:fldCharType="end"/>
      </w:r>
    </w:p>
    <w:p>
      <w:pPr>
        <w:shd w:val="clear" w:color="auto" w:fill="auto"/>
        <w:tabs>
          <w:tab w:val="right" w:leader="dot" w:pos="8820"/>
          <w:tab w:val="right" w:leader="dot" w:pos="9240"/>
          <w:tab w:val="clear" w:pos="426"/>
        </w:tabs>
        <w:ind w:firstLine="560"/>
        <w:rPr>
          <w:rFonts w:ascii="Times New Roman" w:hAnsi="Times New Roman" w:cs="Times New Roman"/>
        </w:rPr>
      </w:pPr>
      <w:r>
        <w:rPr>
          <w:rFonts w:ascii="Times New Roman" w:hAnsi="Times New Roman" w:cs="Times New Roman"/>
          <w:smallCaps/>
          <w:sz w:val="28"/>
        </w:rPr>
        <w:fldChar w:fldCharType="end"/>
      </w:r>
    </w:p>
    <w:p>
      <w:pPr>
        <w:shd w:val="clear" w:color="auto" w:fill="auto"/>
        <w:tabs>
          <w:tab w:val="clear" w:pos="426"/>
        </w:tabs>
        <w:ind w:firstLine="420"/>
        <w:rPr>
          <w:rFonts w:ascii="Times New Roman" w:hAnsi="Times New Roman" w:cs="Times New Roman"/>
        </w:rPr>
        <w:sectPr>
          <w:footerReference r:id="rId5" w:type="even"/>
          <w:pgSz w:w="11906" w:h="16838"/>
          <w:pgMar w:top="1134" w:right="1700" w:bottom="1134" w:left="1418" w:header="851" w:footer="992" w:gutter="0"/>
          <w:pgNumType w:start="0"/>
          <w:cols w:space="425" w:num="1"/>
          <w:titlePg/>
          <w:docGrid w:linePitch="462" w:charSpace="0"/>
        </w:sectPr>
      </w:pPr>
    </w:p>
    <w:p>
      <w:pPr>
        <w:pStyle w:val="301"/>
        <w:pageBreakBefore/>
        <w:shd w:val="clear" w:color="auto" w:fill="auto"/>
        <w:ind w:firstLine="723"/>
        <w:rPr>
          <w:rFonts w:ascii="Times New Roman" w:hAnsi="Times New Roman"/>
        </w:rPr>
      </w:pPr>
      <w:bookmarkStart w:id="1" w:name="_Toc169101006"/>
      <w:bookmarkStart w:id="2" w:name="_Toc432592808"/>
      <w:r>
        <w:rPr>
          <w:rFonts w:ascii="Times New Roman" w:hAnsi="Times New Roman"/>
        </w:rPr>
        <w:t>第一册  专用条款</w:t>
      </w:r>
      <w:bookmarkEnd w:id="1"/>
    </w:p>
    <w:p>
      <w:pPr>
        <w:pStyle w:val="309"/>
        <w:shd w:val="clear" w:color="auto" w:fill="auto"/>
        <w:ind w:firstLine="562"/>
        <w:rPr>
          <w:rFonts w:ascii="Times New Roman" w:hAnsi="Times New Roman"/>
        </w:rPr>
      </w:pPr>
      <w:bookmarkStart w:id="3" w:name="_Toc169101007"/>
      <w:r>
        <w:rPr>
          <w:rFonts w:ascii="Times New Roman" w:hAnsi="Times New Roman"/>
        </w:rPr>
        <w:t>警示条款</w:t>
      </w:r>
      <w:bookmarkEnd w:id="3"/>
    </w:p>
    <w:p>
      <w:pPr>
        <w:pStyle w:val="297"/>
        <w:shd w:val="clear" w:color="auto" w:fill="auto"/>
        <w:ind w:firstLine="420"/>
        <w:outlineLvl w:val="9"/>
        <w:rPr>
          <w:rFonts w:ascii="Times New Roman" w:hAnsi="Times New Roman" w:cs="Times New Roman"/>
        </w:rPr>
      </w:pPr>
    </w:p>
    <w:p>
      <w:pPr>
        <w:pStyle w:val="305"/>
        <w:ind w:firstLine="422"/>
        <w:jc w:val="center"/>
        <w:rPr>
          <w:rFonts w:ascii="Times New Roman" w:hAnsi="Times New Roman"/>
          <w:b/>
          <w:bCs/>
          <w:color w:val="FF0000"/>
        </w:rPr>
      </w:pPr>
      <w:r>
        <w:rPr>
          <w:rFonts w:ascii="Times New Roman" w:hAnsi="Times New Roman"/>
          <w:b/>
          <w:bCs/>
          <w:color w:val="FF0000"/>
        </w:rPr>
        <w:t>《深圳经济特区政府采购条例》</w:t>
      </w:r>
    </w:p>
    <w:p>
      <w:pPr>
        <w:pStyle w:val="305"/>
        <w:ind w:firstLine="422"/>
        <w:rPr>
          <w:rFonts w:ascii="Times New Roman" w:hAnsi="Times New Roman"/>
          <w:b/>
          <w:bCs/>
          <w:color w:val="FF0000"/>
        </w:rPr>
      </w:pPr>
      <w:r>
        <w:rPr>
          <w:rFonts w:ascii="Times New Roman" w:hAnsi="Times New Roman"/>
          <w:b/>
          <w:bCs/>
          <w:color w:val="FF0000"/>
        </w:rPr>
        <w:t>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pStyle w:val="305"/>
        <w:ind w:firstLine="422"/>
        <w:rPr>
          <w:rFonts w:ascii="Times New Roman" w:hAnsi="Times New Roman"/>
          <w:b/>
          <w:bCs/>
          <w:color w:val="FF0000"/>
        </w:rPr>
      </w:pPr>
      <w:r>
        <w:rPr>
          <w:rFonts w:ascii="Times New Roman" w:hAnsi="Times New Roman"/>
          <w:b/>
          <w:bCs/>
          <w:color w:val="FF0000"/>
        </w:rPr>
        <w:t>（一）在采购活动中应当回避而未回避的；</w:t>
      </w:r>
    </w:p>
    <w:p>
      <w:pPr>
        <w:pStyle w:val="305"/>
        <w:ind w:firstLine="422"/>
        <w:rPr>
          <w:rFonts w:ascii="Times New Roman" w:hAnsi="Times New Roman"/>
          <w:b/>
          <w:bCs/>
          <w:color w:val="FF0000"/>
        </w:rPr>
      </w:pPr>
      <w:r>
        <w:rPr>
          <w:rFonts w:ascii="Times New Roman" w:hAnsi="Times New Roman"/>
          <w:b/>
          <w:bCs/>
          <w:color w:val="FF0000"/>
        </w:rPr>
        <w:t>（二）未按本条例规定签订、履行采购合同，造成严重后果的；</w:t>
      </w:r>
    </w:p>
    <w:p>
      <w:pPr>
        <w:pStyle w:val="305"/>
        <w:ind w:firstLine="422"/>
        <w:rPr>
          <w:rFonts w:ascii="Times New Roman" w:hAnsi="Times New Roman"/>
          <w:b/>
          <w:bCs/>
          <w:color w:val="FF0000"/>
        </w:rPr>
      </w:pPr>
      <w:r>
        <w:rPr>
          <w:rFonts w:ascii="Times New Roman" w:hAnsi="Times New Roman"/>
          <w:b/>
          <w:bCs/>
          <w:color w:val="FF0000"/>
        </w:rPr>
        <w:t>（三）隐瞒真实情况，提供虚假资料的；</w:t>
      </w:r>
    </w:p>
    <w:p>
      <w:pPr>
        <w:pStyle w:val="305"/>
        <w:ind w:firstLine="422"/>
        <w:rPr>
          <w:rFonts w:ascii="Times New Roman" w:hAnsi="Times New Roman"/>
          <w:b/>
          <w:bCs/>
          <w:color w:val="FF0000"/>
        </w:rPr>
      </w:pPr>
      <w:r>
        <w:rPr>
          <w:rFonts w:ascii="Times New Roman" w:hAnsi="Times New Roman"/>
          <w:b/>
          <w:bCs/>
          <w:color w:val="FF0000"/>
        </w:rPr>
        <w:t>（四）以非法手段排斥其他供应商参与竞争的；</w:t>
      </w:r>
    </w:p>
    <w:p>
      <w:pPr>
        <w:pStyle w:val="305"/>
        <w:ind w:firstLine="422"/>
        <w:rPr>
          <w:rFonts w:ascii="Times New Roman" w:hAnsi="Times New Roman"/>
          <w:b/>
          <w:bCs/>
          <w:color w:val="FF0000"/>
        </w:rPr>
      </w:pPr>
      <w:r>
        <w:rPr>
          <w:rFonts w:ascii="Times New Roman" w:hAnsi="Times New Roman"/>
          <w:b/>
          <w:bCs/>
          <w:color w:val="FF0000"/>
        </w:rPr>
        <w:t>（五）与其他采购参加人串通投标的；</w:t>
      </w:r>
    </w:p>
    <w:p>
      <w:pPr>
        <w:pStyle w:val="305"/>
        <w:ind w:firstLine="422"/>
        <w:rPr>
          <w:rFonts w:ascii="Times New Roman" w:hAnsi="Times New Roman"/>
          <w:b/>
          <w:bCs/>
          <w:color w:val="FF0000"/>
        </w:rPr>
      </w:pPr>
      <w:r>
        <w:rPr>
          <w:rFonts w:ascii="Times New Roman" w:hAnsi="Times New Roman"/>
          <w:b/>
          <w:bCs/>
          <w:color w:val="FF0000"/>
        </w:rPr>
        <w:t>（六）恶意投诉的；</w:t>
      </w:r>
    </w:p>
    <w:p>
      <w:pPr>
        <w:pStyle w:val="305"/>
        <w:ind w:firstLine="422"/>
        <w:rPr>
          <w:rFonts w:ascii="Times New Roman" w:hAnsi="Times New Roman"/>
          <w:b/>
          <w:bCs/>
          <w:color w:val="FF0000"/>
        </w:rPr>
      </w:pPr>
      <w:r>
        <w:rPr>
          <w:rFonts w:ascii="Times New Roman" w:hAnsi="Times New Roman"/>
          <w:b/>
          <w:bCs/>
          <w:color w:val="FF0000"/>
        </w:rPr>
        <w:t>（七）向采购项目相关人行贿或者提供其他不当利益的；</w:t>
      </w:r>
    </w:p>
    <w:p>
      <w:pPr>
        <w:pStyle w:val="305"/>
        <w:ind w:firstLine="422"/>
        <w:rPr>
          <w:rFonts w:ascii="Times New Roman" w:hAnsi="Times New Roman"/>
          <w:b/>
          <w:bCs/>
          <w:color w:val="FF0000"/>
        </w:rPr>
      </w:pPr>
      <w:r>
        <w:rPr>
          <w:rFonts w:ascii="Times New Roman" w:hAnsi="Times New Roman"/>
          <w:b/>
          <w:bCs/>
          <w:color w:val="FF0000"/>
        </w:rPr>
        <w:t>（八）阻碍、抗拒主管部门监督检查的；</w:t>
      </w:r>
    </w:p>
    <w:p>
      <w:pPr>
        <w:pStyle w:val="305"/>
        <w:ind w:firstLine="422"/>
        <w:rPr>
          <w:rFonts w:ascii="Times New Roman" w:hAnsi="Times New Roman"/>
          <w:b/>
          <w:bCs/>
          <w:color w:val="FF0000"/>
        </w:rPr>
      </w:pPr>
      <w:r>
        <w:rPr>
          <w:rFonts w:ascii="Times New Roman" w:hAnsi="Times New Roman"/>
          <w:b/>
          <w:bCs/>
          <w:color w:val="FF0000"/>
        </w:rPr>
        <w:t>（九）其他违反本条例规定的行为。</w:t>
      </w:r>
    </w:p>
    <w:p>
      <w:pPr>
        <w:pStyle w:val="305"/>
        <w:ind w:firstLine="422"/>
        <w:rPr>
          <w:rFonts w:ascii="Times New Roman" w:hAnsi="Times New Roman"/>
          <w:b/>
          <w:bCs/>
          <w:color w:val="FF0000"/>
        </w:rPr>
      </w:pPr>
    </w:p>
    <w:p>
      <w:pPr>
        <w:pStyle w:val="305"/>
        <w:ind w:firstLine="422"/>
        <w:jc w:val="center"/>
        <w:rPr>
          <w:rFonts w:ascii="Times New Roman" w:hAnsi="Times New Roman"/>
          <w:b/>
          <w:bCs/>
          <w:color w:val="FF0000"/>
        </w:rPr>
      </w:pPr>
      <w:r>
        <w:rPr>
          <w:rFonts w:ascii="Times New Roman" w:hAnsi="Times New Roman"/>
          <w:b/>
          <w:bCs/>
          <w:color w:val="FF0000"/>
        </w:rPr>
        <w:t>《深圳经济特区政府采购条例实施细则》</w:t>
      </w:r>
    </w:p>
    <w:p>
      <w:pPr>
        <w:pStyle w:val="305"/>
        <w:ind w:firstLine="422"/>
        <w:rPr>
          <w:rFonts w:ascii="Times New Roman" w:hAnsi="Times New Roman"/>
          <w:b/>
          <w:bCs/>
          <w:color w:val="FF0000"/>
        </w:rPr>
      </w:pPr>
      <w:r>
        <w:rPr>
          <w:rFonts w:ascii="Times New Roman" w:hAnsi="Times New Roman"/>
          <w:b/>
          <w:bCs/>
          <w:color w:val="FF0000"/>
        </w:rPr>
        <w:t>第七十五条 供应商有下列情形之一的，属于采购条例所称的串通投标行为，按照采购条例第五十七条有关规定处理：</w:t>
      </w:r>
    </w:p>
    <w:p>
      <w:pPr>
        <w:pStyle w:val="305"/>
        <w:ind w:firstLine="422"/>
        <w:rPr>
          <w:rFonts w:ascii="Times New Roman" w:hAnsi="Times New Roman"/>
          <w:b/>
          <w:bCs/>
          <w:color w:val="FF0000"/>
        </w:rPr>
      </w:pPr>
      <w:r>
        <w:rPr>
          <w:rFonts w:ascii="Times New Roman" w:hAnsi="Times New Roman"/>
          <w:b/>
          <w:bCs/>
          <w:color w:val="FF0000"/>
        </w:rPr>
        <w:t>（一）投标供应商之间相互约定给予未中标的供应商利益补偿。</w:t>
      </w:r>
    </w:p>
    <w:p>
      <w:pPr>
        <w:pStyle w:val="305"/>
        <w:ind w:firstLine="422"/>
        <w:rPr>
          <w:rFonts w:ascii="Times New Roman" w:hAnsi="Times New Roman"/>
          <w:b/>
          <w:bCs/>
          <w:color w:val="FF0000"/>
        </w:rPr>
      </w:pPr>
      <w:r>
        <w:rPr>
          <w:rFonts w:ascii="Times New Roman" w:hAnsi="Times New Roman"/>
          <w:b/>
          <w:bCs/>
          <w:color w:val="FF0000"/>
        </w:rPr>
        <w:t>（二）不同投标供应商的法定代表人、主要经营负责人、项目投标授权代表人、项目负责人、主要技术人员为同一人、属同一单位或者在同一单位缴纳社会保险。</w:t>
      </w:r>
    </w:p>
    <w:p>
      <w:pPr>
        <w:pStyle w:val="305"/>
        <w:ind w:firstLine="422"/>
        <w:rPr>
          <w:rFonts w:ascii="Times New Roman" w:hAnsi="Times New Roman"/>
          <w:b/>
          <w:bCs/>
          <w:color w:val="FF0000"/>
        </w:rPr>
      </w:pPr>
      <w:r>
        <w:rPr>
          <w:rFonts w:ascii="Times New Roman" w:hAnsi="Times New Roman"/>
          <w:b/>
          <w:bCs/>
          <w:color w:val="FF0000"/>
        </w:rPr>
        <w:t>（三）不同投标供应商的投标文件由同一单位或者同一人编制，或者由同一人分阶段参与编制的。</w:t>
      </w:r>
    </w:p>
    <w:p>
      <w:pPr>
        <w:pStyle w:val="305"/>
        <w:ind w:firstLine="422"/>
        <w:rPr>
          <w:rFonts w:ascii="Times New Roman" w:hAnsi="Times New Roman"/>
          <w:b/>
          <w:bCs/>
          <w:color w:val="FF0000"/>
        </w:rPr>
      </w:pPr>
      <w:r>
        <w:rPr>
          <w:rFonts w:ascii="Times New Roman" w:hAnsi="Times New Roman"/>
          <w:b/>
          <w:bCs/>
          <w:color w:val="FF0000"/>
        </w:rPr>
        <w:t>（四）不同投标供应商的投标文件或部分投标文件相互混装。</w:t>
      </w:r>
    </w:p>
    <w:p>
      <w:pPr>
        <w:pStyle w:val="305"/>
        <w:ind w:firstLine="422"/>
        <w:rPr>
          <w:rFonts w:ascii="Times New Roman" w:hAnsi="Times New Roman"/>
          <w:b/>
          <w:bCs/>
          <w:color w:val="FF0000"/>
        </w:rPr>
      </w:pPr>
      <w:r>
        <w:rPr>
          <w:rFonts w:ascii="Times New Roman" w:hAnsi="Times New Roman"/>
          <w:b/>
          <w:bCs/>
          <w:color w:val="FF0000"/>
        </w:rPr>
        <w:t>（五）不同投标供应商的投标文件内容存在非正常一致。</w:t>
      </w:r>
    </w:p>
    <w:p>
      <w:pPr>
        <w:pStyle w:val="305"/>
        <w:ind w:firstLine="422"/>
        <w:rPr>
          <w:rFonts w:ascii="Times New Roman" w:hAnsi="Times New Roman"/>
          <w:b/>
          <w:bCs/>
          <w:color w:val="FF0000"/>
        </w:rPr>
      </w:pPr>
      <w:r>
        <w:rPr>
          <w:rFonts w:ascii="Times New Roman" w:hAnsi="Times New Roman"/>
          <w:b/>
          <w:bCs/>
          <w:color w:val="FF0000"/>
        </w:rPr>
        <w:t>（六）由同一单位工作人员为两家以上（含两家）供应商进行同一项投标活动的。</w:t>
      </w:r>
    </w:p>
    <w:p>
      <w:pPr>
        <w:pStyle w:val="305"/>
        <w:ind w:firstLine="422"/>
        <w:rPr>
          <w:rFonts w:ascii="Times New Roman" w:hAnsi="Times New Roman"/>
          <w:b/>
          <w:bCs/>
          <w:color w:val="FF0000"/>
        </w:rPr>
      </w:pPr>
      <w:r>
        <w:rPr>
          <w:rFonts w:ascii="Times New Roman" w:hAnsi="Times New Roman"/>
          <w:b/>
          <w:bCs/>
          <w:color w:val="FF0000"/>
        </w:rPr>
        <w:t>（七）主管部门依照法律、法规认定的其他情形。</w:t>
      </w:r>
    </w:p>
    <w:p>
      <w:pPr>
        <w:pStyle w:val="305"/>
        <w:ind w:firstLine="422"/>
        <w:rPr>
          <w:rFonts w:ascii="Times New Roman" w:hAnsi="Times New Roman"/>
          <w:b/>
          <w:bCs/>
          <w:color w:val="FF0000"/>
        </w:rPr>
      </w:pPr>
      <w:r>
        <w:rPr>
          <w:rFonts w:ascii="Times New Roman" w:hAnsi="Times New Roman"/>
          <w:b/>
          <w:bCs/>
          <w:color w:val="FF0000"/>
        </w:rPr>
        <w:t>第七十七条 供应商有下列情形之一的，属于隐瞒真实情况，提供虚假资料，按照采购条例第五十七条的有关规定处理：</w:t>
      </w:r>
    </w:p>
    <w:p>
      <w:pPr>
        <w:pStyle w:val="305"/>
        <w:ind w:firstLine="422"/>
        <w:rPr>
          <w:rFonts w:ascii="Times New Roman" w:hAnsi="Times New Roman"/>
          <w:b/>
          <w:bCs/>
          <w:color w:val="FF0000"/>
        </w:rPr>
      </w:pPr>
      <w:r>
        <w:rPr>
          <w:rFonts w:ascii="Times New Roman" w:hAnsi="Times New Roman"/>
          <w:b/>
          <w:bCs/>
          <w:color w:val="FF0000"/>
        </w:rPr>
        <w:t>（一）通过转让或者租借等方式从其他单位获取资格或者资质证书投标的。</w:t>
      </w:r>
    </w:p>
    <w:p>
      <w:pPr>
        <w:pStyle w:val="305"/>
        <w:ind w:firstLine="422"/>
        <w:rPr>
          <w:rFonts w:ascii="Times New Roman" w:hAnsi="Times New Roman"/>
          <w:b/>
          <w:bCs/>
          <w:color w:val="FF0000"/>
        </w:rPr>
      </w:pPr>
      <w:r>
        <w:rPr>
          <w:rFonts w:ascii="Times New Roman" w:hAnsi="Times New Roman"/>
          <w:b/>
          <w:bCs/>
          <w:color w:val="FF0000"/>
        </w:rPr>
        <w:t>（二）由其他单位或者其他单位负责人在投标供应商编制的投标文件上加盖印章或者签字的。</w:t>
      </w:r>
    </w:p>
    <w:p>
      <w:pPr>
        <w:pStyle w:val="305"/>
        <w:ind w:firstLine="422"/>
        <w:rPr>
          <w:rFonts w:ascii="Times New Roman" w:hAnsi="Times New Roman"/>
          <w:b/>
          <w:bCs/>
          <w:color w:val="FF0000"/>
        </w:rPr>
      </w:pPr>
      <w:r>
        <w:rPr>
          <w:rFonts w:ascii="Times New Roman" w:hAnsi="Times New Roman"/>
          <w:b/>
          <w:bCs/>
          <w:color w:val="FF0000"/>
        </w:rPr>
        <w:t>（三）项目负责人或者主要技术人员不是本单位人员的。</w:t>
      </w:r>
    </w:p>
    <w:p>
      <w:pPr>
        <w:pStyle w:val="305"/>
        <w:ind w:firstLine="422"/>
        <w:rPr>
          <w:rFonts w:ascii="Times New Roman" w:hAnsi="Times New Roman"/>
          <w:b/>
          <w:bCs/>
          <w:color w:val="FF0000"/>
        </w:rPr>
      </w:pPr>
      <w:r>
        <w:rPr>
          <w:rFonts w:ascii="Times New Roman" w:hAnsi="Times New Roman"/>
          <w:b/>
          <w:bCs/>
          <w:color w:val="FF0000"/>
        </w:rPr>
        <w:t>（四）投标保证金不是从投标供应商基本账户转出的。</w:t>
      </w:r>
    </w:p>
    <w:p>
      <w:pPr>
        <w:pStyle w:val="305"/>
        <w:ind w:firstLine="422"/>
        <w:rPr>
          <w:rFonts w:ascii="Times New Roman" w:hAnsi="Times New Roman"/>
          <w:b/>
          <w:bCs/>
          <w:color w:val="FF0000"/>
        </w:rPr>
      </w:pPr>
      <w:r>
        <w:rPr>
          <w:rFonts w:ascii="Times New Roman" w:hAnsi="Times New Roman"/>
          <w:b/>
          <w:bCs/>
          <w:color w:val="FF0000"/>
        </w:rPr>
        <w:t>（五）其他隐瞒真实情况、提供虚假资料的行为。</w:t>
      </w:r>
    </w:p>
    <w:p>
      <w:pPr>
        <w:pStyle w:val="305"/>
        <w:ind w:firstLine="422"/>
        <w:rPr>
          <w:rFonts w:ascii="Times New Roman" w:hAnsi="Times New Roman"/>
          <w:b/>
          <w:bCs/>
          <w:color w:val="FF0000"/>
        </w:rPr>
      </w:pPr>
      <w:r>
        <w:rPr>
          <w:rFonts w:ascii="Times New Roman" w:hAnsi="Times New Roman"/>
          <w:b/>
          <w:bCs/>
          <w:color w:val="FF0000"/>
        </w:rPr>
        <w:t>投标供应商不能提供项目负责人或者主要技术人员的劳动合同、社会保险等劳动关系证明材料的，视为存在前款第（三）项规定的情形。</w:t>
      </w:r>
    </w:p>
    <w:p>
      <w:pPr>
        <w:pStyle w:val="305"/>
        <w:ind w:firstLine="422"/>
        <w:rPr>
          <w:rFonts w:ascii="Times New Roman" w:hAnsi="Times New Roman"/>
          <w:b/>
          <w:bCs/>
          <w:color w:val="FF0000"/>
        </w:rPr>
      </w:pPr>
    </w:p>
    <w:p>
      <w:pPr>
        <w:pStyle w:val="305"/>
        <w:ind w:firstLine="422"/>
        <w:jc w:val="center"/>
        <w:rPr>
          <w:rFonts w:ascii="Times New Roman" w:hAnsi="Times New Roman"/>
          <w:b/>
          <w:bCs/>
          <w:color w:val="FF0000"/>
        </w:rPr>
      </w:pPr>
      <w:r>
        <w:rPr>
          <w:rFonts w:ascii="Times New Roman" w:hAnsi="Times New Roman"/>
          <w:b/>
          <w:bCs/>
          <w:color w:val="FF0000"/>
        </w:rPr>
        <w:t>《中华人民共和国政府采购法实施条例》</w:t>
      </w:r>
    </w:p>
    <w:p>
      <w:pPr>
        <w:pStyle w:val="305"/>
        <w:ind w:firstLine="422"/>
        <w:rPr>
          <w:rFonts w:ascii="Times New Roman" w:hAnsi="Times New Roman"/>
          <w:b/>
          <w:bCs/>
          <w:color w:val="FF0000"/>
        </w:rPr>
      </w:pPr>
      <w:r>
        <w:rPr>
          <w:rFonts w:ascii="Times New Roman" w:hAnsi="Times New Roman"/>
          <w:b/>
          <w:bCs/>
          <w:color w:val="FF0000"/>
        </w:rPr>
        <w:t>第十八条 单位负责人为同一人或者存在直接控股、管理关系的不同供应商，不得参加同一合同项下的政府采购活动。</w:t>
      </w:r>
    </w:p>
    <w:p>
      <w:pPr>
        <w:pStyle w:val="305"/>
        <w:ind w:firstLine="422"/>
        <w:rPr>
          <w:rFonts w:ascii="Times New Roman" w:hAnsi="Times New Roman"/>
          <w:b/>
          <w:bCs/>
          <w:color w:val="FF0000"/>
        </w:rPr>
      </w:pPr>
      <w:r>
        <w:rPr>
          <w:rFonts w:ascii="Times New Roman" w:hAnsi="Times New Roman"/>
          <w:b/>
          <w:bCs/>
          <w:color w:val="FF0000"/>
        </w:rPr>
        <w:t>除单一来源采购项目外，为采购项目提供整体设计、规范编制或者项目管理、监 理、检测等服务的供应商，不得再参加该采购项目的其他采购活动。</w:t>
      </w:r>
    </w:p>
    <w:p>
      <w:pPr>
        <w:shd w:val="clear" w:color="auto" w:fill="auto"/>
        <w:tabs>
          <w:tab w:val="clear" w:pos="426"/>
        </w:tabs>
        <w:spacing w:line="240" w:lineRule="auto"/>
        <w:ind w:firstLine="562"/>
        <w:jc w:val="left"/>
        <w:rPr>
          <w:rFonts w:ascii="Times New Roman" w:hAnsi="Times New Roman" w:cs="Times New Roman"/>
          <w:b/>
          <w:bCs/>
          <w:kern w:val="28"/>
          <w:sz w:val="28"/>
          <w:szCs w:val="32"/>
        </w:rPr>
      </w:pPr>
      <w:r>
        <w:rPr>
          <w:rFonts w:ascii="Times New Roman" w:hAnsi="Times New Roman" w:cs="Times New Roman"/>
          <w:b/>
          <w:bCs/>
          <w:kern w:val="28"/>
          <w:sz w:val="28"/>
          <w:szCs w:val="32"/>
        </w:rPr>
        <w:br w:type="page"/>
      </w:r>
    </w:p>
    <w:p>
      <w:pPr>
        <w:pStyle w:val="309"/>
        <w:pageBreakBefore/>
        <w:shd w:val="clear" w:color="auto" w:fill="auto"/>
        <w:ind w:firstLine="562"/>
        <w:rPr>
          <w:rFonts w:ascii="Times New Roman" w:hAnsi="Times New Roman"/>
        </w:rPr>
      </w:pPr>
      <w:bookmarkStart w:id="4" w:name="_Toc169101008"/>
      <w:bookmarkStart w:id="5" w:name="_Hlk41553520"/>
      <w:r>
        <w:rPr>
          <w:rFonts w:ascii="Times New Roman" w:hAnsi="Times New Roman"/>
        </w:rPr>
        <w:t>关键信息</w:t>
      </w:r>
      <w:bookmarkEnd w:id="2"/>
      <w:r>
        <w:rPr>
          <w:rFonts w:ascii="Times New Roman" w:hAnsi="Times New Roman"/>
        </w:rPr>
        <w:t>（通用）</w:t>
      </w:r>
      <w:bookmarkEnd w:id="4"/>
    </w:p>
    <w:tbl>
      <w:tblPr>
        <w:tblStyle w:val="4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0"/>
        <w:gridCol w:w="6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7" w:type="pct"/>
            <w:vAlign w:val="center"/>
          </w:tcPr>
          <w:p>
            <w:pPr>
              <w:pStyle w:val="307"/>
              <w:shd w:val="clear" w:color="auto" w:fill="auto"/>
              <w:rPr>
                <w:rFonts w:ascii="Times New Roman" w:hAnsi="Times New Roman" w:cs="Times New Roman"/>
              </w:rPr>
            </w:pPr>
            <w:r>
              <w:rPr>
                <w:rFonts w:ascii="Times New Roman" w:hAnsi="Times New Roman" w:cs="Times New Roman"/>
              </w:rPr>
              <w:t>采购项目编号</w:t>
            </w:r>
          </w:p>
        </w:tc>
        <w:tc>
          <w:tcPr>
            <w:tcW w:w="3773" w:type="pct"/>
            <w:vAlign w:val="center"/>
          </w:tcPr>
          <w:p>
            <w:pPr>
              <w:pStyle w:val="307"/>
              <w:shd w:val="clear" w:color="auto" w:fill="auto"/>
              <w:rPr>
                <w:rFonts w:ascii="Times New Roman" w:hAnsi="Times New Roman" w:cs="Times New Roman"/>
              </w:rPr>
            </w:pPr>
            <w:r>
              <w:rPr>
                <w:rFonts w:hint="eastAsia" w:ascii="Times New Roman" w:hAnsi="Times New Roman" w:cs="Times New Roman"/>
              </w:rPr>
              <w:t>SSZX2024-419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7" w:type="pct"/>
            <w:vAlign w:val="center"/>
          </w:tcPr>
          <w:p>
            <w:pPr>
              <w:pStyle w:val="307"/>
              <w:shd w:val="clear" w:color="auto" w:fill="auto"/>
              <w:rPr>
                <w:rFonts w:ascii="Times New Roman" w:hAnsi="Times New Roman" w:cs="Times New Roman"/>
              </w:rPr>
            </w:pPr>
            <w:r>
              <w:rPr>
                <w:rFonts w:ascii="Times New Roman" w:hAnsi="Times New Roman" w:cs="Times New Roman"/>
              </w:rPr>
              <w:t>项目名称</w:t>
            </w:r>
          </w:p>
        </w:tc>
        <w:tc>
          <w:tcPr>
            <w:tcW w:w="3773" w:type="pct"/>
            <w:vAlign w:val="center"/>
          </w:tcPr>
          <w:p>
            <w:pPr>
              <w:pStyle w:val="307"/>
              <w:shd w:val="clear" w:color="auto" w:fill="auto"/>
              <w:rPr>
                <w:rFonts w:ascii="Times New Roman" w:hAnsi="Times New Roman" w:cs="Times New Roman"/>
              </w:rPr>
            </w:pPr>
            <w:r>
              <w:rPr>
                <w:rFonts w:hint="eastAsia" w:ascii="Times New Roman" w:hAnsi="Times New Roman" w:cs="Times New Roman"/>
              </w:rPr>
              <w:t>深圳少年儿童图书馆整体搬迁服务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227" w:type="pct"/>
            <w:vAlign w:val="center"/>
          </w:tcPr>
          <w:p>
            <w:pPr>
              <w:pStyle w:val="307"/>
              <w:shd w:val="clear" w:color="auto" w:fill="auto"/>
              <w:rPr>
                <w:rFonts w:ascii="Times New Roman" w:hAnsi="Times New Roman" w:cs="Times New Roman"/>
              </w:rPr>
            </w:pPr>
            <w:r>
              <w:rPr>
                <w:rFonts w:ascii="Times New Roman" w:hAnsi="Times New Roman" w:cs="Times New Roman"/>
              </w:rPr>
              <w:t>项目类型</w:t>
            </w:r>
          </w:p>
        </w:tc>
        <w:tc>
          <w:tcPr>
            <w:tcW w:w="3773" w:type="pct"/>
            <w:vAlign w:val="center"/>
          </w:tcPr>
          <w:p>
            <w:pPr>
              <w:shd w:val="clear" w:color="auto" w:fill="auto"/>
              <w:tabs>
                <w:tab w:val="clear" w:pos="426"/>
              </w:tabs>
              <w:spacing w:line="240" w:lineRule="auto"/>
              <w:jc w:val="left"/>
              <w:rPr>
                <w:rFonts w:ascii="Times New Roman" w:hAnsi="Times New Roman" w:cs="Times New Roman"/>
                <w:szCs w:val="21"/>
              </w:rPr>
            </w:pPr>
            <w:r>
              <w:rPr>
                <w:rFonts w:hint="eastAsia" w:ascii="Times New Roman" w:hAnsi="Times New Roman" w:cs="Times New Roman"/>
                <w:szCs w:val="21"/>
              </w:rPr>
              <w:t>服务</w:t>
            </w:r>
            <w:r>
              <w:rPr>
                <w:rFonts w:ascii="Times New Roman" w:hAnsi="Times New Roman" w:cs="Times New Roman"/>
                <w:szCs w:val="21"/>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7" w:type="pct"/>
            <w:vAlign w:val="center"/>
          </w:tcPr>
          <w:p>
            <w:pPr>
              <w:pStyle w:val="307"/>
              <w:shd w:val="clear" w:color="auto" w:fill="auto"/>
              <w:rPr>
                <w:rFonts w:ascii="Times New Roman" w:hAnsi="Times New Roman" w:cs="Times New Roman"/>
              </w:rPr>
            </w:pPr>
            <w:r>
              <w:rPr>
                <w:rFonts w:ascii="Times New Roman" w:hAnsi="Times New Roman" w:cs="Times New Roman"/>
              </w:rPr>
              <w:t>是否长期服务项目</w:t>
            </w:r>
          </w:p>
        </w:tc>
        <w:tc>
          <w:tcPr>
            <w:tcW w:w="3773" w:type="pct"/>
            <w:vAlign w:val="center"/>
          </w:tcPr>
          <w:p>
            <w:pPr>
              <w:pStyle w:val="307"/>
              <w:shd w:val="clear" w:color="auto" w:fill="auto"/>
              <w:rPr>
                <w:rFonts w:ascii="Times New Roman" w:hAnsi="Times New Roman" w:cs="Times New Roman"/>
              </w:rPr>
            </w:pPr>
            <w:r>
              <w:rPr>
                <w:rFonts w:ascii="Times New Roman" w:hAnsi="Times New Roman" w:cs="Times New Roman"/>
              </w:rPr>
              <w:t>■</w:t>
            </w:r>
            <w:r>
              <w:rPr>
                <w:rFonts w:hint="eastAsia" w:ascii="Times New Roman" w:hAnsi="Times New Roman" w:cs="Times New Roman"/>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7" w:type="pct"/>
            <w:vAlign w:val="center"/>
          </w:tcPr>
          <w:p>
            <w:pPr>
              <w:pStyle w:val="307"/>
              <w:shd w:val="clear" w:color="auto" w:fill="auto"/>
              <w:rPr>
                <w:rFonts w:ascii="Times New Roman" w:hAnsi="Times New Roman" w:cs="Times New Roman"/>
              </w:rPr>
            </w:pPr>
            <w:r>
              <w:rPr>
                <w:rFonts w:ascii="Times New Roman" w:hAnsi="Times New Roman" w:cs="Times New Roman"/>
              </w:rPr>
              <w:t>采购方式</w:t>
            </w:r>
          </w:p>
        </w:tc>
        <w:tc>
          <w:tcPr>
            <w:tcW w:w="3773" w:type="pct"/>
            <w:vAlign w:val="center"/>
          </w:tcPr>
          <w:p>
            <w:pPr>
              <w:pStyle w:val="307"/>
              <w:shd w:val="clear" w:color="auto" w:fill="auto"/>
              <w:rPr>
                <w:rFonts w:ascii="Times New Roman" w:hAnsi="Times New Roman" w:cs="Times New Roman"/>
              </w:rPr>
            </w:pPr>
            <w:r>
              <w:rPr>
                <w:rFonts w:ascii="Times New Roman" w:hAnsi="Times New Roman" w:cs="Times New Roma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7" w:type="pct"/>
            <w:vAlign w:val="center"/>
          </w:tcPr>
          <w:p>
            <w:pPr>
              <w:pStyle w:val="307"/>
              <w:shd w:val="clear" w:color="auto" w:fill="auto"/>
              <w:rPr>
                <w:rFonts w:ascii="Times New Roman" w:hAnsi="Times New Roman" w:cs="Times New Roman"/>
              </w:rPr>
            </w:pPr>
            <w:r>
              <w:rPr>
                <w:rFonts w:ascii="Times New Roman" w:hAnsi="Times New Roman" w:cs="Times New Roman"/>
              </w:rPr>
              <w:t>货币类型</w:t>
            </w:r>
          </w:p>
        </w:tc>
        <w:tc>
          <w:tcPr>
            <w:tcW w:w="3773" w:type="pct"/>
            <w:vAlign w:val="center"/>
          </w:tcPr>
          <w:p>
            <w:pPr>
              <w:pStyle w:val="307"/>
              <w:shd w:val="clear" w:color="auto" w:fill="auto"/>
              <w:rPr>
                <w:rFonts w:ascii="Times New Roman" w:hAnsi="Times New Roman" w:cs="Times New Roman"/>
              </w:rPr>
            </w:pPr>
            <w:r>
              <w:rPr>
                <w:rFonts w:ascii="Times New Roman" w:hAnsi="Times New Roman" w:cs="Times New Roman"/>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7" w:type="pct"/>
            <w:vAlign w:val="center"/>
          </w:tcPr>
          <w:p>
            <w:pPr>
              <w:pStyle w:val="307"/>
              <w:shd w:val="clear" w:color="auto" w:fill="auto"/>
              <w:rPr>
                <w:rFonts w:ascii="Times New Roman" w:hAnsi="Times New Roman" w:cs="Times New Roman"/>
              </w:rPr>
            </w:pPr>
            <w:r>
              <w:rPr>
                <w:rFonts w:ascii="Times New Roman" w:hAnsi="Times New Roman" w:cs="Times New Roman"/>
              </w:rPr>
              <w:t>招标文件结构</w:t>
            </w:r>
          </w:p>
        </w:tc>
        <w:tc>
          <w:tcPr>
            <w:tcW w:w="3773" w:type="pct"/>
            <w:vAlign w:val="center"/>
          </w:tcPr>
          <w:p>
            <w:pPr>
              <w:pStyle w:val="307"/>
              <w:shd w:val="clear" w:color="auto" w:fill="auto"/>
              <w:rPr>
                <w:rFonts w:ascii="Times New Roman" w:hAnsi="Times New Roman" w:cs="Times New Roman"/>
              </w:rPr>
            </w:pPr>
            <w:r>
              <w:rPr>
                <w:rFonts w:ascii="Times New Roman" w:hAnsi="Times New Roman" w:cs="Times New Roman"/>
              </w:rPr>
              <w:t>1.本招标文件分为第一册“专用条款”和第二册“通用条款”（另行装订）。</w:t>
            </w:r>
          </w:p>
          <w:p>
            <w:pPr>
              <w:pStyle w:val="307"/>
              <w:shd w:val="clear" w:color="auto" w:fill="auto"/>
              <w:rPr>
                <w:rFonts w:ascii="Times New Roman" w:hAnsi="Times New Roman" w:cs="Times New Roman"/>
              </w:rPr>
            </w:pPr>
            <w:r>
              <w:rPr>
                <w:rFonts w:ascii="Times New Roman" w:hAnsi="Times New Roman" w:cs="Times New Roman"/>
              </w:rPr>
              <w:t>2.“专用条款”是对本次采购项目的具体要求，包含招标公告、招标项目需求、合同条款及格式、投标文件格式、附件等内容。</w:t>
            </w:r>
          </w:p>
          <w:p>
            <w:pPr>
              <w:pStyle w:val="307"/>
              <w:shd w:val="clear" w:color="auto" w:fill="auto"/>
              <w:rPr>
                <w:rFonts w:ascii="Times New Roman" w:hAnsi="Times New Roman" w:cs="Times New Roman"/>
              </w:rPr>
            </w:pPr>
            <w:r>
              <w:rPr>
                <w:rFonts w:ascii="Times New Roman" w:hAnsi="Times New Roman" w:cs="Times New Roman"/>
              </w:rPr>
              <w:t>3.“通用条款”是通用于政府采购项目的基础性条款，具有普遍性和通用性。</w:t>
            </w:r>
          </w:p>
          <w:p>
            <w:pPr>
              <w:pStyle w:val="307"/>
              <w:shd w:val="clear" w:color="auto" w:fill="auto"/>
              <w:rPr>
                <w:rFonts w:ascii="Times New Roman" w:hAnsi="Times New Roman" w:cs="Times New Roman"/>
              </w:rPr>
            </w:pPr>
            <w:r>
              <w:rPr>
                <w:rFonts w:ascii="Times New Roman" w:hAnsi="Times New Roman" w:cs="Times New Roman"/>
              </w:rPr>
              <w:t>4.当出现“专用条款”和“通用条款”表述不一致或有冲突时，以“专用条款”为准。</w:t>
            </w:r>
          </w:p>
        </w:tc>
      </w:tr>
      <w:bookmarkEnd w:id="5"/>
    </w:tbl>
    <w:p>
      <w:pPr>
        <w:shd w:val="clear" w:color="auto" w:fill="auto"/>
        <w:ind w:firstLine="420"/>
        <w:rPr>
          <w:rFonts w:ascii="Times New Roman" w:hAnsi="Times New Roman" w:cs="Times New Roman"/>
        </w:rPr>
      </w:pPr>
      <w:r>
        <w:rPr>
          <w:rFonts w:ascii="Times New Roman" w:hAnsi="Times New Roman" w:cs="Times New Roman"/>
        </w:rPr>
        <w:br w:type="page"/>
      </w:r>
    </w:p>
    <w:p>
      <w:pPr>
        <w:pStyle w:val="321"/>
        <w:shd w:val="clear" w:color="auto" w:fill="auto"/>
        <w:ind w:firstLine="482"/>
        <w:rPr>
          <w:rFonts w:ascii="Times New Roman" w:hAnsi="Times New Roman"/>
        </w:rPr>
      </w:pPr>
      <w:r>
        <w:rPr>
          <w:rFonts w:ascii="Times New Roman" w:hAnsi="Times New Roman"/>
        </w:rPr>
        <w:t>资格、符合性评审条款</w:t>
      </w:r>
    </w:p>
    <w:p>
      <w:pPr>
        <w:shd w:val="clear" w:color="auto" w:fill="auto"/>
        <w:ind w:firstLine="422"/>
        <w:jc w:val="center"/>
        <w:rPr>
          <w:rFonts w:ascii="Times New Roman" w:hAnsi="Times New Roman" w:cs="Times New Roman"/>
          <w:b/>
          <w:color w:val="FF0000"/>
        </w:rPr>
      </w:pPr>
      <w:r>
        <w:rPr>
          <w:rFonts w:ascii="Times New Roman" w:hAnsi="Times New Roman" w:cs="Times New Roman"/>
          <w:b/>
          <w:color w:val="FF0000"/>
        </w:rPr>
        <w:t>（凡有下列情形之一的，将导致投标无效）</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1"/>
        <w:gridCol w:w="8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5000" w:type="pct"/>
            <w:gridSpan w:val="2"/>
            <w:vAlign w:val="center"/>
          </w:tcPr>
          <w:p>
            <w:pPr>
              <w:shd w:val="clear" w:color="auto" w:fill="auto"/>
              <w:tabs>
                <w:tab w:val="clear" w:pos="426"/>
              </w:tabs>
              <w:spacing w:line="240" w:lineRule="auto"/>
              <w:jc w:val="center"/>
              <w:rPr>
                <w:rFonts w:ascii="Times New Roman" w:hAnsi="Times New Roman" w:cs="Times New Roman"/>
                <w:b/>
              </w:rPr>
            </w:pPr>
            <w:r>
              <w:rPr>
                <w:rFonts w:ascii="Times New Roman" w:hAnsi="Times New Roman" w:cs="Times New Roman"/>
              </w:rPr>
              <w:t>资格性审查表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378" w:type="pct"/>
            <w:vAlign w:val="center"/>
          </w:tcPr>
          <w:p>
            <w:pPr>
              <w:numPr>
                <w:ilvl w:val="0"/>
                <w:numId w:val="25"/>
              </w:numPr>
              <w:shd w:val="clear" w:color="auto" w:fill="auto"/>
              <w:tabs>
                <w:tab w:val="clear" w:pos="426"/>
              </w:tabs>
              <w:spacing w:line="240" w:lineRule="auto"/>
              <w:ind w:left="0" w:firstLine="0"/>
              <w:jc w:val="center"/>
              <w:rPr>
                <w:rFonts w:ascii="Times New Roman" w:hAnsi="Times New Roman" w:cs="Times New Roman"/>
              </w:rPr>
            </w:pPr>
          </w:p>
        </w:tc>
        <w:tc>
          <w:tcPr>
            <w:tcW w:w="4622" w:type="pct"/>
            <w:vAlign w:val="center"/>
          </w:tcPr>
          <w:p>
            <w:pPr>
              <w:pStyle w:val="307"/>
              <w:shd w:val="clear" w:color="auto" w:fill="auto"/>
              <w:rPr>
                <w:rFonts w:ascii="Times New Roman" w:hAnsi="Times New Roman" w:cs="Times New Roman"/>
              </w:rPr>
            </w:pPr>
            <w:r>
              <w:rPr>
                <w:rFonts w:ascii="Times New Roman" w:hAnsi="Times New Roman" w:cs="Times New Roman"/>
              </w:rPr>
              <w:t>投标人不具备招标资质要求，或未提交相应资质证明材料；(详见采购公告“</w:t>
            </w:r>
            <w:r>
              <w:rPr>
                <w:rFonts w:hint="eastAsia" w:ascii="Times New Roman" w:hAnsi="Times New Roman" w:cs="Times New Roman"/>
              </w:rPr>
              <w:t>申请人的资格要求</w:t>
            </w:r>
            <w:r>
              <w:rPr>
                <w:rFonts w:ascii="Times New Roman" w:hAnsi="Times New Roman" w:cs="Times New Roman"/>
              </w:rPr>
              <w:t>”，其中未列示的资质要求不得导致投标无效。)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378" w:type="pct"/>
            <w:vAlign w:val="center"/>
          </w:tcPr>
          <w:p>
            <w:pPr>
              <w:numPr>
                <w:ilvl w:val="0"/>
                <w:numId w:val="25"/>
              </w:numPr>
              <w:shd w:val="clear" w:color="auto" w:fill="auto"/>
              <w:tabs>
                <w:tab w:val="clear" w:pos="426"/>
              </w:tabs>
              <w:spacing w:line="240" w:lineRule="auto"/>
              <w:ind w:left="0" w:firstLine="0"/>
              <w:jc w:val="center"/>
              <w:rPr>
                <w:rFonts w:ascii="Times New Roman" w:hAnsi="Times New Roman" w:cs="Times New Roman"/>
              </w:rPr>
            </w:pPr>
          </w:p>
        </w:tc>
        <w:tc>
          <w:tcPr>
            <w:tcW w:w="4622" w:type="pct"/>
            <w:vAlign w:val="center"/>
          </w:tcPr>
          <w:p>
            <w:pPr>
              <w:pStyle w:val="307"/>
              <w:shd w:val="clear" w:color="auto" w:fill="auto"/>
              <w:rPr>
                <w:rFonts w:ascii="Times New Roman" w:hAnsi="Times New Roman" w:cs="Times New Roman"/>
              </w:rPr>
            </w:pPr>
            <w:r>
              <w:rPr>
                <w:rFonts w:ascii="Times New Roman" w:hAnsi="Times New Roman" w:cs="Times New Roman"/>
              </w:rPr>
              <w:t>投标文件存在招标文件中规定的其它投标无效条款的；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378" w:type="pct"/>
            <w:vAlign w:val="center"/>
          </w:tcPr>
          <w:p>
            <w:pPr>
              <w:numPr>
                <w:ilvl w:val="0"/>
                <w:numId w:val="25"/>
              </w:numPr>
              <w:shd w:val="clear" w:color="auto" w:fill="auto"/>
              <w:tabs>
                <w:tab w:val="clear" w:pos="426"/>
              </w:tabs>
              <w:spacing w:line="240" w:lineRule="auto"/>
              <w:ind w:left="0" w:firstLine="0"/>
              <w:jc w:val="center"/>
              <w:rPr>
                <w:rFonts w:ascii="Times New Roman" w:hAnsi="Times New Roman" w:cs="Times New Roman"/>
              </w:rPr>
            </w:pPr>
          </w:p>
        </w:tc>
        <w:tc>
          <w:tcPr>
            <w:tcW w:w="4622" w:type="pct"/>
            <w:vAlign w:val="center"/>
          </w:tcPr>
          <w:p>
            <w:pPr>
              <w:pStyle w:val="307"/>
              <w:shd w:val="clear" w:color="auto" w:fill="auto"/>
              <w:rPr>
                <w:rFonts w:ascii="Times New Roman" w:hAnsi="Times New Roman" w:cs="Times New Roman"/>
              </w:rPr>
            </w:pPr>
            <w:r>
              <w:rPr>
                <w:rFonts w:ascii="Times New Roman" w:hAnsi="Times New Roman" w:cs="Times New Roman"/>
              </w:rPr>
              <w:t>法律、法规规定的属于投标无效的其他情形。</w:t>
            </w:r>
          </w:p>
        </w:tc>
      </w:tr>
    </w:tbl>
    <w:p>
      <w:pPr>
        <w:shd w:val="clear" w:color="auto" w:fill="auto"/>
        <w:ind w:firstLine="420"/>
        <w:rPr>
          <w:rFonts w:ascii="Times New Roman" w:hAnsi="Times New Roman" w:cs="Times New Roman"/>
        </w:rPr>
      </w:pP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1"/>
        <w:gridCol w:w="8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5000" w:type="pct"/>
            <w:gridSpan w:val="2"/>
            <w:vAlign w:val="center"/>
          </w:tcPr>
          <w:p>
            <w:pPr>
              <w:shd w:val="clear" w:color="auto" w:fill="auto"/>
              <w:tabs>
                <w:tab w:val="clear" w:pos="426"/>
              </w:tabs>
              <w:spacing w:line="240" w:lineRule="auto"/>
              <w:jc w:val="center"/>
              <w:rPr>
                <w:rFonts w:ascii="Times New Roman" w:hAnsi="Times New Roman" w:cs="Times New Roman"/>
              </w:rPr>
            </w:pPr>
            <w:r>
              <w:rPr>
                <w:rFonts w:ascii="Times New Roman" w:hAnsi="Times New Roman" w:cs="Times New Roman"/>
              </w:rPr>
              <w:t>符合性审查表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378" w:type="pct"/>
            <w:vAlign w:val="center"/>
          </w:tcPr>
          <w:p>
            <w:pPr>
              <w:widowControl w:val="0"/>
              <w:numPr>
                <w:ilvl w:val="0"/>
                <w:numId w:val="26"/>
              </w:numPr>
              <w:shd w:val="clear" w:color="auto" w:fill="auto"/>
              <w:tabs>
                <w:tab w:val="clear" w:pos="426"/>
              </w:tabs>
              <w:spacing w:line="240" w:lineRule="auto"/>
              <w:ind w:left="0" w:firstLine="0"/>
              <w:jc w:val="center"/>
              <w:rPr>
                <w:rFonts w:ascii="Times New Roman" w:hAnsi="Times New Roman" w:cs="Times New Roman"/>
              </w:rPr>
            </w:pPr>
          </w:p>
        </w:tc>
        <w:tc>
          <w:tcPr>
            <w:tcW w:w="4622" w:type="pct"/>
            <w:vAlign w:val="center"/>
          </w:tcPr>
          <w:p>
            <w:pPr>
              <w:pStyle w:val="307"/>
              <w:shd w:val="clear" w:color="auto" w:fill="auto"/>
              <w:rPr>
                <w:rFonts w:ascii="Times New Roman" w:hAnsi="Times New Roman" w:cs="Times New Roman"/>
              </w:rPr>
            </w:pPr>
            <w:r>
              <w:rPr>
                <w:rFonts w:ascii="Times New Roman" w:hAnsi="Times New Roman" w:cs="Times New Roman"/>
              </w:rPr>
              <w:t>将一个包或一个标段的内容拆开投标；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378" w:type="pct"/>
            <w:vAlign w:val="center"/>
          </w:tcPr>
          <w:p>
            <w:pPr>
              <w:widowControl w:val="0"/>
              <w:numPr>
                <w:ilvl w:val="0"/>
                <w:numId w:val="26"/>
              </w:numPr>
              <w:shd w:val="clear" w:color="auto" w:fill="auto"/>
              <w:tabs>
                <w:tab w:val="clear" w:pos="426"/>
              </w:tabs>
              <w:spacing w:line="240" w:lineRule="auto"/>
              <w:ind w:left="0" w:firstLine="0"/>
              <w:jc w:val="center"/>
              <w:rPr>
                <w:rFonts w:ascii="Times New Roman" w:hAnsi="Times New Roman" w:cs="Times New Roman"/>
              </w:rPr>
            </w:pPr>
          </w:p>
        </w:tc>
        <w:tc>
          <w:tcPr>
            <w:tcW w:w="4622" w:type="pct"/>
            <w:vAlign w:val="center"/>
          </w:tcPr>
          <w:p>
            <w:pPr>
              <w:pStyle w:val="307"/>
              <w:shd w:val="clear" w:color="auto" w:fill="auto"/>
              <w:rPr>
                <w:rFonts w:ascii="Times New Roman" w:hAnsi="Times New Roman" w:cs="Times New Roman"/>
              </w:rPr>
            </w:pPr>
            <w:r>
              <w:rPr>
                <w:rFonts w:ascii="Times New Roman" w:hAnsi="Times New Roman" w:cs="Times New Roman"/>
              </w:rPr>
              <w:t>投标文件及开标一览表未按招标文件规定密封、签字、盖章；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378" w:type="pct"/>
            <w:vAlign w:val="center"/>
          </w:tcPr>
          <w:p>
            <w:pPr>
              <w:widowControl w:val="0"/>
              <w:numPr>
                <w:ilvl w:val="0"/>
                <w:numId w:val="26"/>
              </w:numPr>
              <w:shd w:val="clear" w:color="auto" w:fill="auto"/>
              <w:tabs>
                <w:tab w:val="clear" w:pos="426"/>
              </w:tabs>
              <w:spacing w:line="240" w:lineRule="auto"/>
              <w:ind w:left="0" w:firstLine="0"/>
              <w:jc w:val="center"/>
              <w:rPr>
                <w:rFonts w:ascii="Times New Roman" w:hAnsi="Times New Roman" w:cs="Times New Roman"/>
              </w:rPr>
            </w:pPr>
          </w:p>
        </w:tc>
        <w:tc>
          <w:tcPr>
            <w:tcW w:w="4622" w:type="pct"/>
            <w:vAlign w:val="center"/>
          </w:tcPr>
          <w:p>
            <w:pPr>
              <w:pStyle w:val="307"/>
              <w:shd w:val="clear" w:color="auto" w:fill="auto"/>
              <w:rPr>
                <w:rFonts w:ascii="Times New Roman" w:hAnsi="Times New Roman" w:cs="Times New Roman"/>
              </w:rPr>
            </w:pPr>
            <w:r>
              <w:rPr>
                <w:rFonts w:ascii="Times New Roman" w:hAnsi="Times New Roman" w:cs="Times New Roman"/>
              </w:rPr>
              <w:t>对同一项目投标时，提供两套以上的投标方案（招标文件另有规定的除外）；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trPr>
        <w:tc>
          <w:tcPr>
            <w:tcW w:w="378" w:type="pct"/>
            <w:vAlign w:val="center"/>
          </w:tcPr>
          <w:p>
            <w:pPr>
              <w:widowControl w:val="0"/>
              <w:numPr>
                <w:ilvl w:val="0"/>
                <w:numId w:val="26"/>
              </w:numPr>
              <w:shd w:val="clear" w:color="auto" w:fill="auto"/>
              <w:tabs>
                <w:tab w:val="clear" w:pos="426"/>
              </w:tabs>
              <w:spacing w:line="240" w:lineRule="auto"/>
              <w:ind w:left="0" w:firstLine="0"/>
              <w:jc w:val="center"/>
              <w:rPr>
                <w:rFonts w:ascii="Times New Roman" w:hAnsi="Times New Roman" w:cs="Times New Roman"/>
              </w:rPr>
            </w:pPr>
          </w:p>
        </w:tc>
        <w:tc>
          <w:tcPr>
            <w:tcW w:w="4622" w:type="pct"/>
            <w:vAlign w:val="center"/>
          </w:tcPr>
          <w:p>
            <w:pPr>
              <w:pStyle w:val="307"/>
              <w:shd w:val="clear" w:color="auto" w:fill="auto"/>
              <w:rPr>
                <w:rFonts w:ascii="Times New Roman" w:hAnsi="Times New Roman" w:cs="Times New Roman"/>
              </w:rPr>
            </w:pPr>
            <w:r>
              <w:rPr>
                <w:rFonts w:ascii="Times New Roman" w:hAnsi="Times New Roman" w:cs="Times New Roman"/>
              </w:rPr>
              <w:t>未按招标文件所提供的样式填写《投标函》；未按招标文件所提供的《政府采购投标及履约承诺函》进行承诺；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trPr>
        <w:tc>
          <w:tcPr>
            <w:tcW w:w="378" w:type="pct"/>
            <w:vAlign w:val="center"/>
          </w:tcPr>
          <w:p>
            <w:pPr>
              <w:widowControl w:val="0"/>
              <w:numPr>
                <w:ilvl w:val="0"/>
                <w:numId w:val="26"/>
              </w:numPr>
              <w:shd w:val="clear" w:color="auto" w:fill="auto"/>
              <w:tabs>
                <w:tab w:val="clear" w:pos="426"/>
              </w:tabs>
              <w:spacing w:line="240" w:lineRule="auto"/>
              <w:ind w:left="0" w:firstLine="0"/>
              <w:jc w:val="center"/>
              <w:rPr>
                <w:rFonts w:ascii="Times New Roman" w:hAnsi="Times New Roman" w:cs="Times New Roman"/>
              </w:rPr>
            </w:pPr>
          </w:p>
        </w:tc>
        <w:tc>
          <w:tcPr>
            <w:tcW w:w="4622" w:type="pct"/>
            <w:vAlign w:val="center"/>
          </w:tcPr>
          <w:p>
            <w:pPr>
              <w:pStyle w:val="307"/>
              <w:shd w:val="clear" w:color="auto" w:fill="auto"/>
              <w:rPr>
                <w:rFonts w:ascii="Times New Roman" w:hAnsi="Times New Roman" w:cs="Times New Roman"/>
              </w:rPr>
            </w:pPr>
            <w:r>
              <w:rPr>
                <w:rFonts w:ascii="Times New Roman" w:hAnsi="Times New Roman" w:cs="Times New Roman"/>
              </w:rPr>
              <w:t>未按照招标文件规定要求签署、盖章或投标文件没有法定代表人签字，或签字人没有法定代表人有效授权书的；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378" w:type="pct"/>
            <w:vAlign w:val="center"/>
          </w:tcPr>
          <w:p>
            <w:pPr>
              <w:widowControl w:val="0"/>
              <w:numPr>
                <w:ilvl w:val="0"/>
                <w:numId w:val="26"/>
              </w:numPr>
              <w:shd w:val="clear" w:color="auto" w:fill="auto"/>
              <w:tabs>
                <w:tab w:val="clear" w:pos="426"/>
              </w:tabs>
              <w:spacing w:line="240" w:lineRule="auto"/>
              <w:ind w:left="0" w:firstLine="0"/>
              <w:jc w:val="center"/>
              <w:rPr>
                <w:rFonts w:ascii="Times New Roman" w:hAnsi="Times New Roman" w:cs="Times New Roman"/>
              </w:rPr>
            </w:pPr>
          </w:p>
        </w:tc>
        <w:tc>
          <w:tcPr>
            <w:tcW w:w="4622" w:type="pct"/>
            <w:vAlign w:val="center"/>
          </w:tcPr>
          <w:p>
            <w:pPr>
              <w:shd w:val="clear" w:color="auto" w:fill="auto"/>
              <w:tabs>
                <w:tab w:val="clear" w:pos="426"/>
              </w:tabs>
              <w:spacing w:line="240" w:lineRule="auto"/>
              <w:rPr>
                <w:rFonts w:ascii="Times New Roman" w:hAnsi="Times New Roman" w:cs="Times New Roman"/>
              </w:rPr>
            </w:pPr>
            <w:r>
              <w:rPr>
                <w:rFonts w:ascii="Times New Roman" w:hAnsi="Times New Roman" w:cs="Times New Roman"/>
              </w:rPr>
              <w:t>投标总价或分项报价高于预算金额</w:t>
            </w:r>
            <w:r>
              <w:rPr>
                <w:rFonts w:ascii="Times New Roman" w:hAnsi="Times New Roman" w:cs="Times New Roman"/>
                <w:szCs w:val="21"/>
              </w:rPr>
              <w:t>（最高投标限价）</w:t>
            </w:r>
            <w:r>
              <w:rPr>
                <w:rFonts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378" w:type="pct"/>
            <w:vAlign w:val="center"/>
          </w:tcPr>
          <w:p>
            <w:pPr>
              <w:widowControl w:val="0"/>
              <w:numPr>
                <w:ilvl w:val="0"/>
                <w:numId w:val="26"/>
              </w:numPr>
              <w:shd w:val="clear" w:color="auto" w:fill="auto"/>
              <w:tabs>
                <w:tab w:val="clear" w:pos="426"/>
              </w:tabs>
              <w:spacing w:line="240" w:lineRule="auto"/>
              <w:ind w:left="0" w:firstLine="0"/>
              <w:jc w:val="center"/>
              <w:rPr>
                <w:rFonts w:ascii="Times New Roman" w:hAnsi="Times New Roman" w:cs="Times New Roman"/>
              </w:rPr>
            </w:pPr>
          </w:p>
        </w:tc>
        <w:tc>
          <w:tcPr>
            <w:tcW w:w="4622" w:type="pct"/>
            <w:vAlign w:val="center"/>
          </w:tcPr>
          <w:p>
            <w:pPr>
              <w:pStyle w:val="307"/>
              <w:shd w:val="clear" w:color="auto" w:fill="auto"/>
              <w:rPr>
                <w:rFonts w:ascii="Times New Roman" w:hAnsi="Times New Roman" w:cs="Times New Roman"/>
              </w:rPr>
            </w:pPr>
            <w:r>
              <w:rPr>
                <w:rFonts w:ascii="Times New Roman" w:hAnsi="Times New Roman" w:cs="Times New Roman"/>
              </w:rPr>
              <w:t>同一项目出现两个及以上报价，且按规定无法确定哪个是有效报价；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378" w:type="pct"/>
            <w:vAlign w:val="center"/>
          </w:tcPr>
          <w:p>
            <w:pPr>
              <w:widowControl w:val="0"/>
              <w:numPr>
                <w:ilvl w:val="0"/>
                <w:numId w:val="26"/>
              </w:numPr>
              <w:shd w:val="clear" w:color="auto" w:fill="auto"/>
              <w:tabs>
                <w:tab w:val="clear" w:pos="426"/>
              </w:tabs>
              <w:spacing w:line="240" w:lineRule="auto"/>
              <w:ind w:left="0" w:firstLine="0"/>
              <w:jc w:val="center"/>
              <w:rPr>
                <w:rFonts w:ascii="Times New Roman" w:hAnsi="Times New Roman" w:cs="Times New Roman"/>
              </w:rPr>
            </w:pPr>
          </w:p>
        </w:tc>
        <w:tc>
          <w:tcPr>
            <w:tcW w:w="4622" w:type="pct"/>
            <w:vAlign w:val="center"/>
          </w:tcPr>
          <w:p>
            <w:pPr>
              <w:pStyle w:val="307"/>
              <w:shd w:val="clear" w:color="auto" w:fill="auto"/>
              <w:rPr>
                <w:rFonts w:ascii="Times New Roman" w:hAnsi="Times New Roman" w:cs="Times New Roman"/>
              </w:rPr>
            </w:pPr>
            <w:r>
              <w:rPr>
                <w:rFonts w:ascii="Times New Roman" w:hAnsi="Times New Roman" w:cs="Times New Roman"/>
              </w:rPr>
              <w:t>评标委员会认为投标人的报价明显低于其他通过符合性审查投标人的报价，有可能影响产品质量或者不能诚信履约的，且不能在合理的时间内提供书面说明，或无法提交相关证明材料，投标人不能证明其报价合理性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378" w:type="pct"/>
            <w:vAlign w:val="center"/>
          </w:tcPr>
          <w:p>
            <w:pPr>
              <w:widowControl w:val="0"/>
              <w:numPr>
                <w:ilvl w:val="0"/>
                <w:numId w:val="26"/>
              </w:numPr>
              <w:shd w:val="clear" w:color="auto" w:fill="auto"/>
              <w:tabs>
                <w:tab w:val="clear" w:pos="426"/>
              </w:tabs>
              <w:spacing w:line="240" w:lineRule="auto"/>
              <w:ind w:left="0" w:firstLine="0"/>
              <w:jc w:val="center"/>
              <w:rPr>
                <w:rFonts w:ascii="Times New Roman" w:hAnsi="Times New Roman" w:cs="Times New Roman"/>
              </w:rPr>
            </w:pPr>
          </w:p>
        </w:tc>
        <w:tc>
          <w:tcPr>
            <w:tcW w:w="4622" w:type="pct"/>
            <w:vAlign w:val="center"/>
          </w:tcPr>
          <w:p>
            <w:pPr>
              <w:pStyle w:val="307"/>
              <w:shd w:val="clear" w:color="auto" w:fill="auto"/>
              <w:rPr>
                <w:rFonts w:ascii="Times New Roman" w:hAnsi="Times New Roman" w:cs="Times New Roman"/>
              </w:rPr>
            </w:pPr>
            <w:r>
              <w:rPr>
                <w:rFonts w:ascii="Times New Roman" w:hAnsi="Times New Roman" w:cs="Times New Roman"/>
              </w:rPr>
              <w:t>所投产品、工程、服务在商务、技术等方面没有实质性满足招标文件要求的（是否实质性满足招标文件要求，由评标委员会根据《实质性条款响应情况表》做出评判；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378" w:type="pct"/>
            <w:vAlign w:val="center"/>
          </w:tcPr>
          <w:p>
            <w:pPr>
              <w:widowControl w:val="0"/>
              <w:numPr>
                <w:ilvl w:val="0"/>
                <w:numId w:val="26"/>
              </w:numPr>
              <w:shd w:val="clear" w:color="auto" w:fill="auto"/>
              <w:tabs>
                <w:tab w:val="clear" w:pos="426"/>
              </w:tabs>
              <w:spacing w:line="240" w:lineRule="auto"/>
              <w:ind w:left="0" w:firstLine="0"/>
              <w:jc w:val="center"/>
              <w:rPr>
                <w:rFonts w:ascii="Times New Roman" w:hAnsi="Times New Roman" w:cs="Times New Roman"/>
              </w:rPr>
            </w:pPr>
          </w:p>
        </w:tc>
        <w:tc>
          <w:tcPr>
            <w:tcW w:w="4622" w:type="pct"/>
            <w:vAlign w:val="center"/>
          </w:tcPr>
          <w:p>
            <w:pPr>
              <w:pStyle w:val="307"/>
              <w:shd w:val="clear" w:color="auto" w:fill="auto"/>
              <w:rPr>
                <w:rFonts w:ascii="Times New Roman" w:hAnsi="Times New Roman" w:cs="Times New Roman"/>
              </w:rPr>
            </w:pPr>
            <w:r>
              <w:rPr>
                <w:rFonts w:hint="eastAsia" w:ascii="Times New Roman" w:hAnsi="Times New Roman" w:cs="Times New Roman"/>
              </w:rPr>
              <w:t>对招标文件规定的服务（货物）清单（工程量清单）项目及数量进行修改或采购标的响应不全</w:t>
            </w:r>
            <w:r>
              <w:rPr>
                <w:rFonts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378" w:type="pct"/>
            <w:vAlign w:val="center"/>
          </w:tcPr>
          <w:p>
            <w:pPr>
              <w:widowControl w:val="0"/>
              <w:numPr>
                <w:ilvl w:val="0"/>
                <w:numId w:val="26"/>
              </w:numPr>
              <w:shd w:val="clear" w:color="auto" w:fill="auto"/>
              <w:tabs>
                <w:tab w:val="clear" w:pos="426"/>
              </w:tabs>
              <w:spacing w:line="240" w:lineRule="auto"/>
              <w:ind w:left="0" w:firstLine="0"/>
              <w:jc w:val="center"/>
              <w:rPr>
                <w:rFonts w:ascii="Times New Roman" w:hAnsi="Times New Roman" w:cs="Times New Roman"/>
              </w:rPr>
            </w:pPr>
          </w:p>
        </w:tc>
        <w:tc>
          <w:tcPr>
            <w:tcW w:w="4622" w:type="pct"/>
            <w:vAlign w:val="center"/>
          </w:tcPr>
          <w:p>
            <w:pPr>
              <w:pStyle w:val="307"/>
              <w:shd w:val="clear" w:color="auto" w:fill="auto"/>
              <w:rPr>
                <w:rFonts w:ascii="Times New Roman" w:hAnsi="Times New Roman" w:cs="Times New Roman"/>
              </w:rPr>
            </w:pPr>
            <w:r>
              <w:rPr>
                <w:rFonts w:ascii="Times New Roman" w:hAnsi="Times New Roman" w:cs="Times New Roman"/>
              </w:rPr>
              <w:t>投标文件存在招标文件中规定的其它投标无效条款的；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378" w:type="pct"/>
            <w:vAlign w:val="center"/>
          </w:tcPr>
          <w:p>
            <w:pPr>
              <w:widowControl w:val="0"/>
              <w:numPr>
                <w:ilvl w:val="0"/>
                <w:numId w:val="26"/>
              </w:numPr>
              <w:shd w:val="clear" w:color="auto" w:fill="auto"/>
              <w:tabs>
                <w:tab w:val="clear" w:pos="426"/>
              </w:tabs>
              <w:spacing w:line="240" w:lineRule="auto"/>
              <w:ind w:left="0" w:firstLine="0"/>
              <w:jc w:val="center"/>
              <w:rPr>
                <w:rFonts w:ascii="Times New Roman" w:hAnsi="Times New Roman" w:cs="Times New Roman"/>
              </w:rPr>
            </w:pPr>
          </w:p>
        </w:tc>
        <w:tc>
          <w:tcPr>
            <w:tcW w:w="4622" w:type="pct"/>
            <w:vAlign w:val="center"/>
          </w:tcPr>
          <w:p>
            <w:pPr>
              <w:pStyle w:val="307"/>
              <w:shd w:val="clear" w:color="auto" w:fill="auto"/>
              <w:rPr>
                <w:rFonts w:ascii="Times New Roman" w:hAnsi="Times New Roman" w:cs="Times New Roman"/>
              </w:rPr>
            </w:pPr>
            <w:r>
              <w:rPr>
                <w:rFonts w:ascii="Times New Roman" w:hAnsi="Times New Roman" w:cs="Times New Roman"/>
              </w:rPr>
              <w:t>法律、法规规定的属于投标无效的其他情形。</w:t>
            </w:r>
          </w:p>
        </w:tc>
      </w:tr>
    </w:tbl>
    <w:p>
      <w:pPr>
        <w:shd w:val="clear" w:color="auto" w:fill="auto"/>
        <w:ind w:firstLine="420"/>
        <w:rPr>
          <w:rFonts w:ascii="Times New Roman" w:hAnsi="Times New Roman" w:cs="Times New Roman"/>
        </w:rPr>
      </w:pPr>
    </w:p>
    <w:p>
      <w:pPr>
        <w:shd w:val="clear" w:color="auto" w:fill="auto"/>
        <w:tabs>
          <w:tab w:val="clear" w:pos="426"/>
        </w:tabs>
        <w:adjustRightInd/>
        <w:snapToGrid/>
        <w:spacing w:line="240" w:lineRule="auto"/>
        <w:ind w:firstLine="420"/>
        <w:jc w:val="left"/>
        <w:rPr>
          <w:rFonts w:ascii="Times New Roman" w:hAnsi="Times New Roman" w:cs="Times New Roman"/>
        </w:rPr>
      </w:pPr>
      <w:r>
        <w:rPr>
          <w:rFonts w:ascii="Times New Roman" w:hAnsi="Times New Roman" w:cs="Times New Roman"/>
        </w:rPr>
        <w:br w:type="page"/>
      </w:r>
    </w:p>
    <w:p>
      <w:pPr>
        <w:pStyle w:val="321"/>
        <w:shd w:val="clear" w:color="auto" w:fill="auto"/>
        <w:ind w:firstLine="482"/>
        <w:rPr>
          <w:rFonts w:ascii="Times New Roman" w:hAnsi="Times New Roman"/>
        </w:rPr>
      </w:pPr>
      <w:bookmarkStart w:id="6" w:name="_Toc435514846"/>
      <w:r>
        <w:rPr>
          <w:rFonts w:ascii="Times New Roman" w:hAnsi="Times New Roman"/>
        </w:rPr>
        <w:t>评审信息（综合评分法）</w:t>
      </w:r>
    </w:p>
    <w:p>
      <w:pPr>
        <w:widowControl w:val="0"/>
        <w:shd w:val="clear" w:color="auto" w:fill="auto"/>
        <w:tabs>
          <w:tab w:val="clear" w:pos="426"/>
        </w:tabs>
        <w:spacing w:line="300" w:lineRule="auto"/>
        <w:ind w:firstLine="420" w:firstLineChars="200"/>
        <w:rPr>
          <w:rFonts w:ascii="Times New Roman" w:hAnsi="Times New Roman" w:cs="Times New Roman"/>
          <w:bCs/>
          <w:szCs w:val="21"/>
        </w:rPr>
      </w:pPr>
      <w:bookmarkStart w:id="7" w:name="_Hlk2106396"/>
      <w:r>
        <w:rPr>
          <w:rFonts w:ascii="Times New Roman" w:hAnsi="Times New Roman" w:cs="Times New Roman"/>
          <w:bCs/>
          <w:szCs w:val="21"/>
        </w:rPr>
        <w:t>本招标文件所述评标方法和定标方法与招标文件《通用条款》所述不一致之处，以以下方法为准。</w:t>
      </w:r>
    </w:p>
    <w:p>
      <w:pPr>
        <w:widowControl w:val="0"/>
        <w:shd w:val="clear" w:color="auto" w:fill="auto"/>
        <w:tabs>
          <w:tab w:val="clear" w:pos="426"/>
        </w:tabs>
        <w:spacing w:line="300" w:lineRule="auto"/>
        <w:ind w:firstLine="420" w:firstLineChars="200"/>
        <w:rPr>
          <w:rFonts w:ascii="Times New Roman" w:hAnsi="Times New Roman" w:cs="Times New Roman"/>
          <w:bCs/>
          <w:szCs w:val="21"/>
        </w:rPr>
      </w:pPr>
      <w:r>
        <w:rPr>
          <w:rFonts w:ascii="Times New Roman" w:hAnsi="Times New Roman" w:cs="Times New Roman"/>
          <w:bCs/>
          <w:szCs w:val="21"/>
        </w:rPr>
        <w:t>一、评标定标信息</w:t>
      </w:r>
    </w:p>
    <w:p>
      <w:pPr>
        <w:widowControl w:val="0"/>
        <w:shd w:val="clear" w:color="auto" w:fill="auto"/>
        <w:tabs>
          <w:tab w:val="clear" w:pos="426"/>
        </w:tabs>
        <w:spacing w:line="300" w:lineRule="auto"/>
        <w:ind w:firstLine="420" w:firstLineChars="200"/>
        <w:rPr>
          <w:rFonts w:ascii="Times New Roman" w:hAnsi="Times New Roman" w:cs="Times New Roman"/>
          <w:bCs/>
          <w:szCs w:val="21"/>
        </w:rPr>
      </w:pPr>
      <w:r>
        <w:rPr>
          <w:rFonts w:ascii="Times New Roman" w:hAnsi="Times New Roman" w:cs="Times New Roman"/>
          <w:bCs/>
          <w:szCs w:val="21"/>
        </w:rPr>
        <w:t>本项目为非评定分离项目。</w:t>
      </w:r>
    </w:p>
    <w:p>
      <w:pPr>
        <w:widowControl w:val="0"/>
        <w:shd w:val="clear" w:color="auto" w:fill="auto"/>
        <w:tabs>
          <w:tab w:val="clear" w:pos="426"/>
        </w:tabs>
        <w:spacing w:line="300" w:lineRule="auto"/>
        <w:ind w:firstLine="420" w:firstLineChars="200"/>
        <w:rPr>
          <w:rFonts w:ascii="Times New Roman" w:hAnsi="Times New Roman" w:cs="Times New Roman"/>
          <w:bCs/>
          <w:szCs w:val="21"/>
        </w:rPr>
      </w:pPr>
      <w:r>
        <w:rPr>
          <w:rFonts w:ascii="Times New Roman" w:hAnsi="Times New Roman" w:cs="Times New Roman"/>
          <w:bCs/>
          <w:szCs w:val="21"/>
        </w:rPr>
        <w:t>评标方法：综合评分法</w:t>
      </w:r>
    </w:p>
    <w:p>
      <w:pPr>
        <w:widowControl w:val="0"/>
        <w:shd w:val="clear" w:color="auto" w:fill="auto"/>
        <w:tabs>
          <w:tab w:val="clear" w:pos="426"/>
        </w:tabs>
        <w:spacing w:line="300" w:lineRule="auto"/>
        <w:ind w:firstLine="420" w:firstLineChars="200"/>
        <w:rPr>
          <w:rFonts w:ascii="Times New Roman" w:hAnsi="Times New Roman" w:cs="Times New Roman"/>
          <w:bCs/>
          <w:szCs w:val="21"/>
        </w:rPr>
      </w:pPr>
      <w:r>
        <w:rPr>
          <w:rFonts w:ascii="Times New Roman" w:hAnsi="Times New Roman" w:cs="Times New Roman"/>
          <w:bCs/>
          <w:szCs w:val="21"/>
        </w:rPr>
        <w:t>候选中标供应商家数：</w:t>
      </w:r>
      <w:r>
        <w:rPr>
          <w:rFonts w:hint="eastAsia" w:ascii="Times New Roman" w:hAnsi="Times New Roman" w:cs="Times New Roman"/>
          <w:bCs/>
          <w:szCs w:val="21"/>
        </w:rPr>
        <w:t>3</w:t>
      </w:r>
      <w:r>
        <w:rPr>
          <w:rFonts w:hint="eastAsia"/>
        </w:rPr>
        <w:t>（中标或者成交供应商拒绝与采购人签订合同的，采购人可以按照评审报告推荐的中标或者成交候选人名单排序，确定下一候选人为中标或者成交供应商，也可以重新开展政府采购活动。）</w:t>
      </w:r>
    </w:p>
    <w:p>
      <w:pPr>
        <w:widowControl w:val="0"/>
        <w:shd w:val="clear" w:color="auto" w:fill="auto"/>
        <w:tabs>
          <w:tab w:val="clear" w:pos="426"/>
        </w:tabs>
        <w:spacing w:line="300" w:lineRule="auto"/>
        <w:ind w:firstLine="420" w:firstLineChars="200"/>
        <w:rPr>
          <w:rFonts w:ascii="Times New Roman" w:hAnsi="Times New Roman" w:cs="Times New Roman"/>
          <w:bCs/>
          <w:szCs w:val="21"/>
        </w:rPr>
      </w:pPr>
      <w:r>
        <w:rPr>
          <w:rFonts w:ascii="Times New Roman" w:hAnsi="Times New Roman" w:cs="Times New Roman"/>
          <w:bCs/>
          <w:szCs w:val="21"/>
        </w:rPr>
        <w:t>中标供应商家数：1</w:t>
      </w:r>
    </w:p>
    <w:p>
      <w:pPr>
        <w:widowControl w:val="0"/>
        <w:shd w:val="clear" w:color="auto" w:fill="auto"/>
        <w:tabs>
          <w:tab w:val="clear" w:pos="426"/>
        </w:tabs>
        <w:spacing w:line="300" w:lineRule="auto"/>
        <w:ind w:firstLine="420" w:firstLineChars="200"/>
        <w:rPr>
          <w:rFonts w:ascii="Times New Roman" w:hAnsi="Times New Roman" w:cs="Times New Roman"/>
          <w:bCs/>
          <w:szCs w:val="21"/>
        </w:rPr>
      </w:pPr>
      <w:r>
        <w:rPr>
          <w:rFonts w:ascii="Times New Roman" w:hAnsi="Times New Roman" w:cs="Times New Roman"/>
          <w:bCs/>
          <w:szCs w:val="21"/>
        </w:rPr>
        <w:t>二、评审方法</w:t>
      </w:r>
    </w:p>
    <w:p>
      <w:pPr>
        <w:widowControl w:val="0"/>
        <w:shd w:val="clear" w:color="auto" w:fill="auto"/>
        <w:tabs>
          <w:tab w:val="clear" w:pos="426"/>
        </w:tabs>
        <w:spacing w:line="300" w:lineRule="auto"/>
        <w:ind w:firstLine="420" w:firstLineChars="200"/>
        <w:rPr>
          <w:rFonts w:ascii="Times New Roman" w:hAnsi="Times New Roman" w:cs="Times New Roman"/>
          <w:bCs/>
          <w:szCs w:val="21"/>
        </w:rPr>
      </w:pPr>
      <w:r>
        <w:rPr>
          <w:rFonts w:ascii="Times New Roman" w:hAnsi="Times New Roman" w:cs="Times New Roman"/>
          <w:szCs w:val="21"/>
        </w:rPr>
        <w:t>本项目采用综合评分法评审，投标文件应满足招标文件全部实质性要求，且按照评审因素的量化指标进行评审。评审委员会各成员应当独立对每个通过资格性审查和符合性审查且报价不超过预算控制金额的投标人的投标文件进行评审，并汇总每个投标人每项评分因素的评分、评标委员会各成员对每个投标人评分的和，取算术平均值确定每个投标人的评审总得分，并出具评审结论</w:t>
      </w:r>
      <w:r>
        <w:rPr>
          <w:rFonts w:ascii="Times New Roman" w:hAnsi="Times New Roman" w:cs="Times New Roman"/>
          <w:bCs/>
          <w:szCs w:val="21"/>
        </w:rPr>
        <w:t>。</w:t>
      </w:r>
    </w:p>
    <w:p>
      <w:pPr>
        <w:widowControl w:val="0"/>
        <w:shd w:val="clear" w:color="auto" w:fill="auto"/>
        <w:tabs>
          <w:tab w:val="clear" w:pos="426"/>
        </w:tabs>
        <w:spacing w:line="300" w:lineRule="auto"/>
        <w:ind w:firstLine="420" w:firstLineChars="200"/>
        <w:rPr>
          <w:rFonts w:ascii="Times New Roman" w:hAnsi="Times New Roman" w:cs="Times New Roman"/>
          <w:szCs w:val="21"/>
        </w:rPr>
      </w:pPr>
      <w:r>
        <w:rPr>
          <w:rFonts w:ascii="Times New Roman" w:hAnsi="Times New Roman" w:cs="Times New Roman"/>
          <w:szCs w:val="21"/>
        </w:rPr>
        <w:t>候选中标供应商按评审总得分由高到低顺序排列，排名第一的投标人为第一候选中标供应商</w:t>
      </w:r>
      <w:r>
        <w:rPr>
          <w:rFonts w:hint="eastAsia" w:ascii="Times New Roman" w:hAnsi="Times New Roman" w:cs="Times New Roman"/>
          <w:szCs w:val="21"/>
          <w:lang w:eastAsia="zh-CN"/>
        </w:rPr>
        <w:t>，</w:t>
      </w:r>
      <w:r>
        <w:rPr>
          <w:rFonts w:ascii="Times New Roman" w:hAnsi="Times New Roman" w:cs="Times New Roman"/>
          <w:szCs w:val="21"/>
        </w:rPr>
        <w:t>排名第</w:t>
      </w:r>
      <w:r>
        <w:rPr>
          <w:rFonts w:hint="eastAsia" w:ascii="Times New Roman" w:hAnsi="Times New Roman" w:cs="Times New Roman"/>
          <w:szCs w:val="21"/>
          <w:lang w:val="en-US" w:eastAsia="zh-CN"/>
        </w:rPr>
        <w:t>二</w:t>
      </w:r>
      <w:r>
        <w:rPr>
          <w:rFonts w:ascii="Times New Roman" w:hAnsi="Times New Roman" w:cs="Times New Roman"/>
          <w:szCs w:val="21"/>
        </w:rPr>
        <w:t>的投标人为第</w:t>
      </w:r>
      <w:r>
        <w:rPr>
          <w:rFonts w:hint="eastAsia" w:ascii="Times New Roman" w:hAnsi="Times New Roman" w:cs="Times New Roman"/>
          <w:szCs w:val="21"/>
          <w:lang w:val="en-US" w:eastAsia="zh-CN"/>
        </w:rPr>
        <w:t>二</w:t>
      </w:r>
      <w:r>
        <w:rPr>
          <w:rFonts w:ascii="Times New Roman" w:hAnsi="Times New Roman" w:cs="Times New Roman"/>
          <w:szCs w:val="21"/>
        </w:rPr>
        <w:t>候选中标供应商</w:t>
      </w:r>
      <w:r>
        <w:rPr>
          <w:rFonts w:hint="eastAsia" w:ascii="Times New Roman" w:hAnsi="Times New Roman" w:cs="Times New Roman"/>
          <w:szCs w:val="21"/>
          <w:lang w:eastAsia="zh-CN"/>
        </w:rPr>
        <w:t>，</w:t>
      </w:r>
      <w:r>
        <w:rPr>
          <w:rFonts w:ascii="Times New Roman" w:hAnsi="Times New Roman" w:cs="Times New Roman"/>
          <w:szCs w:val="21"/>
        </w:rPr>
        <w:t>排名第</w:t>
      </w:r>
      <w:r>
        <w:rPr>
          <w:rFonts w:hint="eastAsia" w:ascii="Times New Roman" w:hAnsi="Times New Roman" w:cs="Times New Roman"/>
          <w:szCs w:val="21"/>
          <w:lang w:val="en-US" w:eastAsia="zh-CN"/>
        </w:rPr>
        <w:t>三</w:t>
      </w:r>
      <w:r>
        <w:rPr>
          <w:rFonts w:ascii="Times New Roman" w:hAnsi="Times New Roman" w:cs="Times New Roman"/>
          <w:szCs w:val="21"/>
        </w:rPr>
        <w:t>的投标人为第</w:t>
      </w:r>
      <w:r>
        <w:rPr>
          <w:rFonts w:hint="eastAsia" w:ascii="Times New Roman" w:hAnsi="Times New Roman" w:cs="Times New Roman"/>
          <w:szCs w:val="21"/>
          <w:lang w:val="en-US" w:eastAsia="zh-CN"/>
        </w:rPr>
        <w:t>三</w:t>
      </w:r>
      <w:r>
        <w:rPr>
          <w:rFonts w:ascii="Times New Roman" w:hAnsi="Times New Roman" w:cs="Times New Roman"/>
          <w:szCs w:val="21"/>
        </w:rPr>
        <w:t>候选中标供应商</w:t>
      </w:r>
      <w:r>
        <w:rPr>
          <w:rFonts w:hint="eastAsia" w:ascii="Times New Roman" w:hAnsi="Times New Roman" w:cs="Times New Roman"/>
          <w:szCs w:val="21"/>
        </w:rPr>
        <w:t>。</w:t>
      </w:r>
    </w:p>
    <w:p>
      <w:pPr>
        <w:widowControl w:val="0"/>
        <w:shd w:val="clear" w:color="auto" w:fill="auto"/>
        <w:tabs>
          <w:tab w:val="clear" w:pos="426"/>
        </w:tabs>
        <w:spacing w:line="300" w:lineRule="auto"/>
        <w:ind w:firstLine="420" w:firstLineChars="200"/>
        <w:rPr>
          <w:rFonts w:ascii="Times New Roman" w:hAnsi="Times New Roman" w:cs="Times New Roman"/>
          <w:szCs w:val="21"/>
        </w:rPr>
      </w:pPr>
      <w:r>
        <w:rPr>
          <w:rFonts w:ascii="Times New Roman" w:hAnsi="Times New Roman" w:cs="Times New Roman"/>
          <w:szCs w:val="21"/>
        </w:rPr>
        <w:t>候选中标供应商评审总得分相同的，按投标报价由低到高顺序排列；得分且投标报价相同的，按技术指标或服务方案优劣顺序排列；得分且投标报价相同的且技术指标或服务方案优劣相同的，</w:t>
      </w:r>
      <w:r>
        <w:rPr>
          <w:rFonts w:ascii="Times New Roman" w:hAnsi="Times New Roman" w:cs="Times New Roman"/>
          <w:bCs/>
          <w:kern w:val="2"/>
          <w:szCs w:val="21"/>
        </w:rPr>
        <w:t>采取随机抽取方式确定候选中标供应商的推荐资格。</w:t>
      </w:r>
    </w:p>
    <w:p>
      <w:pPr>
        <w:shd w:val="clear" w:color="auto" w:fill="auto"/>
        <w:tabs>
          <w:tab w:val="clear" w:pos="426"/>
        </w:tabs>
        <w:spacing w:line="300" w:lineRule="auto"/>
        <w:ind w:firstLine="420" w:firstLineChars="200"/>
        <w:rPr>
          <w:rFonts w:ascii="Times New Roman" w:hAnsi="Times New Roman" w:cs="Times New Roman"/>
        </w:rPr>
      </w:pPr>
      <w:r>
        <w:rPr>
          <w:rFonts w:ascii="Times New Roman" w:hAnsi="Times New Roman" w:cs="Times New Roma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投标无效处理。</w:t>
      </w:r>
    </w:p>
    <w:p>
      <w:pPr>
        <w:shd w:val="clear" w:color="auto" w:fill="auto"/>
        <w:tabs>
          <w:tab w:val="clear" w:pos="426"/>
        </w:tabs>
        <w:spacing w:line="300" w:lineRule="auto"/>
        <w:ind w:firstLine="420" w:firstLineChars="200"/>
        <w:rPr>
          <w:rFonts w:ascii="Times New Roman" w:hAnsi="Times New Roman" w:cs="Times New Roman"/>
        </w:rPr>
      </w:pPr>
      <w:r>
        <w:rPr>
          <w:rFonts w:ascii="Times New Roman" w:hAnsi="Times New Roman" w:cs="Times New Roman"/>
        </w:rPr>
        <w:t>供应商提供报价合理性说明的方式，包括但不限于现场提交、电子邮件提交等其他便捷方式。若评审委员会成员对是否须由投标人作出报价合理性说明，以及书面说明是否采纳等判断不一致的，按照“少数服从多数”的原则确定评审委员会的意见。</w:t>
      </w:r>
    </w:p>
    <w:p>
      <w:pPr>
        <w:widowControl w:val="0"/>
        <w:shd w:val="clear" w:color="auto" w:fill="auto"/>
        <w:tabs>
          <w:tab w:val="clear" w:pos="426"/>
        </w:tabs>
        <w:spacing w:line="300" w:lineRule="auto"/>
        <w:ind w:firstLine="420" w:firstLineChars="200"/>
        <w:rPr>
          <w:rFonts w:ascii="Times New Roman" w:hAnsi="Times New Roman" w:cs="Times New Roman"/>
          <w:szCs w:val="21"/>
        </w:rPr>
      </w:pPr>
      <w:r>
        <w:rPr>
          <w:rFonts w:ascii="Times New Roman" w:hAnsi="Times New Roman" w:cs="Times New Roman"/>
          <w:szCs w:val="21"/>
        </w:rPr>
        <w:t>三、价格分计算方法</w:t>
      </w:r>
    </w:p>
    <w:p>
      <w:pPr>
        <w:pStyle w:val="305"/>
        <w:rPr>
          <w:rFonts w:ascii="Times New Roman" w:hAnsi="Times New Roman"/>
        </w:rPr>
      </w:pPr>
      <w:r>
        <w:rPr>
          <w:rFonts w:ascii="Times New Roman" w:hAnsi="Times New Roman"/>
        </w:rPr>
        <w:t>依据《深圳市财政局关于严格执行财政部87号令价格分计算规定的通知》（深财购〔2018〕33号）、《政府采购货物和服务招标投标管理办法》（财政部令第87号）第五十五条第六款之规定：价格分应当采用低价优先法计算，即满足招标文件要求且投标价格最低的投标报价为评标基准价，其价格分为满分。其他投标人的价格分统一按照下列公式计算：</w:t>
      </w:r>
    </w:p>
    <w:p>
      <w:pPr>
        <w:pStyle w:val="305"/>
        <w:rPr>
          <w:rFonts w:ascii="Times New Roman" w:hAnsi="Times New Roman"/>
        </w:rPr>
      </w:pPr>
      <w:r>
        <w:rPr>
          <w:rFonts w:ascii="Times New Roman" w:hAnsi="Times New Roman"/>
        </w:rPr>
        <w:t>投标报价得分=(评标基准价／投标报价)×100</w:t>
      </w:r>
    </w:p>
    <w:p>
      <w:pPr>
        <w:pStyle w:val="305"/>
        <w:rPr>
          <w:rFonts w:ascii="Times New Roman" w:hAnsi="Times New Roman"/>
        </w:rPr>
      </w:pPr>
      <w:r>
        <w:rPr>
          <w:rFonts w:ascii="Times New Roman" w:hAnsi="Times New Roman"/>
        </w:rPr>
        <w:t>评标总得分＝F1×A1＋F2×A2＋……＋Fn×An</w:t>
      </w:r>
    </w:p>
    <w:p>
      <w:pPr>
        <w:pStyle w:val="305"/>
        <w:rPr>
          <w:rFonts w:ascii="Times New Roman" w:hAnsi="Times New Roman"/>
        </w:rPr>
      </w:pPr>
      <w:r>
        <w:rPr>
          <w:rFonts w:ascii="Times New Roman" w:hAnsi="Times New Roman"/>
        </w:rPr>
        <w:t>F1、F2……Fn分别为各项评审因素的得分；</w:t>
      </w:r>
    </w:p>
    <w:p>
      <w:pPr>
        <w:pStyle w:val="305"/>
        <w:rPr>
          <w:rFonts w:ascii="Times New Roman" w:hAnsi="Times New Roman"/>
        </w:rPr>
      </w:pPr>
      <w:r>
        <w:rPr>
          <w:rFonts w:ascii="Times New Roman" w:hAnsi="Times New Roman"/>
        </w:rPr>
        <w:t>A1、A2、……An 分别为各项评审因素所占的权重(A1＋A2＋……＋An＝1)。</w:t>
      </w:r>
    </w:p>
    <w:p>
      <w:pPr>
        <w:pStyle w:val="305"/>
        <w:rPr>
          <w:rFonts w:ascii="Times New Roman" w:hAnsi="Times New Roman"/>
        </w:rPr>
      </w:pPr>
      <w:r>
        <w:rPr>
          <w:rFonts w:ascii="Times New Roman" w:hAnsi="Times New Roman"/>
        </w:rPr>
        <w:t>评标过程中，不得去掉报价中的最高报价和最低报价。</w:t>
      </w:r>
    </w:p>
    <w:p>
      <w:pPr>
        <w:pStyle w:val="305"/>
        <w:rPr>
          <w:rFonts w:ascii="Times New Roman" w:hAnsi="Times New Roman"/>
        </w:rPr>
      </w:pPr>
      <w:r>
        <w:rPr>
          <w:rFonts w:ascii="Times New Roman" w:hAnsi="Times New Roman"/>
        </w:rPr>
        <w:t>因落实政府采购政策进行价格调整的，以调整后的价格计算评标基准价和投标报价。</w:t>
      </w:r>
    </w:p>
    <w:p>
      <w:pPr>
        <w:pStyle w:val="305"/>
        <w:rPr>
          <w:rFonts w:ascii="Times New Roman" w:hAnsi="Times New Roman"/>
        </w:rPr>
      </w:pPr>
      <w:r>
        <w:rPr>
          <w:rFonts w:ascii="Times New Roman" w:hAnsi="Times New Roman"/>
        </w:rPr>
        <w:t>在实际评标过程中，《评分细则表》中的“分值”项为各项评审因素的实际分Sn，Sn=Fn×An，评标总得分=S1＋S2＋……＋Sn，投标报价的实际分=(评标基准价／投标报价)×100×价格权重。</w:t>
      </w:r>
    </w:p>
    <w:p>
      <w:pPr>
        <w:shd w:val="clear" w:color="auto" w:fill="auto"/>
        <w:tabs>
          <w:tab w:val="clear" w:pos="426"/>
        </w:tabs>
        <w:spacing w:line="300" w:lineRule="auto"/>
        <w:ind w:firstLine="420" w:firstLineChars="200"/>
        <w:rPr>
          <w:rFonts w:ascii="Times New Roman" w:hAnsi="Times New Roman" w:cs="Times New Roman"/>
          <w:szCs w:val="21"/>
        </w:rPr>
      </w:pPr>
      <w:r>
        <w:rPr>
          <w:rFonts w:ascii="Times New Roman" w:hAnsi="Times New Roman" w:cs="Times New Roman"/>
          <w:szCs w:val="21"/>
        </w:rPr>
        <w:t>四、详细评审</w:t>
      </w:r>
    </w:p>
    <w:p>
      <w:pPr>
        <w:shd w:val="clear" w:color="auto" w:fill="auto"/>
        <w:tabs>
          <w:tab w:val="clear" w:pos="426"/>
        </w:tabs>
        <w:spacing w:line="300" w:lineRule="auto"/>
        <w:ind w:firstLine="420" w:firstLineChars="200"/>
        <w:rPr>
          <w:rFonts w:ascii="Times New Roman" w:hAnsi="Times New Roman" w:cs="Times New Roman"/>
          <w:szCs w:val="21"/>
        </w:rPr>
      </w:pPr>
      <w:r>
        <w:rPr>
          <w:rFonts w:ascii="Times New Roman" w:hAnsi="Times New Roman" w:cs="Times New Roman"/>
          <w:szCs w:val="21"/>
        </w:rPr>
        <w:t>（一）评标专家应对通过投标文件初审进入评标程序的投标文件先评技术标、再评商务标；</w:t>
      </w:r>
    </w:p>
    <w:p>
      <w:pPr>
        <w:shd w:val="clear" w:color="auto" w:fill="auto"/>
        <w:tabs>
          <w:tab w:val="clear" w:pos="426"/>
        </w:tabs>
        <w:spacing w:line="300" w:lineRule="auto"/>
        <w:ind w:firstLine="420" w:firstLineChars="200"/>
        <w:rPr>
          <w:rFonts w:ascii="Times New Roman" w:hAnsi="Times New Roman" w:cs="Times New Roman"/>
          <w:szCs w:val="21"/>
        </w:rPr>
      </w:pPr>
      <w:r>
        <w:rPr>
          <w:rFonts w:ascii="Times New Roman" w:hAnsi="Times New Roman" w:cs="Times New Roman"/>
          <w:szCs w:val="21"/>
        </w:rPr>
        <w:t>（二）评标专家需按招标文件规定的评审标准对投标人提交的投标文件进行评审，投标文件中与评审标准无关的内容不作为评审内容。</w:t>
      </w:r>
    </w:p>
    <w:p>
      <w:pPr>
        <w:shd w:val="clear" w:color="auto" w:fill="auto"/>
        <w:tabs>
          <w:tab w:val="clear" w:pos="426"/>
        </w:tabs>
        <w:spacing w:line="300" w:lineRule="auto"/>
        <w:ind w:firstLine="420" w:firstLineChars="200"/>
        <w:rPr>
          <w:rFonts w:ascii="Times New Roman" w:hAnsi="Times New Roman" w:cs="Times New Roman"/>
          <w:szCs w:val="21"/>
        </w:rPr>
      </w:pPr>
      <w:r>
        <w:rPr>
          <w:rFonts w:ascii="Times New Roman" w:hAnsi="Times New Roman" w:cs="Times New Roman"/>
          <w:szCs w:val="21"/>
        </w:rPr>
        <w:t>（三）评标委员会在评标时，应按照以下量化的评审因素，对各投标文件进行分析和比较：</w:t>
      </w:r>
    </w:p>
    <w:p>
      <w:pPr>
        <w:shd w:val="clear" w:color="auto" w:fill="auto"/>
        <w:tabs>
          <w:tab w:val="clear" w:pos="426"/>
        </w:tabs>
        <w:adjustRightInd/>
        <w:snapToGrid/>
        <w:spacing w:line="240" w:lineRule="auto"/>
        <w:ind w:firstLine="420"/>
        <w:jc w:val="left"/>
        <w:rPr>
          <w:rFonts w:ascii="Times New Roman" w:hAnsi="Times New Roman" w:cs="Times New Roman"/>
          <w:szCs w:val="21"/>
        </w:rPr>
      </w:pPr>
      <w:r>
        <w:rPr>
          <w:rFonts w:ascii="Times New Roman" w:hAnsi="Times New Roman" w:cs="Times New Roman"/>
          <w:szCs w:val="21"/>
        </w:rPr>
        <w:br w:type="page"/>
      </w:r>
    </w:p>
    <w:bookmarkEnd w:id="6"/>
    <w:bookmarkEnd w:id="7"/>
    <w:p>
      <w:pPr>
        <w:pStyle w:val="321"/>
        <w:shd w:val="clear" w:color="auto" w:fill="auto"/>
        <w:ind w:firstLine="482"/>
        <w:rPr>
          <w:rFonts w:ascii="Times New Roman" w:hAnsi="Times New Roman"/>
        </w:rPr>
      </w:pPr>
      <w:bookmarkStart w:id="8" w:name="_Toc432592812"/>
      <w:bookmarkStart w:id="9" w:name="_Hlk24731683"/>
      <w:r>
        <w:rPr>
          <w:rFonts w:ascii="Times New Roman" w:hAnsi="Times New Roman"/>
        </w:rPr>
        <w:t>评分细则表</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692"/>
        <w:gridCol w:w="1445"/>
        <w:gridCol w:w="696"/>
        <w:gridCol w:w="804"/>
        <w:gridCol w:w="4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505" w:type="dxa"/>
            <w:shd w:val="clear" w:color="auto" w:fill="auto"/>
            <w:vAlign w:val="center"/>
          </w:tcPr>
          <w:p>
            <w:pPr>
              <w:shd w:val="clear" w:color="auto" w:fill="auto"/>
              <w:spacing w:line="240" w:lineRule="auto"/>
              <w:jc w:val="center"/>
              <w:rPr>
                <w:b/>
                <w:bCs/>
                <w:szCs w:val="21"/>
              </w:rPr>
            </w:pPr>
            <w:r>
              <w:rPr>
                <w:rFonts w:hint="eastAsia"/>
                <w:b/>
                <w:bCs/>
                <w:color w:val="000000"/>
                <w:szCs w:val="21"/>
              </w:rPr>
              <w:t>序号</w:t>
            </w:r>
          </w:p>
        </w:tc>
        <w:tc>
          <w:tcPr>
            <w:tcW w:w="3637" w:type="dxa"/>
            <w:gridSpan w:val="4"/>
            <w:shd w:val="clear" w:color="auto" w:fill="auto"/>
            <w:vAlign w:val="center"/>
          </w:tcPr>
          <w:p>
            <w:pPr>
              <w:shd w:val="clear" w:color="auto" w:fill="auto"/>
              <w:spacing w:line="240" w:lineRule="auto"/>
              <w:jc w:val="center"/>
              <w:rPr>
                <w:b/>
                <w:bCs/>
                <w:szCs w:val="21"/>
              </w:rPr>
            </w:pPr>
            <w:r>
              <w:rPr>
                <w:rFonts w:hint="eastAsia"/>
                <w:b/>
                <w:bCs/>
                <w:szCs w:val="21"/>
              </w:rPr>
              <w:t>评分项</w:t>
            </w:r>
          </w:p>
        </w:tc>
        <w:tc>
          <w:tcPr>
            <w:tcW w:w="4369" w:type="dxa"/>
            <w:shd w:val="clear" w:color="auto" w:fill="auto"/>
            <w:vAlign w:val="center"/>
          </w:tcPr>
          <w:p>
            <w:pPr>
              <w:shd w:val="clear" w:color="auto" w:fill="auto"/>
              <w:spacing w:line="240" w:lineRule="auto"/>
              <w:jc w:val="center"/>
              <w:rPr>
                <w:b/>
                <w:bCs/>
                <w:szCs w:val="21"/>
              </w:rPr>
            </w:pPr>
            <w:r>
              <w:rPr>
                <w:rFonts w:hint="eastAsia"/>
                <w:b/>
                <w:bCs/>
                <w:color w:val="00000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505" w:type="dxa"/>
            <w:shd w:val="clear" w:color="auto" w:fill="auto"/>
            <w:vAlign w:val="center"/>
          </w:tcPr>
          <w:p>
            <w:pPr>
              <w:shd w:val="clear" w:color="auto" w:fill="auto"/>
              <w:spacing w:line="240" w:lineRule="auto"/>
              <w:jc w:val="center"/>
              <w:rPr>
                <w:b/>
                <w:bCs/>
                <w:szCs w:val="21"/>
              </w:rPr>
            </w:pPr>
            <w:r>
              <w:rPr>
                <w:rFonts w:hint="eastAsia"/>
                <w:b/>
                <w:bCs/>
                <w:color w:val="000000"/>
                <w:szCs w:val="21"/>
              </w:rPr>
              <w:t>1</w:t>
            </w:r>
          </w:p>
        </w:tc>
        <w:tc>
          <w:tcPr>
            <w:tcW w:w="3637" w:type="dxa"/>
            <w:gridSpan w:val="4"/>
            <w:shd w:val="clear" w:color="auto" w:fill="auto"/>
            <w:vAlign w:val="center"/>
          </w:tcPr>
          <w:p>
            <w:pPr>
              <w:shd w:val="clear" w:color="auto" w:fill="auto"/>
              <w:spacing w:line="240" w:lineRule="auto"/>
              <w:jc w:val="center"/>
              <w:rPr>
                <w:b/>
                <w:bCs/>
                <w:color w:val="000000"/>
                <w:szCs w:val="21"/>
              </w:rPr>
            </w:pPr>
            <w:r>
              <w:rPr>
                <w:rFonts w:hint="eastAsia"/>
                <w:b/>
                <w:bCs/>
                <w:color w:val="000000"/>
                <w:szCs w:val="21"/>
              </w:rPr>
              <w:t>价格部分</w:t>
            </w:r>
          </w:p>
        </w:tc>
        <w:tc>
          <w:tcPr>
            <w:tcW w:w="4369" w:type="dxa"/>
            <w:shd w:val="clear" w:color="auto" w:fill="auto"/>
            <w:vAlign w:val="center"/>
          </w:tcPr>
          <w:p>
            <w:pPr>
              <w:shd w:val="clear" w:color="auto" w:fill="auto"/>
              <w:spacing w:line="240" w:lineRule="auto"/>
              <w:jc w:val="center"/>
              <w:rPr>
                <w:szCs w:val="21"/>
              </w:rPr>
            </w:pPr>
            <w:r>
              <w:rPr>
                <w:rFonts w:hint="eastAsia"/>
                <w:b/>
                <w:bCs/>
                <w:color w:val="00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05" w:type="dxa"/>
            <w:vMerge w:val="restart"/>
            <w:shd w:val="clear" w:color="auto" w:fill="auto"/>
            <w:vAlign w:val="center"/>
          </w:tcPr>
          <w:p>
            <w:pPr>
              <w:shd w:val="clear" w:color="auto" w:fill="auto"/>
              <w:spacing w:line="240" w:lineRule="auto"/>
              <w:jc w:val="center"/>
              <w:rPr>
                <w:b/>
                <w:bCs/>
                <w:szCs w:val="21"/>
              </w:rPr>
            </w:pPr>
            <w:r>
              <w:rPr>
                <w:rFonts w:hint="eastAsia"/>
                <w:b/>
                <w:bCs/>
                <w:szCs w:val="21"/>
              </w:rPr>
              <w:t>2</w:t>
            </w:r>
          </w:p>
        </w:tc>
        <w:tc>
          <w:tcPr>
            <w:tcW w:w="3637" w:type="dxa"/>
            <w:gridSpan w:val="4"/>
            <w:shd w:val="clear" w:color="auto" w:fill="auto"/>
            <w:vAlign w:val="center"/>
          </w:tcPr>
          <w:p>
            <w:pPr>
              <w:shd w:val="clear" w:color="auto" w:fill="auto"/>
              <w:spacing w:line="240" w:lineRule="auto"/>
              <w:jc w:val="center"/>
              <w:rPr>
                <w:b/>
                <w:bCs/>
                <w:szCs w:val="21"/>
              </w:rPr>
            </w:pPr>
            <w:r>
              <w:rPr>
                <w:rFonts w:hint="eastAsia"/>
                <w:b/>
                <w:bCs/>
                <w:szCs w:val="21"/>
              </w:rPr>
              <w:t>技术部分</w:t>
            </w:r>
          </w:p>
        </w:tc>
        <w:tc>
          <w:tcPr>
            <w:tcW w:w="4369" w:type="dxa"/>
            <w:shd w:val="clear" w:color="auto" w:fill="auto"/>
            <w:vAlign w:val="center"/>
          </w:tcPr>
          <w:p>
            <w:pPr>
              <w:shd w:val="clear" w:color="auto" w:fill="auto"/>
              <w:spacing w:line="240" w:lineRule="auto"/>
              <w:jc w:val="center"/>
              <w:rPr>
                <w:b/>
                <w:bCs/>
                <w:szCs w:val="21"/>
              </w:rPr>
            </w:pPr>
            <w:r>
              <w:rPr>
                <w:rFonts w:hint="eastAsia"/>
                <w:b/>
                <w:bCs/>
                <w:szCs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505" w:type="dxa"/>
            <w:vMerge w:val="continue"/>
            <w:shd w:val="clear" w:color="auto" w:fill="auto"/>
            <w:vAlign w:val="center"/>
          </w:tcPr>
          <w:p>
            <w:pPr>
              <w:shd w:val="clear" w:color="auto" w:fill="auto"/>
              <w:spacing w:line="240" w:lineRule="auto"/>
              <w:jc w:val="center"/>
              <w:rPr>
                <w:b/>
                <w:bCs/>
                <w:szCs w:val="21"/>
              </w:rPr>
            </w:pPr>
          </w:p>
        </w:tc>
        <w:tc>
          <w:tcPr>
            <w:tcW w:w="692" w:type="dxa"/>
            <w:shd w:val="clear" w:color="auto" w:fill="auto"/>
            <w:vAlign w:val="center"/>
          </w:tcPr>
          <w:p>
            <w:pPr>
              <w:shd w:val="clear" w:color="auto" w:fill="auto"/>
              <w:spacing w:line="240" w:lineRule="auto"/>
              <w:jc w:val="center"/>
              <w:rPr>
                <w:b/>
                <w:bCs/>
                <w:szCs w:val="21"/>
              </w:rPr>
            </w:pPr>
            <w:r>
              <w:rPr>
                <w:rFonts w:hint="eastAsia"/>
                <w:b/>
                <w:bCs/>
                <w:szCs w:val="21"/>
              </w:rPr>
              <w:t>序号</w:t>
            </w:r>
          </w:p>
        </w:tc>
        <w:tc>
          <w:tcPr>
            <w:tcW w:w="1445" w:type="dxa"/>
            <w:shd w:val="clear" w:color="auto" w:fill="auto"/>
            <w:vAlign w:val="center"/>
          </w:tcPr>
          <w:p>
            <w:pPr>
              <w:shd w:val="clear" w:color="auto" w:fill="auto"/>
              <w:spacing w:line="240" w:lineRule="auto"/>
              <w:jc w:val="center"/>
              <w:rPr>
                <w:b/>
                <w:bCs/>
                <w:szCs w:val="21"/>
              </w:rPr>
            </w:pPr>
            <w:r>
              <w:rPr>
                <w:rFonts w:hint="eastAsia"/>
                <w:b/>
                <w:bCs/>
                <w:szCs w:val="21"/>
              </w:rPr>
              <w:t>评分因素</w:t>
            </w:r>
          </w:p>
        </w:tc>
        <w:tc>
          <w:tcPr>
            <w:tcW w:w="696" w:type="dxa"/>
            <w:shd w:val="clear" w:color="auto" w:fill="auto"/>
            <w:vAlign w:val="center"/>
          </w:tcPr>
          <w:p>
            <w:pPr>
              <w:shd w:val="clear" w:color="auto" w:fill="auto"/>
              <w:spacing w:line="240" w:lineRule="auto"/>
              <w:jc w:val="center"/>
              <w:rPr>
                <w:b/>
                <w:bCs/>
                <w:szCs w:val="21"/>
              </w:rPr>
            </w:pPr>
            <w:r>
              <w:rPr>
                <w:rFonts w:hint="eastAsia"/>
                <w:b/>
                <w:bCs/>
                <w:szCs w:val="21"/>
              </w:rPr>
              <w:t>分值</w:t>
            </w:r>
          </w:p>
        </w:tc>
        <w:tc>
          <w:tcPr>
            <w:tcW w:w="804" w:type="dxa"/>
            <w:shd w:val="clear" w:color="auto" w:fill="auto"/>
            <w:vAlign w:val="center"/>
          </w:tcPr>
          <w:p>
            <w:pPr>
              <w:shd w:val="clear" w:color="auto" w:fill="auto"/>
              <w:spacing w:line="240" w:lineRule="auto"/>
              <w:jc w:val="center"/>
              <w:rPr>
                <w:b/>
                <w:bCs/>
                <w:szCs w:val="21"/>
              </w:rPr>
            </w:pPr>
            <w:r>
              <w:rPr>
                <w:rFonts w:hint="eastAsia"/>
                <w:b/>
                <w:bCs/>
                <w:szCs w:val="21"/>
              </w:rPr>
              <w:t>评分方式</w:t>
            </w:r>
          </w:p>
        </w:tc>
        <w:tc>
          <w:tcPr>
            <w:tcW w:w="4369" w:type="dxa"/>
            <w:shd w:val="clear" w:color="auto" w:fill="auto"/>
            <w:vAlign w:val="center"/>
          </w:tcPr>
          <w:p>
            <w:pPr>
              <w:shd w:val="clear" w:color="auto" w:fill="auto"/>
              <w:spacing w:line="240" w:lineRule="auto"/>
              <w:jc w:val="center"/>
              <w:rPr>
                <w:b/>
                <w:bCs/>
                <w:szCs w:val="21"/>
              </w:rPr>
            </w:pPr>
            <w:r>
              <w:rPr>
                <w:rFonts w:hint="eastAsia"/>
                <w:b/>
                <w:bCs/>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6" w:hRule="atLeast"/>
          <w:jc w:val="center"/>
        </w:trPr>
        <w:tc>
          <w:tcPr>
            <w:tcW w:w="505" w:type="dxa"/>
            <w:vMerge w:val="continue"/>
            <w:shd w:val="clear" w:color="auto" w:fill="auto"/>
            <w:vAlign w:val="center"/>
          </w:tcPr>
          <w:p>
            <w:pPr>
              <w:shd w:val="clear" w:color="auto" w:fill="auto"/>
              <w:spacing w:line="240" w:lineRule="auto"/>
              <w:rPr>
                <w:szCs w:val="21"/>
              </w:rPr>
            </w:pPr>
          </w:p>
        </w:tc>
        <w:tc>
          <w:tcPr>
            <w:tcW w:w="692" w:type="dxa"/>
            <w:shd w:val="clear" w:color="auto" w:fill="auto"/>
            <w:vAlign w:val="center"/>
          </w:tcPr>
          <w:p>
            <w:pPr>
              <w:shd w:val="clear" w:color="auto" w:fill="auto"/>
              <w:spacing w:line="240" w:lineRule="auto"/>
              <w:jc w:val="center"/>
              <w:rPr>
                <w:szCs w:val="21"/>
              </w:rPr>
            </w:pPr>
            <w:r>
              <w:rPr>
                <w:rFonts w:hint="eastAsia"/>
                <w:szCs w:val="21"/>
              </w:rPr>
              <w:t>1</w:t>
            </w:r>
          </w:p>
        </w:tc>
        <w:tc>
          <w:tcPr>
            <w:tcW w:w="1445" w:type="dxa"/>
            <w:shd w:val="clear" w:color="auto" w:fill="auto"/>
            <w:vAlign w:val="center"/>
          </w:tcPr>
          <w:p>
            <w:pPr>
              <w:shd w:val="clear" w:color="auto" w:fill="auto"/>
              <w:spacing w:line="240" w:lineRule="auto"/>
              <w:jc w:val="center"/>
              <w:rPr>
                <w:szCs w:val="21"/>
              </w:rPr>
            </w:pPr>
            <w:r>
              <w:rPr>
                <w:rFonts w:hint="eastAsia"/>
                <w:szCs w:val="21"/>
              </w:rPr>
              <w:t>项目总体方案</w:t>
            </w:r>
          </w:p>
        </w:tc>
        <w:tc>
          <w:tcPr>
            <w:tcW w:w="696" w:type="dxa"/>
            <w:shd w:val="clear" w:color="auto" w:fill="auto"/>
            <w:vAlign w:val="center"/>
          </w:tcPr>
          <w:p>
            <w:pPr>
              <w:shd w:val="clear" w:color="auto" w:fill="auto"/>
              <w:spacing w:line="240" w:lineRule="auto"/>
              <w:jc w:val="center"/>
              <w:rPr>
                <w:szCs w:val="21"/>
              </w:rPr>
            </w:pPr>
            <w:r>
              <w:rPr>
                <w:rFonts w:hint="eastAsia"/>
                <w:szCs w:val="21"/>
              </w:rPr>
              <w:t>10</w:t>
            </w:r>
          </w:p>
        </w:tc>
        <w:tc>
          <w:tcPr>
            <w:tcW w:w="804" w:type="dxa"/>
            <w:shd w:val="clear" w:color="auto" w:fill="auto"/>
            <w:vAlign w:val="center"/>
          </w:tcPr>
          <w:p>
            <w:pPr>
              <w:shd w:val="clear" w:color="auto" w:fill="auto"/>
              <w:spacing w:line="240" w:lineRule="auto"/>
              <w:jc w:val="center"/>
              <w:rPr>
                <w:szCs w:val="21"/>
              </w:rPr>
            </w:pPr>
            <w:r>
              <w:rPr>
                <w:rFonts w:hint="eastAsia"/>
                <w:szCs w:val="21"/>
              </w:rPr>
              <w:t>专家评分</w:t>
            </w:r>
          </w:p>
        </w:tc>
        <w:tc>
          <w:tcPr>
            <w:tcW w:w="4369" w:type="dxa"/>
            <w:shd w:val="clear" w:color="auto" w:fill="auto"/>
            <w:vAlign w:val="center"/>
          </w:tcPr>
          <w:p>
            <w:pPr>
              <w:shd w:val="clear" w:color="auto" w:fill="auto"/>
              <w:spacing w:line="240" w:lineRule="auto"/>
              <w:rPr>
                <w:b/>
                <w:bCs/>
                <w:szCs w:val="21"/>
              </w:rPr>
            </w:pPr>
            <w:r>
              <w:rPr>
                <w:rFonts w:hint="eastAsia"/>
                <w:b/>
                <w:bCs/>
                <w:szCs w:val="21"/>
              </w:rPr>
              <w:t>（一）评分内容：</w:t>
            </w:r>
          </w:p>
          <w:p>
            <w:pPr>
              <w:shd w:val="clear" w:color="auto" w:fill="auto"/>
              <w:spacing w:line="240" w:lineRule="auto"/>
              <w:rPr>
                <w:szCs w:val="21"/>
              </w:rPr>
            </w:pPr>
            <w:r>
              <w:rPr>
                <w:rFonts w:hint="eastAsia"/>
                <w:szCs w:val="21"/>
              </w:rPr>
              <w:t>评审委员会根据投标单位的项目总体方案进行评审，包括但不限于以下方案：</w:t>
            </w:r>
          </w:p>
          <w:p>
            <w:pPr>
              <w:pStyle w:val="8"/>
              <w:shd w:val="clear" w:color="auto" w:fill="auto"/>
              <w:spacing w:line="240" w:lineRule="auto"/>
              <w:rPr>
                <w:b w:val="0"/>
                <w:bCs w:val="0"/>
                <w:sz w:val="21"/>
                <w:szCs w:val="21"/>
              </w:rPr>
            </w:pPr>
            <w:r>
              <w:rPr>
                <w:rFonts w:hint="eastAsia"/>
                <w:b w:val="0"/>
                <w:bCs w:val="0"/>
                <w:kern w:val="2"/>
                <w:sz w:val="21"/>
                <w:szCs w:val="21"/>
              </w:rPr>
              <w:t>1.</w:t>
            </w:r>
            <w:r>
              <w:rPr>
                <w:rFonts w:hint="eastAsia"/>
                <w:b w:val="0"/>
                <w:bCs w:val="0"/>
                <w:sz w:val="21"/>
                <w:szCs w:val="21"/>
              </w:rPr>
              <w:t>项目实施组织架构及人员安排与分工；</w:t>
            </w:r>
          </w:p>
          <w:p>
            <w:pPr>
              <w:pStyle w:val="38"/>
              <w:shd w:val="clear" w:color="auto" w:fill="auto"/>
              <w:spacing w:line="240" w:lineRule="auto"/>
              <w:rPr>
                <w:rFonts w:ascii="宋体" w:hAnsi="宋体" w:cs="宋体"/>
                <w:sz w:val="21"/>
                <w:szCs w:val="21"/>
              </w:rPr>
            </w:pPr>
            <w:r>
              <w:rPr>
                <w:rFonts w:hint="eastAsia" w:ascii="宋体" w:hAnsi="宋体" w:cs="宋体"/>
                <w:sz w:val="21"/>
                <w:szCs w:val="21"/>
              </w:rPr>
              <w:t>2.项目进度计划和时间节点安排；</w:t>
            </w:r>
          </w:p>
          <w:p>
            <w:pPr>
              <w:pStyle w:val="38"/>
              <w:shd w:val="clear" w:color="auto" w:fill="auto"/>
              <w:spacing w:line="240" w:lineRule="auto"/>
              <w:rPr>
                <w:rFonts w:ascii="宋体" w:hAnsi="宋体" w:cs="宋体"/>
                <w:sz w:val="21"/>
                <w:szCs w:val="21"/>
              </w:rPr>
            </w:pPr>
            <w:r>
              <w:rPr>
                <w:rFonts w:hint="eastAsia" w:ascii="宋体" w:hAnsi="宋体" w:cs="宋体"/>
                <w:sz w:val="21"/>
                <w:szCs w:val="21"/>
              </w:rPr>
              <w:t>3.工作流程、工作方法和技术保障方案。</w:t>
            </w:r>
          </w:p>
          <w:p>
            <w:pPr>
              <w:shd w:val="clear" w:color="auto" w:fill="auto"/>
              <w:spacing w:line="240" w:lineRule="auto"/>
              <w:rPr>
                <w:b/>
                <w:bCs/>
                <w:szCs w:val="21"/>
              </w:rPr>
            </w:pPr>
            <w:r>
              <w:rPr>
                <w:rFonts w:hint="eastAsia"/>
                <w:b/>
                <w:bCs/>
                <w:szCs w:val="21"/>
              </w:rPr>
              <w:t>（二）评分依据：</w:t>
            </w:r>
          </w:p>
          <w:p>
            <w:pPr>
              <w:shd w:val="clear" w:color="auto" w:fill="auto"/>
              <w:spacing w:line="240" w:lineRule="auto"/>
              <w:rPr>
                <w:szCs w:val="21"/>
              </w:rPr>
            </w:pPr>
            <w:r>
              <w:rPr>
                <w:rFonts w:hint="eastAsia"/>
                <w:szCs w:val="21"/>
              </w:rPr>
              <w:t xml:space="preserve">提供以上3点内容得3分，缺一项扣1分，扣完为止。 </w:t>
            </w:r>
          </w:p>
          <w:p>
            <w:pPr>
              <w:shd w:val="clear" w:color="auto" w:fill="auto"/>
              <w:spacing w:line="240" w:lineRule="auto"/>
              <w:rPr>
                <w:szCs w:val="21"/>
              </w:rPr>
            </w:pPr>
            <w:r>
              <w:rPr>
                <w:rFonts w:hint="eastAsia"/>
                <w:szCs w:val="21"/>
              </w:rPr>
              <w:t>在此基础上，专家根据内容的合理性进行评分:</w:t>
            </w:r>
          </w:p>
          <w:p>
            <w:pPr>
              <w:shd w:val="clear" w:color="auto" w:fill="auto"/>
              <w:spacing w:line="240" w:lineRule="auto"/>
              <w:rPr>
                <w:szCs w:val="21"/>
              </w:rPr>
            </w:pPr>
            <w:r>
              <w:rPr>
                <w:rFonts w:hint="eastAsia"/>
                <w:szCs w:val="21"/>
              </w:rPr>
              <w:t>优评分标准:方案符合实际、完整、规范、思路清晰，内容合理性强。</w:t>
            </w:r>
          </w:p>
          <w:p>
            <w:pPr>
              <w:shd w:val="clear" w:color="auto" w:fill="auto"/>
              <w:spacing w:line="240" w:lineRule="auto"/>
              <w:rPr>
                <w:szCs w:val="21"/>
              </w:rPr>
            </w:pPr>
            <w:r>
              <w:rPr>
                <w:rFonts w:hint="eastAsia"/>
                <w:szCs w:val="21"/>
              </w:rPr>
              <w:t>良评分标准:方案较符合实际、较完整规范、思路较清晰，内容合理性较强。</w:t>
            </w:r>
          </w:p>
          <w:p>
            <w:pPr>
              <w:shd w:val="clear" w:color="auto" w:fill="auto"/>
              <w:spacing w:line="240" w:lineRule="auto"/>
              <w:rPr>
                <w:szCs w:val="21"/>
              </w:rPr>
            </w:pPr>
            <w:r>
              <w:rPr>
                <w:rFonts w:hint="eastAsia"/>
                <w:szCs w:val="21"/>
              </w:rPr>
              <w:t>中评分标准:方案较普通、完整性规范性一般，思路不够清晰，内容合理性一般。</w:t>
            </w:r>
          </w:p>
          <w:p>
            <w:pPr>
              <w:shd w:val="clear" w:color="auto" w:fill="auto"/>
              <w:spacing w:line="240" w:lineRule="auto"/>
              <w:rPr>
                <w:szCs w:val="21"/>
              </w:rPr>
            </w:pPr>
            <w:r>
              <w:rPr>
                <w:rFonts w:hint="eastAsia"/>
                <w:szCs w:val="21"/>
              </w:rPr>
              <w:t>差评分标准方案:不完整、不规范，思路不清晰，内容合理性较差或未提供。</w:t>
            </w:r>
          </w:p>
          <w:p>
            <w:pPr>
              <w:shd w:val="clear" w:color="auto" w:fill="auto"/>
              <w:spacing w:line="240" w:lineRule="auto"/>
              <w:rPr>
                <w:szCs w:val="21"/>
              </w:rPr>
            </w:pPr>
            <w:r>
              <w:rPr>
                <w:rFonts w:hint="eastAsia"/>
                <w:szCs w:val="21"/>
              </w:rPr>
              <w:t>评价为优加7分；</w:t>
            </w:r>
          </w:p>
          <w:p>
            <w:pPr>
              <w:shd w:val="clear" w:color="auto" w:fill="auto"/>
              <w:spacing w:line="240" w:lineRule="auto"/>
              <w:rPr>
                <w:szCs w:val="21"/>
              </w:rPr>
            </w:pPr>
            <w:r>
              <w:rPr>
                <w:rFonts w:hint="eastAsia"/>
                <w:szCs w:val="21"/>
              </w:rPr>
              <w:t>评价为良加5分；</w:t>
            </w:r>
          </w:p>
          <w:p>
            <w:pPr>
              <w:shd w:val="clear" w:color="auto" w:fill="auto"/>
              <w:spacing w:line="240" w:lineRule="auto"/>
              <w:rPr>
                <w:szCs w:val="21"/>
              </w:rPr>
            </w:pPr>
            <w:r>
              <w:rPr>
                <w:rFonts w:hint="eastAsia"/>
                <w:szCs w:val="21"/>
              </w:rPr>
              <w:t>评价为中加2分；</w:t>
            </w:r>
          </w:p>
          <w:p>
            <w:pPr>
              <w:pStyle w:val="8"/>
              <w:shd w:val="clear" w:color="auto" w:fill="auto"/>
              <w:spacing w:line="240" w:lineRule="auto"/>
              <w:rPr>
                <w:szCs w:val="21"/>
              </w:rPr>
            </w:pPr>
            <w:r>
              <w:rPr>
                <w:rFonts w:hint="eastAsia"/>
                <w:sz w:val="21"/>
                <w:szCs w:val="21"/>
              </w:rPr>
              <w:t>评价为差不得分。如评审为差，评审专家须书面说明理由，并记录在档。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5" w:type="dxa"/>
            <w:vMerge w:val="continue"/>
            <w:shd w:val="clear" w:color="auto" w:fill="auto"/>
            <w:vAlign w:val="center"/>
          </w:tcPr>
          <w:p>
            <w:pPr>
              <w:shd w:val="clear" w:color="auto" w:fill="auto"/>
              <w:spacing w:line="240" w:lineRule="auto"/>
              <w:rPr>
                <w:szCs w:val="21"/>
              </w:rPr>
            </w:pPr>
          </w:p>
        </w:tc>
        <w:tc>
          <w:tcPr>
            <w:tcW w:w="692" w:type="dxa"/>
            <w:shd w:val="clear" w:color="auto" w:fill="auto"/>
            <w:vAlign w:val="center"/>
          </w:tcPr>
          <w:p>
            <w:pPr>
              <w:shd w:val="clear" w:color="auto" w:fill="auto"/>
              <w:spacing w:line="240" w:lineRule="auto"/>
              <w:jc w:val="center"/>
              <w:rPr>
                <w:szCs w:val="21"/>
              </w:rPr>
            </w:pPr>
            <w:r>
              <w:rPr>
                <w:rFonts w:hint="eastAsia"/>
                <w:szCs w:val="21"/>
              </w:rPr>
              <w:t>2</w:t>
            </w:r>
          </w:p>
        </w:tc>
        <w:tc>
          <w:tcPr>
            <w:tcW w:w="1445" w:type="dxa"/>
            <w:shd w:val="clear" w:color="auto" w:fill="auto"/>
            <w:vAlign w:val="center"/>
          </w:tcPr>
          <w:p>
            <w:pPr>
              <w:pStyle w:val="8"/>
              <w:shd w:val="clear" w:color="auto" w:fill="auto"/>
              <w:spacing w:line="240" w:lineRule="auto"/>
              <w:jc w:val="center"/>
              <w:rPr>
                <w:sz w:val="21"/>
                <w:szCs w:val="21"/>
              </w:rPr>
            </w:pPr>
            <w:r>
              <w:rPr>
                <w:rFonts w:hint="eastAsia"/>
                <w:b w:val="0"/>
                <w:bCs w:val="0"/>
                <w:sz w:val="21"/>
                <w:szCs w:val="21"/>
              </w:rPr>
              <w:t>图书上下架分类方案</w:t>
            </w:r>
          </w:p>
        </w:tc>
        <w:tc>
          <w:tcPr>
            <w:tcW w:w="696" w:type="dxa"/>
            <w:shd w:val="clear" w:color="auto" w:fill="auto"/>
            <w:vAlign w:val="center"/>
          </w:tcPr>
          <w:p>
            <w:pPr>
              <w:shd w:val="clear" w:color="auto" w:fill="auto"/>
              <w:spacing w:line="240" w:lineRule="auto"/>
              <w:jc w:val="center"/>
              <w:rPr>
                <w:szCs w:val="21"/>
              </w:rPr>
            </w:pPr>
            <w:r>
              <w:rPr>
                <w:rFonts w:hint="eastAsia"/>
                <w:szCs w:val="21"/>
              </w:rPr>
              <w:t>8</w:t>
            </w:r>
          </w:p>
        </w:tc>
        <w:tc>
          <w:tcPr>
            <w:tcW w:w="804" w:type="dxa"/>
            <w:shd w:val="clear" w:color="auto" w:fill="auto"/>
            <w:vAlign w:val="center"/>
          </w:tcPr>
          <w:p>
            <w:pPr>
              <w:shd w:val="clear" w:color="auto" w:fill="auto"/>
              <w:spacing w:line="240" w:lineRule="auto"/>
              <w:jc w:val="center"/>
              <w:rPr>
                <w:szCs w:val="21"/>
              </w:rPr>
            </w:pPr>
            <w:r>
              <w:rPr>
                <w:rFonts w:hint="eastAsia"/>
                <w:szCs w:val="21"/>
              </w:rPr>
              <w:t>专家评分</w:t>
            </w:r>
          </w:p>
        </w:tc>
        <w:tc>
          <w:tcPr>
            <w:tcW w:w="4369" w:type="dxa"/>
            <w:shd w:val="clear" w:color="auto" w:fill="auto"/>
            <w:vAlign w:val="center"/>
          </w:tcPr>
          <w:p>
            <w:pPr>
              <w:shd w:val="clear" w:color="auto" w:fill="auto"/>
              <w:spacing w:line="240" w:lineRule="auto"/>
              <w:rPr>
                <w:b/>
                <w:szCs w:val="21"/>
              </w:rPr>
            </w:pPr>
            <w:r>
              <w:rPr>
                <w:rFonts w:hint="eastAsia"/>
                <w:b/>
                <w:szCs w:val="21"/>
              </w:rPr>
              <w:t>（一）评审内容：</w:t>
            </w:r>
          </w:p>
          <w:p>
            <w:pPr>
              <w:shd w:val="clear" w:color="auto" w:fill="auto"/>
              <w:spacing w:line="240" w:lineRule="auto"/>
              <w:rPr>
                <w:szCs w:val="21"/>
              </w:rPr>
            </w:pPr>
            <w:r>
              <w:rPr>
                <w:rFonts w:hint="eastAsia"/>
                <w:szCs w:val="21"/>
              </w:rPr>
              <w:t>考察投标人针对本项目图书在上下架、包装包含、图书分类等方面的服务措施，包含但不限于以下内容：</w:t>
            </w:r>
          </w:p>
          <w:p>
            <w:pPr>
              <w:shd w:val="clear" w:color="auto" w:fill="auto"/>
              <w:spacing w:line="240" w:lineRule="auto"/>
              <w:rPr>
                <w:szCs w:val="21"/>
              </w:rPr>
            </w:pPr>
            <w:r>
              <w:rPr>
                <w:rFonts w:hint="eastAsia"/>
                <w:szCs w:val="21"/>
              </w:rPr>
              <w:t>1.图书上下架打包服务方案；</w:t>
            </w:r>
          </w:p>
          <w:p>
            <w:pPr>
              <w:shd w:val="clear" w:color="auto" w:fill="auto"/>
              <w:spacing w:line="240" w:lineRule="auto"/>
              <w:rPr>
                <w:szCs w:val="21"/>
              </w:rPr>
            </w:pPr>
            <w:r>
              <w:rPr>
                <w:rFonts w:hint="eastAsia"/>
                <w:szCs w:val="21"/>
              </w:rPr>
              <w:t>2.图书分类方案；</w:t>
            </w:r>
          </w:p>
          <w:p>
            <w:pPr>
              <w:shd w:val="clear" w:color="auto" w:fill="auto"/>
              <w:spacing w:line="240" w:lineRule="auto"/>
              <w:rPr>
                <w:szCs w:val="21"/>
              </w:rPr>
            </w:pPr>
            <w:r>
              <w:rPr>
                <w:rFonts w:hint="eastAsia"/>
                <w:szCs w:val="21"/>
              </w:rPr>
              <w:t>3.图书有序运输和存放方案。</w:t>
            </w:r>
          </w:p>
          <w:p>
            <w:pPr>
              <w:shd w:val="clear" w:color="auto" w:fill="auto"/>
              <w:spacing w:line="240" w:lineRule="auto"/>
              <w:rPr>
                <w:b/>
                <w:bCs/>
                <w:szCs w:val="21"/>
              </w:rPr>
            </w:pPr>
            <w:r>
              <w:rPr>
                <w:rFonts w:hint="eastAsia"/>
                <w:b/>
                <w:bCs/>
                <w:szCs w:val="21"/>
              </w:rPr>
              <w:t>（二）评分依据：</w:t>
            </w:r>
          </w:p>
          <w:p>
            <w:pPr>
              <w:shd w:val="clear" w:color="auto" w:fill="auto"/>
              <w:spacing w:line="240" w:lineRule="auto"/>
              <w:rPr>
                <w:szCs w:val="21"/>
              </w:rPr>
            </w:pPr>
            <w:r>
              <w:rPr>
                <w:rFonts w:hint="eastAsia"/>
                <w:szCs w:val="21"/>
              </w:rPr>
              <w:t xml:space="preserve">提供以上3点内容得3分，缺一项扣1分，扣完为止。 </w:t>
            </w:r>
          </w:p>
          <w:p>
            <w:pPr>
              <w:shd w:val="clear" w:color="auto" w:fill="auto"/>
              <w:spacing w:line="240" w:lineRule="auto"/>
              <w:rPr>
                <w:szCs w:val="21"/>
              </w:rPr>
            </w:pPr>
            <w:r>
              <w:rPr>
                <w:rFonts w:hint="eastAsia"/>
                <w:szCs w:val="21"/>
              </w:rPr>
              <w:t>在此基础上，专家根据内容的合理性进行评分:</w:t>
            </w:r>
          </w:p>
          <w:p>
            <w:pPr>
              <w:shd w:val="clear" w:color="auto" w:fill="auto"/>
              <w:spacing w:line="240" w:lineRule="auto"/>
              <w:rPr>
                <w:szCs w:val="21"/>
              </w:rPr>
            </w:pPr>
            <w:r>
              <w:rPr>
                <w:rFonts w:hint="eastAsia"/>
                <w:szCs w:val="21"/>
              </w:rPr>
              <w:t>优评分标准:方案符合实际、完整、规范、思路清晰，内容合理性强。</w:t>
            </w:r>
          </w:p>
          <w:p>
            <w:pPr>
              <w:shd w:val="clear" w:color="auto" w:fill="auto"/>
              <w:spacing w:line="240" w:lineRule="auto"/>
              <w:rPr>
                <w:szCs w:val="21"/>
              </w:rPr>
            </w:pPr>
            <w:r>
              <w:rPr>
                <w:rFonts w:hint="eastAsia"/>
                <w:szCs w:val="21"/>
              </w:rPr>
              <w:t>良评分标准:方案较符合实际、较完整规范、思路较清晰，内容合理性较强。</w:t>
            </w:r>
          </w:p>
          <w:p>
            <w:pPr>
              <w:shd w:val="clear" w:color="auto" w:fill="auto"/>
              <w:spacing w:line="240" w:lineRule="auto"/>
              <w:rPr>
                <w:szCs w:val="21"/>
              </w:rPr>
            </w:pPr>
            <w:r>
              <w:rPr>
                <w:rFonts w:hint="eastAsia"/>
                <w:szCs w:val="21"/>
              </w:rPr>
              <w:t>中评分标准:方案较普通、完整性规范性一般，思路不够清晰，内容合理性一般。</w:t>
            </w:r>
          </w:p>
          <w:p>
            <w:pPr>
              <w:shd w:val="clear" w:color="auto" w:fill="auto"/>
              <w:spacing w:line="240" w:lineRule="auto"/>
              <w:rPr>
                <w:szCs w:val="21"/>
              </w:rPr>
            </w:pPr>
            <w:r>
              <w:rPr>
                <w:rFonts w:hint="eastAsia"/>
                <w:szCs w:val="21"/>
              </w:rPr>
              <w:t>差评分标准方案:不完整、不规范，思路不清晰，内容合理性较差或未提供。</w:t>
            </w:r>
          </w:p>
          <w:p>
            <w:pPr>
              <w:shd w:val="clear" w:color="auto" w:fill="auto"/>
              <w:spacing w:line="240" w:lineRule="auto"/>
              <w:rPr>
                <w:szCs w:val="21"/>
              </w:rPr>
            </w:pPr>
            <w:r>
              <w:rPr>
                <w:rFonts w:hint="eastAsia"/>
                <w:szCs w:val="21"/>
              </w:rPr>
              <w:t>评价为优加5分；</w:t>
            </w:r>
          </w:p>
          <w:p>
            <w:pPr>
              <w:shd w:val="clear" w:color="auto" w:fill="auto"/>
              <w:spacing w:line="240" w:lineRule="auto"/>
              <w:rPr>
                <w:szCs w:val="21"/>
              </w:rPr>
            </w:pPr>
            <w:r>
              <w:rPr>
                <w:rFonts w:hint="eastAsia"/>
                <w:szCs w:val="21"/>
              </w:rPr>
              <w:t>评价为良加3分；</w:t>
            </w:r>
          </w:p>
          <w:p>
            <w:pPr>
              <w:shd w:val="clear" w:color="auto" w:fill="auto"/>
              <w:spacing w:line="240" w:lineRule="auto"/>
              <w:rPr>
                <w:szCs w:val="21"/>
              </w:rPr>
            </w:pPr>
            <w:r>
              <w:rPr>
                <w:rFonts w:hint="eastAsia"/>
                <w:szCs w:val="21"/>
              </w:rPr>
              <w:t>评价为中加1分；</w:t>
            </w:r>
          </w:p>
          <w:p>
            <w:pPr>
              <w:pStyle w:val="8"/>
              <w:shd w:val="clear" w:color="auto" w:fill="auto"/>
              <w:spacing w:line="240" w:lineRule="auto"/>
              <w:rPr>
                <w:sz w:val="21"/>
                <w:szCs w:val="21"/>
              </w:rPr>
            </w:pPr>
            <w:r>
              <w:rPr>
                <w:rFonts w:hint="eastAsia"/>
                <w:sz w:val="21"/>
                <w:szCs w:val="21"/>
              </w:rPr>
              <w:t>评价为差不得分。如评审为差，评审专家须书面说明理由，并记录在档。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5" w:type="dxa"/>
            <w:vMerge w:val="continue"/>
            <w:shd w:val="clear" w:color="auto" w:fill="auto"/>
            <w:vAlign w:val="center"/>
          </w:tcPr>
          <w:p>
            <w:pPr>
              <w:shd w:val="clear" w:color="auto" w:fill="auto"/>
              <w:spacing w:line="240" w:lineRule="auto"/>
              <w:rPr>
                <w:szCs w:val="21"/>
              </w:rPr>
            </w:pPr>
          </w:p>
        </w:tc>
        <w:tc>
          <w:tcPr>
            <w:tcW w:w="692" w:type="dxa"/>
            <w:shd w:val="clear" w:color="auto" w:fill="auto"/>
            <w:vAlign w:val="center"/>
          </w:tcPr>
          <w:p>
            <w:pPr>
              <w:shd w:val="clear" w:color="auto" w:fill="auto"/>
              <w:spacing w:line="240" w:lineRule="auto"/>
              <w:jc w:val="center"/>
              <w:rPr>
                <w:szCs w:val="21"/>
              </w:rPr>
            </w:pPr>
            <w:r>
              <w:rPr>
                <w:rFonts w:hint="eastAsia"/>
                <w:szCs w:val="21"/>
              </w:rPr>
              <w:t>3</w:t>
            </w:r>
          </w:p>
        </w:tc>
        <w:tc>
          <w:tcPr>
            <w:tcW w:w="1445" w:type="dxa"/>
            <w:shd w:val="clear" w:color="auto" w:fill="auto"/>
            <w:vAlign w:val="center"/>
          </w:tcPr>
          <w:p>
            <w:pPr>
              <w:pStyle w:val="8"/>
              <w:shd w:val="clear" w:color="auto" w:fill="auto"/>
              <w:spacing w:line="240" w:lineRule="auto"/>
              <w:jc w:val="center"/>
              <w:rPr>
                <w:sz w:val="21"/>
                <w:szCs w:val="21"/>
              </w:rPr>
            </w:pPr>
            <w:r>
              <w:rPr>
                <w:rFonts w:hint="eastAsia"/>
                <w:b w:val="0"/>
                <w:bCs w:val="0"/>
                <w:sz w:val="21"/>
                <w:szCs w:val="21"/>
              </w:rPr>
              <w:t>机房搬迁方案</w:t>
            </w:r>
          </w:p>
        </w:tc>
        <w:tc>
          <w:tcPr>
            <w:tcW w:w="696" w:type="dxa"/>
            <w:shd w:val="clear" w:color="auto" w:fill="auto"/>
            <w:vAlign w:val="center"/>
          </w:tcPr>
          <w:p>
            <w:pPr>
              <w:shd w:val="clear" w:color="auto" w:fill="auto"/>
              <w:spacing w:line="240" w:lineRule="auto"/>
              <w:jc w:val="center"/>
              <w:rPr>
                <w:szCs w:val="21"/>
              </w:rPr>
            </w:pPr>
            <w:r>
              <w:rPr>
                <w:rFonts w:hint="eastAsia"/>
                <w:szCs w:val="21"/>
              </w:rPr>
              <w:t>8</w:t>
            </w:r>
          </w:p>
        </w:tc>
        <w:tc>
          <w:tcPr>
            <w:tcW w:w="804" w:type="dxa"/>
            <w:shd w:val="clear" w:color="auto" w:fill="auto"/>
            <w:vAlign w:val="center"/>
          </w:tcPr>
          <w:p>
            <w:pPr>
              <w:shd w:val="clear" w:color="auto" w:fill="auto"/>
              <w:spacing w:line="240" w:lineRule="auto"/>
              <w:jc w:val="center"/>
              <w:rPr>
                <w:szCs w:val="21"/>
              </w:rPr>
            </w:pPr>
            <w:r>
              <w:rPr>
                <w:rFonts w:hint="eastAsia"/>
                <w:szCs w:val="21"/>
              </w:rPr>
              <w:t>专家评分</w:t>
            </w:r>
          </w:p>
        </w:tc>
        <w:tc>
          <w:tcPr>
            <w:tcW w:w="4369" w:type="dxa"/>
            <w:shd w:val="clear" w:color="auto" w:fill="auto"/>
            <w:vAlign w:val="center"/>
          </w:tcPr>
          <w:p>
            <w:pPr>
              <w:shd w:val="clear" w:color="auto" w:fill="auto"/>
              <w:spacing w:line="240" w:lineRule="auto"/>
              <w:rPr>
                <w:b/>
                <w:bCs/>
                <w:szCs w:val="21"/>
              </w:rPr>
            </w:pPr>
            <w:r>
              <w:rPr>
                <w:rFonts w:hint="eastAsia"/>
                <w:b/>
                <w:bCs/>
                <w:szCs w:val="21"/>
              </w:rPr>
              <w:t>（一）评分内容：</w:t>
            </w:r>
          </w:p>
          <w:p>
            <w:pPr>
              <w:shd w:val="clear" w:color="auto" w:fill="auto"/>
              <w:spacing w:line="240" w:lineRule="auto"/>
              <w:rPr>
                <w:szCs w:val="21"/>
              </w:rPr>
            </w:pPr>
            <w:r>
              <w:rPr>
                <w:rFonts w:hint="eastAsia"/>
                <w:szCs w:val="21"/>
              </w:rPr>
              <w:t>考察投标人针对本项目机房、信息设备的拆装调试、包含、搬运等，方案内容包括以下内容:</w:t>
            </w:r>
          </w:p>
          <w:p>
            <w:pPr>
              <w:pStyle w:val="8"/>
              <w:shd w:val="clear" w:color="auto" w:fill="auto"/>
              <w:spacing w:line="240" w:lineRule="auto"/>
              <w:rPr>
                <w:b w:val="0"/>
                <w:bCs w:val="0"/>
                <w:sz w:val="21"/>
                <w:szCs w:val="21"/>
              </w:rPr>
            </w:pPr>
            <w:r>
              <w:rPr>
                <w:rFonts w:hint="eastAsia"/>
                <w:b w:val="0"/>
                <w:bCs w:val="0"/>
                <w:kern w:val="2"/>
                <w:sz w:val="21"/>
                <w:szCs w:val="21"/>
              </w:rPr>
              <w:t>1.</w:t>
            </w:r>
            <w:r>
              <w:rPr>
                <w:rFonts w:hint="eastAsia"/>
                <w:b w:val="0"/>
                <w:bCs w:val="0"/>
                <w:sz w:val="21"/>
                <w:szCs w:val="21"/>
              </w:rPr>
              <w:t>机房等信息设备拆装前期工作方案；</w:t>
            </w:r>
          </w:p>
          <w:p>
            <w:pPr>
              <w:pStyle w:val="38"/>
              <w:shd w:val="clear" w:color="auto" w:fill="auto"/>
              <w:spacing w:line="240" w:lineRule="auto"/>
              <w:rPr>
                <w:rFonts w:ascii="宋体" w:hAnsi="宋体" w:cs="宋体"/>
                <w:sz w:val="21"/>
                <w:szCs w:val="21"/>
              </w:rPr>
            </w:pPr>
            <w:r>
              <w:rPr>
                <w:rFonts w:hint="eastAsia" w:ascii="宋体" w:hAnsi="宋体" w:cs="宋体"/>
                <w:sz w:val="21"/>
                <w:szCs w:val="21"/>
              </w:rPr>
              <w:t>2.机房等信息设备的拆卸、打包、搬运方案；</w:t>
            </w:r>
          </w:p>
          <w:p>
            <w:pPr>
              <w:pStyle w:val="38"/>
              <w:shd w:val="clear" w:color="auto" w:fill="auto"/>
              <w:spacing w:line="240" w:lineRule="auto"/>
              <w:rPr>
                <w:rFonts w:ascii="宋体" w:hAnsi="宋体" w:cs="宋体"/>
                <w:sz w:val="21"/>
                <w:szCs w:val="21"/>
              </w:rPr>
            </w:pPr>
            <w:r>
              <w:rPr>
                <w:rFonts w:hint="eastAsia" w:ascii="宋体" w:hAnsi="宋体" w:cs="宋体"/>
                <w:sz w:val="21"/>
                <w:szCs w:val="21"/>
              </w:rPr>
              <w:t>3.机房等信息设备的安装调试方案。</w:t>
            </w:r>
          </w:p>
          <w:p>
            <w:pPr>
              <w:shd w:val="clear" w:color="auto" w:fill="auto"/>
              <w:spacing w:line="240" w:lineRule="auto"/>
              <w:rPr>
                <w:b/>
                <w:bCs/>
                <w:szCs w:val="21"/>
              </w:rPr>
            </w:pPr>
            <w:r>
              <w:rPr>
                <w:rFonts w:hint="eastAsia"/>
                <w:b/>
                <w:bCs/>
                <w:szCs w:val="21"/>
              </w:rPr>
              <w:t>（二）评分依据：</w:t>
            </w:r>
          </w:p>
          <w:p>
            <w:pPr>
              <w:shd w:val="clear" w:color="auto" w:fill="auto"/>
              <w:spacing w:line="240" w:lineRule="auto"/>
              <w:rPr>
                <w:szCs w:val="21"/>
              </w:rPr>
            </w:pPr>
            <w:r>
              <w:rPr>
                <w:rFonts w:hint="eastAsia"/>
                <w:szCs w:val="21"/>
              </w:rPr>
              <w:t xml:space="preserve">提供以上3点内容得3分，缺一项扣1分，扣完为止。 </w:t>
            </w:r>
          </w:p>
          <w:p>
            <w:pPr>
              <w:shd w:val="clear" w:color="auto" w:fill="auto"/>
              <w:spacing w:line="240" w:lineRule="auto"/>
              <w:rPr>
                <w:szCs w:val="21"/>
              </w:rPr>
            </w:pPr>
            <w:r>
              <w:rPr>
                <w:rFonts w:hint="eastAsia"/>
                <w:szCs w:val="21"/>
              </w:rPr>
              <w:t>在此基础上，专家根据内容的合理性进行评分:</w:t>
            </w:r>
          </w:p>
          <w:p>
            <w:pPr>
              <w:shd w:val="clear" w:color="auto" w:fill="auto"/>
              <w:spacing w:line="240" w:lineRule="auto"/>
              <w:rPr>
                <w:szCs w:val="21"/>
              </w:rPr>
            </w:pPr>
            <w:r>
              <w:rPr>
                <w:rFonts w:hint="eastAsia"/>
                <w:szCs w:val="21"/>
              </w:rPr>
              <w:t>优评分标准:方案符合实际、完整、规范、思路清晰，内容合理性强。</w:t>
            </w:r>
          </w:p>
          <w:p>
            <w:pPr>
              <w:shd w:val="clear" w:color="auto" w:fill="auto"/>
              <w:spacing w:line="240" w:lineRule="auto"/>
              <w:rPr>
                <w:szCs w:val="21"/>
              </w:rPr>
            </w:pPr>
            <w:r>
              <w:rPr>
                <w:rFonts w:hint="eastAsia"/>
                <w:szCs w:val="21"/>
              </w:rPr>
              <w:t>良评分标准:方案较符合实际、较完整规范、思路较清晰，内容合理性较强。</w:t>
            </w:r>
          </w:p>
          <w:p>
            <w:pPr>
              <w:shd w:val="clear" w:color="auto" w:fill="auto"/>
              <w:spacing w:line="240" w:lineRule="auto"/>
              <w:rPr>
                <w:szCs w:val="21"/>
              </w:rPr>
            </w:pPr>
            <w:r>
              <w:rPr>
                <w:rFonts w:hint="eastAsia"/>
                <w:szCs w:val="21"/>
              </w:rPr>
              <w:t>中评分标准:方案较普通、完整性规范性一般，思路不够清晰，内容合理性一般。</w:t>
            </w:r>
          </w:p>
          <w:p>
            <w:pPr>
              <w:shd w:val="clear" w:color="auto" w:fill="auto"/>
              <w:spacing w:line="240" w:lineRule="auto"/>
              <w:rPr>
                <w:szCs w:val="21"/>
              </w:rPr>
            </w:pPr>
            <w:r>
              <w:rPr>
                <w:rFonts w:hint="eastAsia"/>
                <w:szCs w:val="21"/>
              </w:rPr>
              <w:t>差评分标准方案:不完整、不规范，思路不清晰，内容合理性较差或未提供。</w:t>
            </w:r>
          </w:p>
          <w:p>
            <w:pPr>
              <w:shd w:val="clear" w:color="auto" w:fill="auto"/>
              <w:spacing w:line="240" w:lineRule="auto"/>
              <w:rPr>
                <w:szCs w:val="21"/>
              </w:rPr>
            </w:pPr>
            <w:r>
              <w:rPr>
                <w:rFonts w:hint="eastAsia"/>
                <w:szCs w:val="21"/>
              </w:rPr>
              <w:t>评价为优加5分；</w:t>
            </w:r>
          </w:p>
          <w:p>
            <w:pPr>
              <w:shd w:val="clear" w:color="auto" w:fill="auto"/>
              <w:spacing w:line="240" w:lineRule="auto"/>
              <w:rPr>
                <w:szCs w:val="21"/>
              </w:rPr>
            </w:pPr>
            <w:r>
              <w:rPr>
                <w:rFonts w:hint="eastAsia"/>
                <w:szCs w:val="21"/>
              </w:rPr>
              <w:t>评价为良加3分；</w:t>
            </w:r>
          </w:p>
          <w:p>
            <w:pPr>
              <w:shd w:val="clear" w:color="auto" w:fill="auto"/>
              <w:spacing w:line="240" w:lineRule="auto"/>
              <w:rPr>
                <w:szCs w:val="21"/>
              </w:rPr>
            </w:pPr>
            <w:r>
              <w:rPr>
                <w:rFonts w:hint="eastAsia"/>
                <w:szCs w:val="21"/>
              </w:rPr>
              <w:t>评价为中加1分；</w:t>
            </w:r>
          </w:p>
          <w:p>
            <w:pPr>
              <w:pStyle w:val="8"/>
              <w:shd w:val="clear" w:color="auto" w:fill="auto"/>
              <w:spacing w:line="240" w:lineRule="auto"/>
              <w:rPr>
                <w:sz w:val="21"/>
                <w:szCs w:val="21"/>
              </w:rPr>
            </w:pPr>
            <w:r>
              <w:rPr>
                <w:rFonts w:hint="eastAsia"/>
                <w:sz w:val="21"/>
                <w:szCs w:val="21"/>
              </w:rPr>
              <w:t>评价为差不得分。如评审为差，评审专家须书面说明理由，并记录在档。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5" w:type="dxa"/>
            <w:vMerge w:val="continue"/>
            <w:shd w:val="clear" w:color="auto" w:fill="auto"/>
            <w:vAlign w:val="center"/>
          </w:tcPr>
          <w:p>
            <w:pPr>
              <w:shd w:val="clear" w:color="auto" w:fill="auto"/>
              <w:spacing w:line="240" w:lineRule="auto"/>
              <w:rPr>
                <w:szCs w:val="21"/>
              </w:rPr>
            </w:pPr>
          </w:p>
        </w:tc>
        <w:tc>
          <w:tcPr>
            <w:tcW w:w="692" w:type="dxa"/>
            <w:shd w:val="clear" w:color="auto" w:fill="auto"/>
            <w:vAlign w:val="center"/>
          </w:tcPr>
          <w:p>
            <w:pPr>
              <w:shd w:val="clear" w:color="auto" w:fill="auto"/>
              <w:spacing w:line="240" w:lineRule="auto"/>
              <w:jc w:val="center"/>
              <w:rPr>
                <w:szCs w:val="21"/>
              </w:rPr>
            </w:pPr>
            <w:r>
              <w:rPr>
                <w:rFonts w:hint="eastAsia"/>
                <w:szCs w:val="21"/>
              </w:rPr>
              <w:t>4</w:t>
            </w:r>
          </w:p>
        </w:tc>
        <w:tc>
          <w:tcPr>
            <w:tcW w:w="1445" w:type="dxa"/>
            <w:shd w:val="clear" w:color="auto" w:fill="auto"/>
            <w:vAlign w:val="center"/>
          </w:tcPr>
          <w:p>
            <w:pPr>
              <w:shd w:val="clear" w:color="auto" w:fill="auto"/>
              <w:spacing w:line="240" w:lineRule="auto"/>
              <w:jc w:val="center"/>
              <w:rPr>
                <w:szCs w:val="21"/>
              </w:rPr>
            </w:pPr>
            <w:r>
              <w:rPr>
                <w:rFonts w:hint="eastAsia"/>
                <w:szCs w:val="21"/>
              </w:rPr>
              <w:t>项目重点难点分析、应对措施及相关的合理化建议</w:t>
            </w:r>
          </w:p>
        </w:tc>
        <w:tc>
          <w:tcPr>
            <w:tcW w:w="696" w:type="dxa"/>
            <w:shd w:val="clear" w:color="auto" w:fill="auto"/>
            <w:vAlign w:val="center"/>
          </w:tcPr>
          <w:p>
            <w:pPr>
              <w:shd w:val="clear" w:color="auto" w:fill="auto"/>
              <w:spacing w:line="240" w:lineRule="auto"/>
              <w:jc w:val="center"/>
              <w:rPr>
                <w:szCs w:val="21"/>
              </w:rPr>
            </w:pPr>
            <w:r>
              <w:rPr>
                <w:rFonts w:hint="eastAsia"/>
                <w:szCs w:val="21"/>
              </w:rPr>
              <w:t>8</w:t>
            </w:r>
          </w:p>
        </w:tc>
        <w:tc>
          <w:tcPr>
            <w:tcW w:w="804" w:type="dxa"/>
            <w:shd w:val="clear" w:color="auto" w:fill="auto"/>
            <w:vAlign w:val="center"/>
          </w:tcPr>
          <w:p>
            <w:pPr>
              <w:shd w:val="clear" w:color="auto" w:fill="auto"/>
              <w:spacing w:line="240" w:lineRule="auto"/>
              <w:jc w:val="center"/>
              <w:rPr>
                <w:szCs w:val="21"/>
              </w:rPr>
            </w:pPr>
            <w:r>
              <w:rPr>
                <w:rFonts w:hint="eastAsia"/>
                <w:szCs w:val="21"/>
              </w:rPr>
              <w:t>专家评分</w:t>
            </w:r>
          </w:p>
        </w:tc>
        <w:tc>
          <w:tcPr>
            <w:tcW w:w="4369" w:type="dxa"/>
            <w:shd w:val="clear" w:color="auto" w:fill="auto"/>
            <w:vAlign w:val="center"/>
          </w:tcPr>
          <w:p>
            <w:pPr>
              <w:shd w:val="clear" w:color="auto" w:fill="auto"/>
              <w:spacing w:line="240" w:lineRule="auto"/>
              <w:rPr>
                <w:b/>
                <w:bCs/>
                <w:szCs w:val="21"/>
              </w:rPr>
            </w:pPr>
            <w:r>
              <w:rPr>
                <w:rFonts w:hint="eastAsia"/>
                <w:b/>
                <w:bCs/>
                <w:szCs w:val="21"/>
              </w:rPr>
              <w:t>（一）评分内容：</w:t>
            </w:r>
          </w:p>
          <w:p>
            <w:pPr>
              <w:shd w:val="clear" w:color="auto" w:fill="auto"/>
              <w:spacing w:line="240" w:lineRule="auto"/>
              <w:rPr>
                <w:szCs w:val="21"/>
              </w:rPr>
            </w:pPr>
            <w:r>
              <w:rPr>
                <w:rFonts w:hint="eastAsia"/>
                <w:szCs w:val="21"/>
              </w:rPr>
              <w:t>考察针对本项目的项目重点难点分析、应对措施及相关的合理化建议，方案内容包括以下内容:</w:t>
            </w:r>
          </w:p>
          <w:p>
            <w:pPr>
              <w:shd w:val="clear" w:color="auto" w:fill="auto"/>
              <w:spacing w:line="240" w:lineRule="auto"/>
              <w:rPr>
                <w:szCs w:val="21"/>
              </w:rPr>
            </w:pPr>
            <w:r>
              <w:rPr>
                <w:rFonts w:hint="eastAsia"/>
                <w:szCs w:val="21"/>
              </w:rPr>
              <w:t>1.阐述本项目的重点难点；</w:t>
            </w:r>
          </w:p>
          <w:p>
            <w:pPr>
              <w:shd w:val="clear" w:color="auto" w:fill="auto"/>
              <w:spacing w:line="240" w:lineRule="auto"/>
              <w:rPr>
                <w:szCs w:val="21"/>
              </w:rPr>
            </w:pPr>
            <w:r>
              <w:rPr>
                <w:rFonts w:hint="eastAsia"/>
                <w:szCs w:val="21"/>
              </w:rPr>
              <w:t>2.根据项目重点难点，阐述应对措施；</w:t>
            </w:r>
          </w:p>
          <w:p>
            <w:pPr>
              <w:shd w:val="clear" w:color="auto" w:fill="auto"/>
              <w:spacing w:line="240" w:lineRule="auto"/>
              <w:rPr>
                <w:szCs w:val="21"/>
              </w:rPr>
            </w:pPr>
            <w:r>
              <w:rPr>
                <w:rFonts w:hint="eastAsia"/>
                <w:szCs w:val="21"/>
              </w:rPr>
              <w:t>3.针对项目提出合理化建议。</w:t>
            </w:r>
          </w:p>
          <w:p>
            <w:pPr>
              <w:shd w:val="clear" w:color="auto" w:fill="auto"/>
              <w:spacing w:line="240" w:lineRule="auto"/>
              <w:rPr>
                <w:b/>
                <w:bCs/>
                <w:szCs w:val="21"/>
              </w:rPr>
            </w:pPr>
            <w:r>
              <w:rPr>
                <w:rFonts w:hint="eastAsia"/>
                <w:b/>
                <w:bCs/>
                <w:szCs w:val="21"/>
              </w:rPr>
              <w:t>（二）评分依据：</w:t>
            </w:r>
          </w:p>
          <w:p>
            <w:pPr>
              <w:shd w:val="clear" w:color="auto" w:fill="auto"/>
              <w:spacing w:line="240" w:lineRule="auto"/>
              <w:rPr>
                <w:szCs w:val="21"/>
              </w:rPr>
            </w:pPr>
            <w:r>
              <w:rPr>
                <w:rFonts w:hint="eastAsia"/>
                <w:szCs w:val="21"/>
              </w:rPr>
              <w:t xml:space="preserve">提供以上3点内容得3分，缺一项扣1分，扣完为止。 </w:t>
            </w:r>
          </w:p>
          <w:p>
            <w:pPr>
              <w:shd w:val="clear" w:color="auto" w:fill="auto"/>
              <w:spacing w:line="240" w:lineRule="auto"/>
              <w:rPr>
                <w:szCs w:val="21"/>
              </w:rPr>
            </w:pPr>
            <w:r>
              <w:rPr>
                <w:rFonts w:hint="eastAsia"/>
                <w:szCs w:val="21"/>
              </w:rPr>
              <w:t>在此基础上，专家根据内容的合理性进行评分:</w:t>
            </w:r>
          </w:p>
          <w:p>
            <w:pPr>
              <w:shd w:val="clear" w:color="auto" w:fill="auto"/>
              <w:spacing w:line="240" w:lineRule="auto"/>
              <w:rPr>
                <w:szCs w:val="21"/>
              </w:rPr>
            </w:pPr>
            <w:r>
              <w:rPr>
                <w:rFonts w:hint="eastAsia"/>
                <w:szCs w:val="21"/>
              </w:rPr>
              <w:t>优评分标准:方案符合实际、完整、规范、思路清晰，内容合理性强。</w:t>
            </w:r>
          </w:p>
          <w:p>
            <w:pPr>
              <w:shd w:val="clear" w:color="auto" w:fill="auto"/>
              <w:spacing w:line="240" w:lineRule="auto"/>
              <w:rPr>
                <w:szCs w:val="21"/>
              </w:rPr>
            </w:pPr>
            <w:r>
              <w:rPr>
                <w:rFonts w:hint="eastAsia"/>
                <w:szCs w:val="21"/>
              </w:rPr>
              <w:t>良评分标准:方案较符合实际、较完整规范、思路较清晰，内容合理性较强。</w:t>
            </w:r>
          </w:p>
          <w:p>
            <w:pPr>
              <w:shd w:val="clear" w:color="auto" w:fill="auto"/>
              <w:spacing w:line="240" w:lineRule="auto"/>
              <w:rPr>
                <w:szCs w:val="21"/>
              </w:rPr>
            </w:pPr>
            <w:r>
              <w:rPr>
                <w:rFonts w:hint="eastAsia"/>
                <w:szCs w:val="21"/>
              </w:rPr>
              <w:t>中评分标准方案较普通、完整性、规范性一般，思路不够清晰，内容合理性般。</w:t>
            </w:r>
          </w:p>
          <w:p>
            <w:pPr>
              <w:shd w:val="clear" w:color="auto" w:fill="auto"/>
              <w:spacing w:line="240" w:lineRule="auto"/>
              <w:rPr>
                <w:szCs w:val="21"/>
              </w:rPr>
            </w:pPr>
            <w:r>
              <w:rPr>
                <w:rFonts w:hint="eastAsia"/>
                <w:szCs w:val="21"/>
              </w:rPr>
              <w:t>差评分标准:方案不完整、不规范，思路不清晰，内容合理性较差或末提供。</w:t>
            </w:r>
          </w:p>
          <w:p>
            <w:pPr>
              <w:shd w:val="clear" w:color="auto" w:fill="auto"/>
              <w:spacing w:line="240" w:lineRule="auto"/>
              <w:rPr>
                <w:szCs w:val="21"/>
              </w:rPr>
            </w:pPr>
            <w:r>
              <w:rPr>
                <w:rFonts w:hint="eastAsia"/>
                <w:szCs w:val="21"/>
              </w:rPr>
              <w:t>评价为优加5分；</w:t>
            </w:r>
          </w:p>
          <w:p>
            <w:pPr>
              <w:shd w:val="clear" w:color="auto" w:fill="auto"/>
              <w:spacing w:line="240" w:lineRule="auto"/>
              <w:rPr>
                <w:szCs w:val="21"/>
              </w:rPr>
            </w:pPr>
            <w:r>
              <w:rPr>
                <w:rFonts w:hint="eastAsia"/>
                <w:szCs w:val="21"/>
              </w:rPr>
              <w:t>评价为良加3分；</w:t>
            </w:r>
          </w:p>
          <w:p>
            <w:pPr>
              <w:shd w:val="clear" w:color="auto" w:fill="auto"/>
              <w:spacing w:line="240" w:lineRule="auto"/>
              <w:rPr>
                <w:szCs w:val="21"/>
              </w:rPr>
            </w:pPr>
            <w:r>
              <w:rPr>
                <w:rFonts w:hint="eastAsia"/>
                <w:szCs w:val="21"/>
              </w:rPr>
              <w:t>评价为中加1分；</w:t>
            </w:r>
          </w:p>
          <w:p>
            <w:pPr>
              <w:pStyle w:val="8"/>
              <w:shd w:val="clear" w:color="auto" w:fill="auto"/>
              <w:spacing w:line="240" w:lineRule="auto"/>
              <w:rPr>
                <w:szCs w:val="21"/>
              </w:rPr>
            </w:pPr>
            <w:r>
              <w:rPr>
                <w:rFonts w:hint="eastAsia"/>
                <w:sz w:val="21"/>
                <w:szCs w:val="21"/>
              </w:rPr>
              <w:t>评价为差不得分。如评审为差，评审专家须书面说明理由，并记录在档。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5" w:type="dxa"/>
            <w:vMerge w:val="continue"/>
            <w:shd w:val="clear" w:color="auto" w:fill="auto"/>
            <w:vAlign w:val="center"/>
          </w:tcPr>
          <w:p>
            <w:pPr>
              <w:shd w:val="clear" w:color="auto" w:fill="auto"/>
              <w:spacing w:line="240" w:lineRule="auto"/>
              <w:rPr>
                <w:szCs w:val="21"/>
              </w:rPr>
            </w:pPr>
          </w:p>
        </w:tc>
        <w:tc>
          <w:tcPr>
            <w:tcW w:w="692" w:type="dxa"/>
            <w:shd w:val="clear" w:color="auto" w:fill="auto"/>
            <w:vAlign w:val="center"/>
          </w:tcPr>
          <w:p>
            <w:pPr>
              <w:shd w:val="clear" w:color="auto" w:fill="auto"/>
              <w:spacing w:line="240" w:lineRule="auto"/>
              <w:jc w:val="center"/>
              <w:rPr>
                <w:szCs w:val="21"/>
              </w:rPr>
            </w:pPr>
            <w:r>
              <w:rPr>
                <w:rFonts w:hint="eastAsia"/>
                <w:szCs w:val="21"/>
              </w:rPr>
              <w:t>5</w:t>
            </w:r>
          </w:p>
        </w:tc>
        <w:tc>
          <w:tcPr>
            <w:tcW w:w="1445" w:type="dxa"/>
            <w:shd w:val="clear" w:color="auto" w:fill="auto"/>
            <w:vAlign w:val="center"/>
          </w:tcPr>
          <w:p>
            <w:pPr>
              <w:pStyle w:val="8"/>
              <w:shd w:val="clear" w:color="auto" w:fill="auto"/>
              <w:spacing w:line="240" w:lineRule="auto"/>
              <w:jc w:val="center"/>
              <w:rPr>
                <w:sz w:val="21"/>
                <w:szCs w:val="21"/>
              </w:rPr>
            </w:pPr>
            <w:r>
              <w:rPr>
                <w:rFonts w:hint="eastAsia"/>
                <w:b w:val="0"/>
                <w:bCs w:val="0"/>
                <w:sz w:val="21"/>
                <w:szCs w:val="21"/>
              </w:rPr>
              <w:t>质量与安全保障措施</w:t>
            </w:r>
          </w:p>
        </w:tc>
        <w:tc>
          <w:tcPr>
            <w:tcW w:w="696" w:type="dxa"/>
            <w:shd w:val="clear" w:color="auto" w:fill="auto"/>
            <w:vAlign w:val="center"/>
          </w:tcPr>
          <w:p>
            <w:pPr>
              <w:shd w:val="clear" w:color="auto" w:fill="auto"/>
              <w:spacing w:line="240" w:lineRule="auto"/>
              <w:jc w:val="center"/>
              <w:rPr>
                <w:szCs w:val="21"/>
              </w:rPr>
            </w:pPr>
            <w:r>
              <w:rPr>
                <w:rFonts w:hint="eastAsia"/>
                <w:szCs w:val="21"/>
              </w:rPr>
              <w:t>10</w:t>
            </w:r>
          </w:p>
        </w:tc>
        <w:tc>
          <w:tcPr>
            <w:tcW w:w="804" w:type="dxa"/>
            <w:shd w:val="clear" w:color="auto" w:fill="auto"/>
            <w:vAlign w:val="center"/>
          </w:tcPr>
          <w:p>
            <w:pPr>
              <w:shd w:val="clear" w:color="auto" w:fill="auto"/>
              <w:spacing w:line="240" w:lineRule="auto"/>
              <w:jc w:val="center"/>
              <w:rPr>
                <w:szCs w:val="21"/>
              </w:rPr>
            </w:pPr>
            <w:r>
              <w:rPr>
                <w:rFonts w:hint="eastAsia"/>
                <w:szCs w:val="21"/>
              </w:rPr>
              <w:t>专家评分</w:t>
            </w:r>
          </w:p>
        </w:tc>
        <w:tc>
          <w:tcPr>
            <w:tcW w:w="4369" w:type="dxa"/>
            <w:shd w:val="clear" w:color="auto" w:fill="auto"/>
            <w:vAlign w:val="center"/>
          </w:tcPr>
          <w:p>
            <w:pPr>
              <w:shd w:val="clear" w:color="auto" w:fill="auto"/>
              <w:spacing w:line="240" w:lineRule="auto"/>
              <w:rPr>
                <w:b/>
                <w:szCs w:val="21"/>
              </w:rPr>
            </w:pPr>
            <w:r>
              <w:rPr>
                <w:rFonts w:hint="eastAsia"/>
                <w:b/>
                <w:szCs w:val="21"/>
              </w:rPr>
              <w:t>（一）评审内容：</w:t>
            </w:r>
          </w:p>
          <w:p>
            <w:pPr>
              <w:shd w:val="clear" w:color="auto" w:fill="auto"/>
              <w:spacing w:line="240" w:lineRule="auto"/>
              <w:rPr>
                <w:szCs w:val="21"/>
              </w:rPr>
            </w:pPr>
            <w:r>
              <w:rPr>
                <w:rFonts w:hint="eastAsia"/>
                <w:szCs w:val="21"/>
              </w:rPr>
              <w:t>考察投标人针对本项目在质量与安全方面保障措施，具体包含以下内容：</w:t>
            </w:r>
          </w:p>
          <w:p>
            <w:pPr>
              <w:shd w:val="clear" w:color="auto" w:fill="auto"/>
              <w:spacing w:line="240" w:lineRule="auto"/>
              <w:rPr>
                <w:szCs w:val="21"/>
              </w:rPr>
            </w:pPr>
            <w:r>
              <w:rPr>
                <w:rFonts w:hint="eastAsia"/>
                <w:szCs w:val="21"/>
              </w:rPr>
              <w:t>1.质量保障措施及方案；</w:t>
            </w:r>
          </w:p>
          <w:p>
            <w:pPr>
              <w:shd w:val="clear" w:color="auto" w:fill="auto"/>
              <w:spacing w:line="240" w:lineRule="auto"/>
              <w:rPr>
                <w:szCs w:val="21"/>
              </w:rPr>
            </w:pPr>
            <w:r>
              <w:rPr>
                <w:rFonts w:hint="eastAsia"/>
                <w:szCs w:val="21"/>
              </w:rPr>
              <w:t>2.安全保障措施及方案；</w:t>
            </w:r>
          </w:p>
          <w:p>
            <w:pPr>
              <w:shd w:val="clear" w:color="auto" w:fill="auto"/>
              <w:spacing w:line="240" w:lineRule="auto"/>
              <w:rPr>
                <w:szCs w:val="21"/>
              </w:rPr>
            </w:pPr>
            <w:r>
              <w:rPr>
                <w:rFonts w:hint="eastAsia"/>
                <w:szCs w:val="21"/>
              </w:rPr>
              <w:t>3.应急保障措施及方案。</w:t>
            </w:r>
          </w:p>
          <w:p>
            <w:pPr>
              <w:shd w:val="clear" w:color="auto" w:fill="auto"/>
              <w:spacing w:line="240" w:lineRule="auto"/>
              <w:rPr>
                <w:b/>
                <w:bCs/>
                <w:szCs w:val="21"/>
              </w:rPr>
            </w:pPr>
            <w:r>
              <w:rPr>
                <w:rFonts w:hint="eastAsia"/>
                <w:b/>
                <w:bCs/>
                <w:szCs w:val="21"/>
              </w:rPr>
              <w:t>（二）评分依据：</w:t>
            </w:r>
          </w:p>
          <w:p>
            <w:pPr>
              <w:shd w:val="clear" w:color="auto" w:fill="auto"/>
              <w:spacing w:line="240" w:lineRule="auto"/>
              <w:rPr>
                <w:szCs w:val="21"/>
              </w:rPr>
            </w:pPr>
            <w:r>
              <w:rPr>
                <w:rFonts w:hint="eastAsia"/>
                <w:szCs w:val="21"/>
              </w:rPr>
              <w:t xml:space="preserve">提供以上3点内容得3分，缺一项扣1分，扣完为止。 </w:t>
            </w:r>
          </w:p>
          <w:p>
            <w:pPr>
              <w:shd w:val="clear" w:color="auto" w:fill="auto"/>
              <w:spacing w:line="240" w:lineRule="auto"/>
              <w:rPr>
                <w:szCs w:val="21"/>
              </w:rPr>
            </w:pPr>
            <w:r>
              <w:rPr>
                <w:rFonts w:hint="eastAsia"/>
                <w:szCs w:val="21"/>
              </w:rPr>
              <w:t>在此基础上，专家根据内容的合理性进行评分:</w:t>
            </w:r>
          </w:p>
          <w:p>
            <w:pPr>
              <w:shd w:val="clear" w:color="auto" w:fill="auto"/>
              <w:spacing w:line="240" w:lineRule="auto"/>
              <w:rPr>
                <w:szCs w:val="21"/>
              </w:rPr>
            </w:pPr>
            <w:r>
              <w:rPr>
                <w:rFonts w:hint="eastAsia"/>
                <w:szCs w:val="21"/>
              </w:rPr>
              <w:t>优评分标准:方案符合实际、完整、规范、思路清晰，内容合理性强。</w:t>
            </w:r>
          </w:p>
          <w:p>
            <w:pPr>
              <w:shd w:val="clear" w:color="auto" w:fill="auto"/>
              <w:spacing w:line="240" w:lineRule="auto"/>
              <w:rPr>
                <w:szCs w:val="21"/>
              </w:rPr>
            </w:pPr>
            <w:r>
              <w:rPr>
                <w:rFonts w:hint="eastAsia"/>
                <w:szCs w:val="21"/>
              </w:rPr>
              <w:t>良评分标准:方案较符合实际、较完整规范、思路较清晰，内容合理性较强。</w:t>
            </w:r>
          </w:p>
          <w:p>
            <w:pPr>
              <w:shd w:val="clear" w:color="auto" w:fill="auto"/>
              <w:spacing w:line="240" w:lineRule="auto"/>
              <w:rPr>
                <w:szCs w:val="21"/>
              </w:rPr>
            </w:pPr>
            <w:r>
              <w:rPr>
                <w:rFonts w:hint="eastAsia"/>
                <w:szCs w:val="21"/>
              </w:rPr>
              <w:t>中评分标准方案较普通、完整性、规范性一般，思路不够清晰，内容合理性般。</w:t>
            </w:r>
          </w:p>
          <w:p>
            <w:pPr>
              <w:shd w:val="clear" w:color="auto" w:fill="auto"/>
              <w:spacing w:line="240" w:lineRule="auto"/>
              <w:rPr>
                <w:szCs w:val="21"/>
              </w:rPr>
            </w:pPr>
            <w:r>
              <w:rPr>
                <w:rFonts w:hint="eastAsia"/>
                <w:szCs w:val="21"/>
              </w:rPr>
              <w:t>差评分标准:方案不完整、不规范，思路不清晰，内容合理性较差或末提供。</w:t>
            </w:r>
          </w:p>
          <w:p>
            <w:pPr>
              <w:shd w:val="clear" w:color="auto" w:fill="auto"/>
              <w:spacing w:line="240" w:lineRule="auto"/>
              <w:rPr>
                <w:szCs w:val="21"/>
              </w:rPr>
            </w:pPr>
            <w:r>
              <w:rPr>
                <w:rFonts w:hint="eastAsia"/>
                <w:szCs w:val="21"/>
              </w:rPr>
              <w:t>评价为优加7分；</w:t>
            </w:r>
          </w:p>
          <w:p>
            <w:pPr>
              <w:shd w:val="clear" w:color="auto" w:fill="auto"/>
              <w:spacing w:line="240" w:lineRule="auto"/>
              <w:rPr>
                <w:szCs w:val="21"/>
              </w:rPr>
            </w:pPr>
            <w:r>
              <w:rPr>
                <w:rFonts w:hint="eastAsia"/>
                <w:szCs w:val="21"/>
              </w:rPr>
              <w:t>评价为良加5分；</w:t>
            </w:r>
          </w:p>
          <w:p>
            <w:pPr>
              <w:shd w:val="clear" w:color="auto" w:fill="auto"/>
              <w:spacing w:line="240" w:lineRule="auto"/>
              <w:rPr>
                <w:szCs w:val="21"/>
              </w:rPr>
            </w:pPr>
            <w:r>
              <w:rPr>
                <w:rFonts w:hint="eastAsia"/>
                <w:szCs w:val="21"/>
              </w:rPr>
              <w:t>评价为中加3分；</w:t>
            </w:r>
          </w:p>
          <w:p>
            <w:pPr>
              <w:pStyle w:val="8"/>
              <w:shd w:val="clear" w:color="auto" w:fill="auto"/>
              <w:spacing w:line="240" w:lineRule="auto"/>
              <w:rPr>
                <w:b w:val="0"/>
                <w:bCs w:val="0"/>
                <w:szCs w:val="21"/>
              </w:rPr>
            </w:pPr>
            <w:r>
              <w:rPr>
                <w:rFonts w:hint="eastAsia"/>
                <w:sz w:val="21"/>
                <w:szCs w:val="21"/>
              </w:rPr>
              <w:t>评价为差不得分。如评审为差，评审专家须书面说明理由，并记录在档。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5" w:type="dxa"/>
            <w:vMerge w:val="continue"/>
            <w:shd w:val="clear" w:color="auto" w:fill="auto"/>
            <w:vAlign w:val="center"/>
          </w:tcPr>
          <w:p>
            <w:pPr>
              <w:shd w:val="clear" w:color="auto" w:fill="auto"/>
              <w:spacing w:line="240" w:lineRule="auto"/>
              <w:rPr>
                <w:szCs w:val="21"/>
              </w:rPr>
            </w:pPr>
          </w:p>
        </w:tc>
        <w:tc>
          <w:tcPr>
            <w:tcW w:w="692" w:type="dxa"/>
            <w:shd w:val="clear" w:color="auto" w:fill="auto"/>
            <w:vAlign w:val="center"/>
          </w:tcPr>
          <w:p>
            <w:pPr>
              <w:shd w:val="clear" w:color="auto" w:fill="auto"/>
              <w:spacing w:line="240" w:lineRule="auto"/>
              <w:jc w:val="center"/>
              <w:rPr>
                <w:szCs w:val="21"/>
              </w:rPr>
            </w:pPr>
            <w:r>
              <w:rPr>
                <w:rFonts w:hint="eastAsia"/>
                <w:szCs w:val="21"/>
              </w:rPr>
              <w:t>6</w:t>
            </w:r>
          </w:p>
        </w:tc>
        <w:tc>
          <w:tcPr>
            <w:tcW w:w="1445" w:type="dxa"/>
            <w:shd w:val="clear" w:color="auto" w:fill="auto"/>
            <w:vAlign w:val="center"/>
          </w:tcPr>
          <w:p>
            <w:pPr>
              <w:shd w:val="clear" w:color="auto" w:fill="auto"/>
              <w:spacing w:line="240" w:lineRule="auto"/>
              <w:jc w:val="center"/>
              <w:rPr>
                <w:szCs w:val="21"/>
              </w:rPr>
            </w:pPr>
            <w:r>
              <w:rPr>
                <w:rFonts w:hint="eastAsia"/>
                <w:szCs w:val="21"/>
              </w:rPr>
              <w:t>拟安排的项目负责人情况（仅限一人）</w:t>
            </w:r>
          </w:p>
        </w:tc>
        <w:tc>
          <w:tcPr>
            <w:tcW w:w="696" w:type="dxa"/>
            <w:shd w:val="clear" w:color="auto" w:fill="auto"/>
            <w:vAlign w:val="center"/>
          </w:tcPr>
          <w:p>
            <w:pPr>
              <w:shd w:val="clear" w:color="auto" w:fill="auto"/>
              <w:spacing w:line="240" w:lineRule="auto"/>
              <w:jc w:val="center"/>
              <w:rPr>
                <w:szCs w:val="21"/>
              </w:rPr>
            </w:pPr>
            <w:r>
              <w:rPr>
                <w:rFonts w:hint="eastAsia"/>
                <w:szCs w:val="21"/>
              </w:rPr>
              <w:t>8</w:t>
            </w:r>
          </w:p>
        </w:tc>
        <w:tc>
          <w:tcPr>
            <w:tcW w:w="804" w:type="dxa"/>
            <w:shd w:val="clear" w:color="auto" w:fill="auto"/>
            <w:vAlign w:val="center"/>
          </w:tcPr>
          <w:p>
            <w:pPr>
              <w:shd w:val="clear" w:color="auto" w:fill="auto"/>
              <w:spacing w:line="240" w:lineRule="auto"/>
              <w:jc w:val="center"/>
              <w:rPr>
                <w:szCs w:val="21"/>
              </w:rPr>
            </w:pPr>
            <w:r>
              <w:rPr>
                <w:rFonts w:hint="eastAsia"/>
                <w:szCs w:val="21"/>
              </w:rPr>
              <w:t>专家评分</w:t>
            </w:r>
          </w:p>
        </w:tc>
        <w:tc>
          <w:tcPr>
            <w:tcW w:w="4369" w:type="dxa"/>
            <w:shd w:val="clear" w:color="auto" w:fill="auto"/>
            <w:vAlign w:val="center"/>
          </w:tcPr>
          <w:p>
            <w:pPr>
              <w:shd w:val="clear" w:color="auto" w:fill="auto"/>
              <w:spacing w:line="240" w:lineRule="auto"/>
              <w:rPr>
                <w:b/>
                <w:szCs w:val="21"/>
              </w:rPr>
            </w:pPr>
            <w:r>
              <w:rPr>
                <w:rFonts w:hint="eastAsia"/>
                <w:b/>
                <w:szCs w:val="21"/>
              </w:rPr>
              <w:t>（一）评分内容：</w:t>
            </w:r>
          </w:p>
          <w:p>
            <w:pPr>
              <w:shd w:val="clear" w:color="auto" w:fill="auto"/>
              <w:spacing w:line="240" w:lineRule="auto"/>
              <w:rPr>
                <w:szCs w:val="21"/>
              </w:rPr>
            </w:pPr>
            <w:r>
              <w:rPr>
                <w:rFonts w:hint="eastAsia"/>
                <w:szCs w:val="21"/>
              </w:rPr>
              <w:t>1.拟派项目负责人具有大专或以上学历的，得3分。</w:t>
            </w:r>
          </w:p>
          <w:p>
            <w:pPr>
              <w:shd w:val="clear" w:color="auto" w:fill="auto"/>
              <w:spacing w:line="240" w:lineRule="auto"/>
              <w:rPr>
                <w:szCs w:val="21"/>
              </w:rPr>
            </w:pPr>
            <w:r>
              <w:rPr>
                <w:rFonts w:hint="eastAsia"/>
                <w:szCs w:val="21"/>
              </w:rPr>
              <w:t>2.拟派项目负责人有负责过同类图书的搬迁项目得5分。</w:t>
            </w:r>
          </w:p>
          <w:p>
            <w:pPr>
              <w:pStyle w:val="24"/>
              <w:shd w:val="clear" w:color="auto" w:fill="auto"/>
              <w:spacing w:line="240" w:lineRule="auto"/>
              <w:rPr>
                <w:rFonts w:hAnsi="宋体" w:cs="宋体"/>
                <w:szCs w:val="21"/>
              </w:rPr>
            </w:pPr>
            <w:r>
              <w:rPr>
                <w:rFonts w:hint="eastAsia" w:hAnsi="宋体" w:cs="宋体"/>
                <w:szCs w:val="21"/>
              </w:rPr>
              <w:t>以上2项累加得分，最高不超过8分。</w:t>
            </w:r>
          </w:p>
          <w:p>
            <w:pPr>
              <w:shd w:val="clear" w:color="auto" w:fill="auto"/>
              <w:spacing w:line="240" w:lineRule="auto"/>
              <w:rPr>
                <w:b/>
                <w:szCs w:val="21"/>
              </w:rPr>
            </w:pPr>
            <w:r>
              <w:rPr>
                <w:rFonts w:hint="eastAsia"/>
                <w:b/>
                <w:szCs w:val="21"/>
              </w:rPr>
              <w:t>（二）评分依据：</w:t>
            </w:r>
          </w:p>
          <w:p>
            <w:pPr>
              <w:shd w:val="clear" w:color="auto" w:fill="auto"/>
              <w:spacing w:line="240" w:lineRule="auto"/>
              <w:rPr>
                <w:szCs w:val="21"/>
              </w:rPr>
            </w:pPr>
            <w:r>
              <w:rPr>
                <w:rFonts w:hint="eastAsia"/>
                <w:szCs w:val="21"/>
              </w:rPr>
              <w:t>1.要求投标人提供相关证明资料作为得分依据。评分中出现无证明资料或专家无法凭所提供资料判断是否得分的情况，一律作不得分处理。</w:t>
            </w:r>
          </w:p>
          <w:p>
            <w:pPr>
              <w:shd w:val="clear" w:color="auto" w:fill="auto"/>
              <w:spacing w:line="240" w:lineRule="auto"/>
              <w:rPr>
                <w:szCs w:val="21"/>
              </w:rPr>
            </w:pPr>
            <w:r>
              <w:rPr>
                <w:rFonts w:hint="eastAsia"/>
                <w:szCs w:val="21"/>
              </w:rPr>
              <w:t>2.要求提供通过投标人缴纳的近三个月任意一月的社保证明作为本单位员工的证明依据。若供应商成立不足三个月的，需提供成立情况说明函（格式自拟），无需提供相关人员社保，亦可得分；若为退休返聘人员，需提供退休证明及劳务合同（或聘用协议），无需提供相关人员社保，亦可得分。</w:t>
            </w:r>
          </w:p>
          <w:p>
            <w:pPr>
              <w:shd w:val="clear" w:color="auto" w:fill="auto"/>
              <w:spacing w:line="240" w:lineRule="auto"/>
              <w:rPr>
                <w:szCs w:val="21"/>
              </w:rPr>
            </w:pPr>
            <w:r>
              <w:rPr>
                <w:rFonts w:hint="eastAsia"/>
                <w:szCs w:val="21"/>
              </w:rPr>
              <w:t>3.考察项目经理图书搬迁项目经验，需同时提供项目中标书/成交书、合同、验收合格的证明文件，要求能从项目合同关键信息判断项目经理的经验作为得分依据，通过合同关键信息无法判断是否得分的，也可以提供能证明得分的其它证明资料，如项目报告或合同甲方出具的证明文件等，需加盖合同甲方公章（或甲方业务章）。</w:t>
            </w:r>
          </w:p>
          <w:p>
            <w:pPr>
              <w:shd w:val="clear" w:color="auto" w:fill="auto"/>
              <w:spacing w:line="240" w:lineRule="auto"/>
              <w:rPr>
                <w:szCs w:val="21"/>
              </w:rPr>
            </w:pPr>
            <w:r>
              <w:rPr>
                <w:rFonts w:hint="eastAsia"/>
                <w:szCs w:val="21"/>
              </w:rPr>
              <w:t>4.如涉及学历、学位证书，要求提供证书复印件以及学信网查询记录。对于较早颁发的学历学位证书，学信网无法查询的，要求提供证书复印件和其他佐证材料（如毕业院校、人社部门等颁发机构或监管机构等单位出具的证明）作为得分的依据。</w:t>
            </w:r>
          </w:p>
          <w:p>
            <w:pPr>
              <w:shd w:val="clear" w:color="auto" w:fill="auto"/>
              <w:spacing w:line="240" w:lineRule="auto"/>
              <w:rPr>
                <w:szCs w:val="21"/>
              </w:rPr>
            </w:pPr>
            <w:r>
              <w:rPr>
                <w:rFonts w:hint="eastAsia"/>
                <w:szCs w:val="21"/>
              </w:rPr>
              <w:t>5.以上资料均要求提供复印件并加盖投标人公章，原件备查。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1" w:hRule="atLeast"/>
          <w:jc w:val="center"/>
        </w:trPr>
        <w:tc>
          <w:tcPr>
            <w:tcW w:w="505" w:type="dxa"/>
            <w:vMerge w:val="continue"/>
            <w:shd w:val="clear" w:color="auto" w:fill="auto"/>
            <w:vAlign w:val="center"/>
          </w:tcPr>
          <w:p>
            <w:pPr>
              <w:shd w:val="clear" w:color="auto" w:fill="auto"/>
              <w:spacing w:line="240" w:lineRule="auto"/>
              <w:rPr>
                <w:szCs w:val="21"/>
              </w:rPr>
            </w:pPr>
          </w:p>
        </w:tc>
        <w:tc>
          <w:tcPr>
            <w:tcW w:w="692" w:type="dxa"/>
            <w:vMerge w:val="restart"/>
            <w:shd w:val="clear" w:color="auto" w:fill="auto"/>
            <w:vAlign w:val="center"/>
          </w:tcPr>
          <w:p>
            <w:pPr>
              <w:shd w:val="clear" w:color="auto" w:fill="auto"/>
              <w:spacing w:line="240" w:lineRule="auto"/>
              <w:jc w:val="center"/>
              <w:rPr>
                <w:szCs w:val="21"/>
              </w:rPr>
            </w:pPr>
            <w:r>
              <w:rPr>
                <w:rFonts w:hint="eastAsia"/>
                <w:szCs w:val="21"/>
              </w:rPr>
              <w:t>7</w:t>
            </w:r>
          </w:p>
        </w:tc>
        <w:tc>
          <w:tcPr>
            <w:tcW w:w="1445" w:type="dxa"/>
            <w:vMerge w:val="restart"/>
            <w:shd w:val="clear" w:color="auto" w:fill="auto"/>
            <w:vAlign w:val="center"/>
          </w:tcPr>
          <w:p>
            <w:pPr>
              <w:shd w:val="clear" w:color="auto" w:fill="auto"/>
              <w:spacing w:line="240" w:lineRule="auto"/>
              <w:jc w:val="center"/>
              <w:rPr>
                <w:szCs w:val="21"/>
              </w:rPr>
            </w:pPr>
            <w:r>
              <w:rPr>
                <w:rFonts w:hint="eastAsia"/>
                <w:szCs w:val="21"/>
              </w:rPr>
              <w:t>项目团队成员</w:t>
            </w:r>
          </w:p>
          <w:p>
            <w:pPr>
              <w:shd w:val="clear" w:color="auto" w:fill="auto"/>
              <w:spacing w:line="240" w:lineRule="auto"/>
              <w:jc w:val="center"/>
              <w:rPr>
                <w:szCs w:val="21"/>
              </w:rPr>
            </w:pPr>
            <w:r>
              <w:rPr>
                <w:rFonts w:hint="eastAsia"/>
                <w:szCs w:val="21"/>
              </w:rPr>
              <w:t>（项目负责人除外）</w:t>
            </w:r>
          </w:p>
        </w:tc>
        <w:tc>
          <w:tcPr>
            <w:tcW w:w="696" w:type="dxa"/>
            <w:vMerge w:val="restart"/>
            <w:shd w:val="clear" w:color="auto" w:fill="auto"/>
            <w:vAlign w:val="center"/>
          </w:tcPr>
          <w:p>
            <w:pPr>
              <w:shd w:val="clear" w:color="auto" w:fill="auto"/>
              <w:spacing w:line="240" w:lineRule="auto"/>
              <w:jc w:val="center"/>
              <w:rPr>
                <w:szCs w:val="21"/>
              </w:rPr>
            </w:pPr>
            <w:r>
              <w:rPr>
                <w:rFonts w:hint="eastAsia"/>
                <w:szCs w:val="21"/>
              </w:rPr>
              <w:t>8</w:t>
            </w:r>
          </w:p>
        </w:tc>
        <w:tc>
          <w:tcPr>
            <w:tcW w:w="804" w:type="dxa"/>
            <w:vMerge w:val="restart"/>
            <w:shd w:val="clear" w:color="auto" w:fill="auto"/>
            <w:vAlign w:val="center"/>
          </w:tcPr>
          <w:p>
            <w:pPr>
              <w:shd w:val="clear" w:color="auto" w:fill="auto"/>
              <w:spacing w:line="240" w:lineRule="auto"/>
              <w:jc w:val="center"/>
              <w:rPr>
                <w:szCs w:val="21"/>
              </w:rPr>
            </w:pPr>
            <w:r>
              <w:rPr>
                <w:rFonts w:hint="eastAsia"/>
                <w:szCs w:val="21"/>
              </w:rPr>
              <w:t>专家评分</w:t>
            </w:r>
          </w:p>
        </w:tc>
        <w:tc>
          <w:tcPr>
            <w:tcW w:w="4369" w:type="dxa"/>
            <w:shd w:val="clear" w:color="auto" w:fill="auto"/>
            <w:vAlign w:val="center"/>
          </w:tcPr>
          <w:p>
            <w:pPr>
              <w:shd w:val="clear" w:color="auto" w:fill="auto"/>
              <w:spacing w:line="240" w:lineRule="auto"/>
              <w:rPr>
                <w:b/>
                <w:szCs w:val="21"/>
              </w:rPr>
            </w:pPr>
            <w:r>
              <w:rPr>
                <w:rFonts w:hint="eastAsia"/>
                <w:b/>
                <w:szCs w:val="21"/>
              </w:rPr>
              <w:t>（一）评分内容：</w:t>
            </w:r>
          </w:p>
          <w:p>
            <w:pPr>
              <w:shd w:val="clear" w:color="auto" w:fill="auto"/>
              <w:spacing w:line="240" w:lineRule="auto"/>
              <w:rPr>
                <w:szCs w:val="21"/>
              </w:rPr>
            </w:pPr>
            <w:r>
              <w:rPr>
                <w:rFonts w:hint="eastAsia"/>
                <w:szCs w:val="21"/>
              </w:rPr>
              <w:t>拟派项目团队成员30人（含）以上得4分，30＞拟派团队人员≥20人得3分，20人＞拟派团队人员≥10人得2分，10＞拟派团队人员≥5人得1分，拟派团队人员5人以下不得分。</w:t>
            </w:r>
          </w:p>
          <w:p>
            <w:pPr>
              <w:shd w:val="clear" w:color="auto" w:fill="auto"/>
              <w:spacing w:line="240" w:lineRule="auto"/>
              <w:rPr>
                <w:b/>
                <w:bCs/>
                <w:szCs w:val="21"/>
              </w:rPr>
            </w:pPr>
            <w:r>
              <w:rPr>
                <w:rFonts w:hint="eastAsia"/>
                <w:b/>
                <w:szCs w:val="21"/>
              </w:rPr>
              <w:t>（二）评分依据：</w:t>
            </w:r>
          </w:p>
          <w:p>
            <w:pPr>
              <w:pStyle w:val="19"/>
              <w:shd w:val="clear" w:color="auto" w:fill="auto"/>
              <w:spacing w:line="240" w:lineRule="auto"/>
              <w:jc w:val="both"/>
              <w:rPr>
                <w:rFonts w:hAnsi="宋体" w:cs="宋体"/>
                <w:sz w:val="21"/>
                <w:szCs w:val="21"/>
              </w:rPr>
            </w:pPr>
            <w:r>
              <w:rPr>
                <w:rFonts w:hint="eastAsia" w:hAnsi="宋体" w:cs="宋体"/>
                <w:sz w:val="21"/>
                <w:szCs w:val="21"/>
              </w:rPr>
              <w:t>1.提供承诺函，格式自拟，未提供或不满足要求均不得分。</w:t>
            </w:r>
          </w:p>
          <w:p>
            <w:pPr>
              <w:pStyle w:val="19"/>
              <w:shd w:val="clear" w:color="auto" w:fill="auto"/>
              <w:spacing w:line="240" w:lineRule="auto"/>
              <w:jc w:val="both"/>
              <w:rPr>
                <w:rFonts w:hAnsi="宋体" w:cs="宋体"/>
                <w:sz w:val="21"/>
                <w:szCs w:val="21"/>
              </w:rPr>
            </w:pPr>
            <w:r>
              <w:rPr>
                <w:rFonts w:hint="eastAsia" w:hAnsi="宋体" w:cs="宋体"/>
                <w:sz w:val="21"/>
                <w:szCs w:val="21"/>
              </w:rPr>
              <w:t>2.还需提供通过投标人缴纳的近三个月任意一月的社保证明作为本单位员工的证明依据。若供应商成立不足三个月的，需提供成立情况说明函（格式自拟），无需提供相关人员社保，亦可得分；若为退休返聘人员，需提供退休证明及劳务合同（或聘用协议），无需提供相关人员社保，亦可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0" w:hRule="atLeast"/>
          <w:jc w:val="center"/>
        </w:trPr>
        <w:tc>
          <w:tcPr>
            <w:tcW w:w="505" w:type="dxa"/>
            <w:vMerge w:val="continue"/>
            <w:shd w:val="clear" w:color="auto" w:fill="auto"/>
            <w:vAlign w:val="center"/>
          </w:tcPr>
          <w:p>
            <w:pPr>
              <w:shd w:val="clear" w:color="auto" w:fill="auto"/>
              <w:spacing w:line="240" w:lineRule="auto"/>
              <w:rPr>
                <w:szCs w:val="21"/>
              </w:rPr>
            </w:pPr>
          </w:p>
        </w:tc>
        <w:tc>
          <w:tcPr>
            <w:tcW w:w="692" w:type="dxa"/>
            <w:vMerge w:val="continue"/>
            <w:shd w:val="clear" w:color="auto" w:fill="auto"/>
            <w:vAlign w:val="center"/>
          </w:tcPr>
          <w:p>
            <w:pPr>
              <w:shd w:val="clear" w:color="auto" w:fill="auto"/>
              <w:spacing w:line="240" w:lineRule="auto"/>
              <w:jc w:val="center"/>
              <w:rPr>
                <w:szCs w:val="21"/>
              </w:rPr>
            </w:pPr>
          </w:p>
        </w:tc>
        <w:tc>
          <w:tcPr>
            <w:tcW w:w="1445" w:type="dxa"/>
            <w:vMerge w:val="continue"/>
            <w:shd w:val="clear" w:color="auto" w:fill="auto"/>
            <w:vAlign w:val="center"/>
          </w:tcPr>
          <w:p>
            <w:pPr>
              <w:shd w:val="clear" w:color="auto" w:fill="auto"/>
              <w:spacing w:line="240" w:lineRule="auto"/>
              <w:jc w:val="center"/>
              <w:rPr>
                <w:szCs w:val="21"/>
              </w:rPr>
            </w:pPr>
          </w:p>
        </w:tc>
        <w:tc>
          <w:tcPr>
            <w:tcW w:w="696" w:type="dxa"/>
            <w:vMerge w:val="continue"/>
            <w:shd w:val="clear" w:color="auto" w:fill="auto"/>
            <w:vAlign w:val="center"/>
          </w:tcPr>
          <w:p>
            <w:pPr>
              <w:shd w:val="clear" w:color="auto" w:fill="auto"/>
              <w:spacing w:line="240" w:lineRule="auto"/>
              <w:jc w:val="center"/>
              <w:rPr>
                <w:szCs w:val="21"/>
              </w:rPr>
            </w:pPr>
          </w:p>
        </w:tc>
        <w:tc>
          <w:tcPr>
            <w:tcW w:w="804" w:type="dxa"/>
            <w:vMerge w:val="continue"/>
            <w:shd w:val="clear" w:color="auto" w:fill="auto"/>
            <w:vAlign w:val="center"/>
          </w:tcPr>
          <w:p>
            <w:pPr>
              <w:shd w:val="clear" w:color="auto" w:fill="auto"/>
              <w:spacing w:line="240" w:lineRule="auto"/>
              <w:jc w:val="center"/>
              <w:rPr>
                <w:szCs w:val="21"/>
              </w:rPr>
            </w:pPr>
          </w:p>
        </w:tc>
        <w:tc>
          <w:tcPr>
            <w:tcW w:w="4369" w:type="dxa"/>
            <w:shd w:val="clear" w:color="auto" w:fill="auto"/>
            <w:vAlign w:val="center"/>
          </w:tcPr>
          <w:p>
            <w:pPr>
              <w:shd w:val="clear" w:color="auto" w:fill="auto"/>
              <w:spacing w:line="240" w:lineRule="auto"/>
              <w:rPr>
                <w:b/>
                <w:szCs w:val="21"/>
              </w:rPr>
            </w:pPr>
            <w:r>
              <w:rPr>
                <w:rFonts w:hint="eastAsia"/>
                <w:b/>
                <w:szCs w:val="21"/>
              </w:rPr>
              <w:t>（一）评分内容：</w:t>
            </w:r>
          </w:p>
          <w:p>
            <w:pPr>
              <w:shd w:val="clear" w:color="auto" w:fill="auto"/>
              <w:spacing w:line="240" w:lineRule="auto"/>
              <w:rPr>
                <w:szCs w:val="21"/>
              </w:rPr>
            </w:pPr>
            <w:r>
              <w:rPr>
                <w:rFonts w:hint="eastAsia"/>
                <w:szCs w:val="21"/>
              </w:rPr>
              <w:t>投标人拟投入本项目的服务人员具有</w:t>
            </w:r>
            <w:r>
              <w:rPr>
                <w:rFonts w:hint="eastAsia"/>
                <w:szCs w:val="21"/>
                <w:lang w:val="en-US" w:eastAsia="zh-CN"/>
              </w:rPr>
              <w:t>全</w:t>
            </w:r>
            <w:r>
              <w:rPr>
                <w:rFonts w:hint="eastAsia"/>
                <w:szCs w:val="21"/>
              </w:rPr>
              <w:t>家图书馆联合编目中心颁发的系统编目员操作培训合格证书，每人得2分，同一人不可重复计分，最高4分。</w:t>
            </w:r>
          </w:p>
          <w:p>
            <w:pPr>
              <w:shd w:val="clear" w:color="auto" w:fill="auto"/>
              <w:spacing w:line="240" w:lineRule="auto"/>
              <w:rPr>
                <w:b/>
                <w:szCs w:val="21"/>
              </w:rPr>
            </w:pPr>
            <w:r>
              <w:rPr>
                <w:rFonts w:hint="eastAsia"/>
                <w:b/>
                <w:szCs w:val="21"/>
              </w:rPr>
              <w:t>（二）评分依据：</w:t>
            </w:r>
          </w:p>
          <w:p>
            <w:pPr>
              <w:shd w:val="clear" w:color="auto" w:fill="auto"/>
              <w:spacing w:line="240" w:lineRule="auto"/>
              <w:rPr>
                <w:b/>
                <w:szCs w:val="21"/>
              </w:rPr>
            </w:pPr>
            <w:r>
              <w:rPr>
                <w:rFonts w:hint="eastAsia"/>
                <w:szCs w:val="21"/>
              </w:rPr>
              <w:t>投标人提供团队服务人员所具有的图书编目员资质证书，还需同时提供该组织在“全国图书馆联合编目中心http://olcc.nlc.cn/query/cert/”的查询截图（截图需体现网址且状态为正常），并提供证书所属人员身份证正反面、劳动合同复印件加盖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5" w:type="dxa"/>
            <w:vMerge w:val="continue"/>
            <w:shd w:val="clear" w:color="auto" w:fill="auto"/>
            <w:vAlign w:val="center"/>
          </w:tcPr>
          <w:p>
            <w:pPr>
              <w:shd w:val="clear" w:color="auto" w:fill="auto"/>
              <w:spacing w:line="240" w:lineRule="auto"/>
              <w:rPr>
                <w:szCs w:val="21"/>
              </w:rPr>
            </w:pPr>
          </w:p>
        </w:tc>
        <w:tc>
          <w:tcPr>
            <w:tcW w:w="692" w:type="dxa"/>
            <w:shd w:val="clear" w:color="auto" w:fill="auto"/>
            <w:vAlign w:val="center"/>
          </w:tcPr>
          <w:p>
            <w:pPr>
              <w:shd w:val="clear" w:color="auto" w:fill="auto"/>
              <w:spacing w:line="240" w:lineRule="auto"/>
              <w:jc w:val="center"/>
              <w:rPr>
                <w:szCs w:val="21"/>
              </w:rPr>
            </w:pPr>
            <w:r>
              <w:rPr>
                <w:rFonts w:hint="eastAsia"/>
                <w:szCs w:val="21"/>
              </w:rPr>
              <w:t>8</w:t>
            </w:r>
          </w:p>
        </w:tc>
        <w:tc>
          <w:tcPr>
            <w:tcW w:w="1445" w:type="dxa"/>
            <w:shd w:val="clear" w:color="auto" w:fill="auto"/>
            <w:vAlign w:val="center"/>
          </w:tcPr>
          <w:p>
            <w:pPr>
              <w:shd w:val="clear" w:color="auto" w:fill="auto"/>
              <w:spacing w:line="240" w:lineRule="auto"/>
              <w:jc w:val="center"/>
              <w:rPr>
                <w:szCs w:val="21"/>
              </w:rPr>
            </w:pPr>
            <w:r>
              <w:rPr>
                <w:rFonts w:hint="eastAsia"/>
                <w:szCs w:val="21"/>
              </w:rPr>
              <w:t>拟投入的服务资源（场地、工具、机器等）情况</w:t>
            </w:r>
          </w:p>
        </w:tc>
        <w:tc>
          <w:tcPr>
            <w:tcW w:w="696" w:type="dxa"/>
            <w:shd w:val="clear" w:color="auto" w:fill="auto"/>
            <w:vAlign w:val="center"/>
          </w:tcPr>
          <w:p>
            <w:pPr>
              <w:shd w:val="clear" w:color="auto" w:fill="auto"/>
              <w:spacing w:line="240" w:lineRule="auto"/>
              <w:jc w:val="center"/>
              <w:rPr>
                <w:szCs w:val="21"/>
              </w:rPr>
            </w:pPr>
            <w:r>
              <w:rPr>
                <w:rFonts w:hint="eastAsia"/>
                <w:szCs w:val="21"/>
              </w:rPr>
              <w:t>6</w:t>
            </w:r>
          </w:p>
        </w:tc>
        <w:tc>
          <w:tcPr>
            <w:tcW w:w="804" w:type="dxa"/>
            <w:shd w:val="clear" w:color="auto" w:fill="auto"/>
            <w:vAlign w:val="center"/>
          </w:tcPr>
          <w:p>
            <w:pPr>
              <w:shd w:val="clear" w:color="auto" w:fill="auto"/>
              <w:spacing w:line="240" w:lineRule="auto"/>
              <w:jc w:val="center"/>
              <w:rPr>
                <w:szCs w:val="21"/>
              </w:rPr>
            </w:pPr>
            <w:r>
              <w:rPr>
                <w:rFonts w:hint="eastAsia"/>
                <w:szCs w:val="21"/>
              </w:rPr>
              <w:t>专家评分</w:t>
            </w:r>
          </w:p>
        </w:tc>
        <w:tc>
          <w:tcPr>
            <w:tcW w:w="4369" w:type="dxa"/>
            <w:shd w:val="clear" w:color="auto" w:fill="auto"/>
            <w:vAlign w:val="center"/>
          </w:tcPr>
          <w:p>
            <w:pPr>
              <w:shd w:val="clear" w:color="auto" w:fill="auto"/>
              <w:spacing w:line="240" w:lineRule="auto"/>
              <w:rPr>
                <w:b/>
                <w:szCs w:val="21"/>
              </w:rPr>
            </w:pPr>
            <w:r>
              <w:rPr>
                <w:rFonts w:hint="eastAsia"/>
                <w:b/>
                <w:szCs w:val="21"/>
              </w:rPr>
              <w:t>（一）评分内容：</w:t>
            </w:r>
          </w:p>
          <w:p>
            <w:pPr>
              <w:shd w:val="clear" w:color="auto" w:fill="auto"/>
              <w:spacing w:line="240" w:lineRule="auto"/>
              <w:rPr>
                <w:szCs w:val="21"/>
              </w:rPr>
            </w:pPr>
            <w:r>
              <w:rPr>
                <w:rFonts w:hint="eastAsia"/>
                <w:szCs w:val="21"/>
              </w:rPr>
              <w:t>1.投标人拟投入针对本项目运输车辆数量6辆及以上的得6分,6辆＞拟投入针对本项目运输车辆≥3辆得3分 ，3辆＞拟投入针对本项目运输车辆≥2辆得1分 ，拟投入针对本项目运输车辆2辆以下不得分。</w:t>
            </w:r>
          </w:p>
          <w:p>
            <w:pPr>
              <w:shd w:val="clear" w:color="auto" w:fill="auto"/>
              <w:spacing w:line="240" w:lineRule="auto"/>
              <w:rPr>
                <w:b/>
                <w:szCs w:val="21"/>
              </w:rPr>
            </w:pPr>
            <w:r>
              <w:rPr>
                <w:rFonts w:hint="eastAsia"/>
                <w:b/>
                <w:szCs w:val="21"/>
              </w:rPr>
              <w:t>（二）评分依据：</w:t>
            </w:r>
          </w:p>
          <w:p>
            <w:pPr>
              <w:shd w:val="clear" w:color="auto" w:fill="auto"/>
              <w:spacing w:line="240" w:lineRule="auto"/>
              <w:rPr>
                <w:szCs w:val="21"/>
              </w:rPr>
            </w:pPr>
            <w:r>
              <w:rPr>
                <w:rFonts w:hint="eastAsia"/>
                <w:szCs w:val="21"/>
              </w:rPr>
              <w:t>1.提供承诺函，格式自拟，未提供或不满足要求均不得分。</w:t>
            </w:r>
          </w:p>
          <w:p>
            <w:pPr>
              <w:shd w:val="clear" w:color="auto" w:fill="auto"/>
              <w:spacing w:line="240" w:lineRule="auto"/>
              <w:rPr>
                <w:szCs w:val="21"/>
              </w:rPr>
            </w:pPr>
            <w:r>
              <w:rPr>
                <w:rFonts w:hint="eastAsia"/>
                <w:szCs w:val="21"/>
              </w:rPr>
              <w:t>2自有车辆的还需提供：与投标人名称一致的有效期内的车辆行驶证复印件；</w:t>
            </w:r>
          </w:p>
          <w:p>
            <w:pPr>
              <w:shd w:val="clear" w:color="auto" w:fill="auto"/>
              <w:spacing w:line="240" w:lineRule="auto"/>
              <w:rPr>
                <w:szCs w:val="21"/>
              </w:rPr>
            </w:pPr>
            <w:r>
              <w:rPr>
                <w:rFonts w:hint="eastAsia"/>
                <w:szCs w:val="21"/>
              </w:rPr>
              <w:t>3.租赁车辆的还需提供：租赁合同、与出租方名称一致的有效期内的车辆行驶证复印件；以上材料未提供或提供不齐全不得分。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5" w:type="dxa"/>
            <w:vMerge w:val="continue"/>
            <w:shd w:val="clear" w:color="auto" w:fill="auto"/>
            <w:vAlign w:val="center"/>
          </w:tcPr>
          <w:p>
            <w:pPr>
              <w:shd w:val="clear" w:color="auto" w:fill="auto"/>
              <w:spacing w:line="240" w:lineRule="auto"/>
              <w:rPr>
                <w:szCs w:val="21"/>
              </w:rPr>
            </w:pPr>
          </w:p>
        </w:tc>
        <w:tc>
          <w:tcPr>
            <w:tcW w:w="692" w:type="dxa"/>
            <w:shd w:val="clear" w:color="auto" w:fill="auto"/>
            <w:vAlign w:val="center"/>
          </w:tcPr>
          <w:p>
            <w:pPr>
              <w:shd w:val="clear" w:color="auto" w:fill="auto"/>
              <w:spacing w:line="240" w:lineRule="auto"/>
              <w:jc w:val="center"/>
              <w:rPr>
                <w:szCs w:val="21"/>
              </w:rPr>
            </w:pPr>
            <w:r>
              <w:rPr>
                <w:rFonts w:hint="eastAsia"/>
                <w:szCs w:val="21"/>
              </w:rPr>
              <w:t>9</w:t>
            </w:r>
          </w:p>
        </w:tc>
        <w:tc>
          <w:tcPr>
            <w:tcW w:w="1445" w:type="dxa"/>
            <w:shd w:val="clear" w:color="auto" w:fill="auto"/>
            <w:vAlign w:val="center"/>
          </w:tcPr>
          <w:p>
            <w:pPr>
              <w:shd w:val="clear" w:color="auto" w:fill="auto"/>
              <w:spacing w:line="240" w:lineRule="auto"/>
              <w:jc w:val="center"/>
              <w:rPr>
                <w:szCs w:val="21"/>
              </w:rPr>
            </w:pPr>
            <w:r>
              <w:rPr>
                <w:rFonts w:hint="eastAsia"/>
                <w:szCs w:val="21"/>
              </w:rPr>
              <w:t>响应能力</w:t>
            </w:r>
          </w:p>
        </w:tc>
        <w:tc>
          <w:tcPr>
            <w:tcW w:w="696" w:type="dxa"/>
            <w:shd w:val="clear" w:color="auto" w:fill="auto"/>
            <w:vAlign w:val="center"/>
          </w:tcPr>
          <w:p>
            <w:pPr>
              <w:shd w:val="clear" w:color="auto" w:fill="auto"/>
              <w:spacing w:line="240" w:lineRule="auto"/>
              <w:jc w:val="center"/>
              <w:rPr>
                <w:szCs w:val="21"/>
              </w:rPr>
            </w:pPr>
            <w:r>
              <w:rPr>
                <w:rFonts w:hint="eastAsia"/>
                <w:szCs w:val="21"/>
              </w:rPr>
              <w:t>4</w:t>
            </w:r>
          </w:p>
        </w:tc>
        <w:tc>
          <w:tcPr>
            <w:tcW w:w="804" w:type="dxa"/>
            <w:shd w:val="clear" w:color="auto" w:fill="auto"/>
            <w:vAlign w:val="center"/>
          </w:tcPr>
          <w:p>
            <w:pPr>
              <w:shd w:val="clear" w:color="auto" w:fill="auto"/>
              <w:spacing w:line="240" w:lineRule="auto"/>
              <w:jc w:val="center"/>
              <w:rPr>
                <w:szCs w:val="21"/>
              </w:rPr>
            </w:pPr>
            <w:r>
              <w:rPr>
                <w:rFonts w:hint="eastAsia"/>
                <w:szCs w:val="21"/>
              </w:rPr>
              <w:t>专家评分</w:t>
            </w:r>
          </w:p>
        </w:tc>
        <w:tc>
          <w:tcPr>
            <w:tcW w:w="4369" w:type="dxa"/>
            <w:shd w:val="clear" w:color="auto" w:fill="auto"/>
            <w:vAlign w:val="center"/>
          </w:tcPr>
          <w:p>
            <w:pPr>
              <w:shd w:val="clear" w:color="auto" w:fill="auto"/>
              <w:spacing w:line="240" w:lineRule="auto"/>
              <w:rPr>
                <w:b/>
                <w:szCs w:val="21"/>
              </w:rPr>
            </w:pPr>
            <w:r>
              <w:rPr>
                <w:rFonts w:hint="eastAsia"/>
                <w:b/>
                <w:szCs w:val="21"/>
              </w:rPr>
              <w:t>（一）评分内容：</w:t>
            </w:r>
          </w:p>
          <w:p>
            <w:pPr>
              <w:shd w:val="clear" w:color="auto" w:fill="auto"/>
              <w:spacing w:line="240" w:lineRule="auto"/>
              <w:rPr>
                <w:szCs w:val="21"/>
              </w:rPr>
            </w:pPr>
            <w:r>
              <w:rPr>
                <w:rFonts w:hint="eastAsia"/>
                <w:szCs w:val="21"/>
              </w:rPr>
              <w:t xml:space="preserve">1.投标人承诺接到采购人应急通知后30分钟内到达现场的，得4分；  </w:t>
            </w:r>
          </w:p>
          <w:p>
            <w:pPr>
              <w:shd w:val="clear" w:color="auto" w:fill="auto"/>
              <w:spacing w:line="240" w:lineRule="auto"/>
              <w:rPr>
                <w:szCs w:val="21"/>
              </w:rPr>
            </w:pPr>
            <w:r>
              <w:rPr>
                <w:rFonts w:hint="eastAsia"/>
                <w:szCs w:val="21"/>
              </w:rPr>
              <w:t xml:space="preserve">2.投标人承诺接到采购人应急通知后60分钟内到达现场的，得2分；  </w:t>
            </w:r>
          </w:p>
          <w:p>
            <w:pPr>
              <w:shd w:val="clear" w:color="auto" w:fill="auto"/>
              <w:spacing w:line="240" w:lineRule="auto"/>
              <w:rPr>
                <w:szCs w:val="21"/>
              </w:rPr>
            </w:pPr>
            <w:r>
              <w:rPr>
                <w:rFonts w:hint="eastAsia"/>
                <w:szCs w:val="21"/>
              </w:rPr>
              <w:t xml:space="preserve">3.投标人承诺接到采购人应急通知后90分钟内到达现场的，得1分；  </w:t>
            </w:r>
          </w:p>
          <w:p>
            <w:pPr>
              <w:shd w:val="clear" w:color="auto" w:fill="auto"/>
              <w:spacing w:line="240" w:lineRule="auto"/>
              <w:rPr>
                <w:szCs w:val="21"/>
              </w:rPr>
            </w:pPr>
            <w:r>
              <w:rPr>
                <w:rFonts w:hint="eastAsia"/>
                <w:szCs w:val="21"/>
              </w:rPr>
              <w:t xml:space="preserve">4.大于90分钟的不得分。  </w:t>
            </w:r>
          </w:p>
          <w:p>
            <w:pPr>
              <w:shd w:val="clear" w:color="auto" w:fill="auto"/>
              <w:spacing w:line="240" w:lineRule="auto"/>
              <w:rPr>
                <w:b/>
                <w:szCs w:val="21"/>
              </w:rPr>
            </w:pPr>
            <w:r>
              <w:rPr>
                <w:rFonts w:hint="eastAsia"/>
                <w:b/>
                <w:szCs w:val="21"/>
              </w:rPr>
              <w:t>（二）评分依据：</w:t>
            </w:r>
          </w:p>
          <w:p>
            <w:pPr>
              <w:shd w:val="clear" w:color="auto" w:fill="auto"/>
              <w:spacing w:line="240" w:lineRule="auto"/>
              <w:rPr>
                <w:szCs w:val="21"/>
              </w:rPr>
            </w:pPr>
            <w:r>
              <w:rPr>
                <w:rFonts w:hint="eastAsia"/>
                <w:szCs w:val="21"/>
              </w:rPr>
              <w:t>投标人提供承诺函（格式自拟）。未提供或不满足要求均不得分。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505" w:type="dxa"/>
            <w:vMerge w:val="restart"/>
            <w:shd w:val="clear" w:color="auto" w:fill="auto"/>
          </w:tcPr>
          <w:p>
            <w:pPr>
              <w:shd w:val="clear" w:color="auto" w:fill="auto"/>
              <w:spacing w:line="240" w:lineRule="auto"/>
              <w:rPr>
                <w:b/>
                <w:bCs/>
                <w:szCs w:val="21"/>
              </w:rPr>
            </w:pPr>
            <w:r>
              <w:rPr>
                <w:rFonts w:hint="eastAsia"/>
                <w:b/>
                <w:bCs/>
                <w:szCs w:val="21"/>
              </w:rPr>
              <w:t>3</w:t>
            </w:r>
          </w:p>
        </w:tc>
        <w:tc>
          <w:tcPr>
            <w:tcW w:w="3637" w:type="dxa"/>
            <w:gridSpan w:val="4"/>
            <w:shd w:val="clear" w:color="auto" w:fill="auto"/>
            <w:vAlign w:val="center"/>
          </w:tcPr>
          <w:p>
            <w:pPr>
              <w:shd w:val="clear" w:color="auto" w:fill="auto"/>
              <w:spacing w:line="240" w:lineRule="auto"/>
              <w:jc w:val="center"/>
              <w:rPr>
                <w:b/>
                <w:bCs/>
                <w:szCs w:val="21"/>
              </w:rPr>
            </w:pPr>
            <w:r>
              <w:rPr>
                <w:rFonts w:hint="eastAsia"/>
                <w:b/>
                <w:bCs/>
                <w:szCs w:val="21"/>
              </w:rPr>
              <w:t>商务部分</w:t>
            </w:r>
          </w:p>
        </w:tc>
        <w:tc>
          <w:tcPr>
            <w:tcW w:w="4369" w:type="dxa"/>
            <w:shd w:val="clear" w:color="auto" w:fill="auto"/>
            <w:vAlign w:val="center"/>
          </w:tcPr>
          <w:p>
            <w:pPr>
              <w:shd w:val="clear" w:color="auto" w:fill="auto"/>
              <w:spacing w:line="240" w:lineRule="auto"/>
              <w:jc w:val="center"/>
              <w:rPr>
                <w:b/>
                <w:bCs/>
                <w:szCs w:val="21"/>
              </w:rPr>
            </w:pPr>
            <w:r>
              <w:rPr>
                <w:rFonts w:hint="eastAsia"/>
                <w:b/>
                <w:bCs/>
                <w:szCs w:val="21"/>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05" w:type="dxa"/>
            <w:vMerge w:val="continue"/>
            <w:shd w:val="clear" w:color="auto" w:fill="auto"/>
            <w:vAlign w:val="center"/>
          </w:tcPr>
          <w:p>
            <w:pPr>
              <w:shd w:val="clear" w:color="auto" w:fill="auto"/>
              <w:spacing w:line="240" w:lineRule="auto"/>
              <w:rPr>
                <w:b/>
                <w:bCs/>
                <w:szCs w:val="21"/>
              </w:rPr>
            </w:pPr>
          </w:p>
        </w:tc>
        <w:tc>
          <w:tcPr>
            <w:tcW w:w="692" w:type="dxa"/>
            <w:shd w:val="clear" w:color="auto" w:fill="auto"/>
            <w:vAlign w:val="center"/>
          </w:tcPr>
          <w:p>
            <w:pPr>
              <w:shd w:val="clear" w:color="auto" w:fill="auto"/>
              <w:spacing w:line="240" w:lineRule="auto"/>
              <w:jc w:val="center"/>
              <w:rPr>
                <w:b/>
                <w:bCs/>
                <w:szCs w:val="21"/>
              </w:rPr>
            </w:pPr>
            <w:r>
              <w:rPr>
                <w:rFonts w:hint="eastAsia"/>
                <w:b/>
                <w:bCs/>
                <w:szCs w:val="21"/>
              </w:rPr>
              <w:t>序号</w:t>
            </w:r>
          </w:p>
        </w:tc>
        <w:tc>
          <w:tcPr>
            <w:tcW w:w="1445" w:type="dxa"/>
            <w:shd w:val="clear" w:color="auto" w:fill="auto"/>
            <w:vAlign w:val="center"/>
          </w:tcPr>
          <w:p>
            <w:pPr>
              <w:shd w:val="clear" w:color="auto" w:fill="auto"/>
              <w:spacing w:line="240" w:lineRule="auto"/>
              <w:jc w:val="center"/>
              <w:rPr>
                <w:b/>
                <w:bCs/>
                <w:szCs w:val="21"/>
              </w:rPr>
            </w:pPr>
            <w:r>
              <w:rPr>
                <w:rFonts w:hint="eastAsia"/>
                <w:b/>
                <w:bCs/>
                <w:szCs w:val="21"/>
              </w:rPr>
              <w:t>评分因素</w:t>
            </w:r>
          </w:p>
        </w:tc>
        <w:tc>
          <w:tcPr>
            <w:tcW w:w="696" w:type="dxa"/>
            <w:shd w:val="clear" w:color="auto" w:fill="auto"/>
            <w:vAlign w:val="center"/>
          </w:tcPr>
          <w:p>
            <w:pPr>
              <w:shd w:val="clear" w:color="auto" w:fill="auto"/>
              <w:spacing w:line="240" w:lineRule="auto"/>
              <w:jc w:val="center"/>
              <w:rPr>
                <w:b/>
                <w:bCs/>
                <w:szCs w:val="21"/>
              </w:rPr>
            </w:pPr>
            <w:r>
              <w:rPr>
                <w:rFonts w:hint="eastAsia"/>
                <w:b/>
                <w:bCs/>
                <w:szCs w:val="21"/>
              </w:rPr>
              <w:t>分值</w:t>
            </w:r>
          </w:p>
        </w:tc>
        <w:tc>
          <w:tcPr>
            <w:tcW w:w="804" w:type="dxa"/>
            <w:shd w:val="clear" w:color="auto" w:fill="auto"/>
            <w:vAlign w:val="center"/>
          </w:tcPr>
          <w:p>
            <w:pPr>
              <w:shd w:val="clear" w:color="auto" w:fill="auto"/>
              <w:spacing w:line="240" w:lineRule="auto"/>
              <w:jc w:val="center"/>
              <w:rPr>
                <w:b/>
                <w:bCs/>
                <w:szCs w:val="21"/>
              </w:rPr>
            </w:pPr>
            <w:r>
              <w:rPr>
                <w:rFonts w:hint="eastAsia"/>
                <w:b/>
                <w:bCs/>
                <w:szCs w:val="21"/>
              </w:rPr>
              <w:t>评分方式</w:t>
            </w:r>
          </w:p>
        </w:tc>
        <w:tc>
          <w:tcPr>
            <w:tcW w:w="4369" w:type="dxa"/>
            <w:shd w:val="clear" w:color="auto" w:fill="auto"/>
            <w:vAlign w:val="center"/>
          </w:tcPr>
          <w:p>
            <w:pPr>
              <w:shd w:val="clear" w:color="auto" w:fill="auto"/>
              <w:spacing w:line="240" w:lineRule="auto"/>
              <w:jc w:val="center"/>
              <w:rPr>
                <w:b/>
                <w:bCs/>
                <w:szCs w:val="21"/>
              </w:rPr>
            </w:pPr>
            <w:r>
              <w:rPr>
                <w:rFonts w:hint="eastAsia"/>
                <w:b/>
                <w:bCs/>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05" w:type="dxa"/>
            <w:vMerge w:val="continue"/>
            <w:shd w:val="clear" w:color="auto" w:fill="auto"/>
            <w:vAlign w:val="center"/>
          </w:tcPr>
          <w:p>
            <w:pPr>
              <w:shd w:val="clear" w:color="auto" w:fill="auto"/>
              <w:spacing w:line="240" w:lineRule="auto"/>
              <w:rPr>
                <w:szCs w:val="21"/>
              </w:rPr>
            </w:pPr>
          </w:p>
        </w:tc>
        <w:tc>
          <w:tcPr>
            <w:tcW w:w="692" w:type="dxa"/>
            <w:shd w:val="clear" w:color="auto" w:fill="auto"/>
            <w:vAlign w:val="center"/>
          </w:tcPr>
          <w:p>
            <w:pPr>
              <w:shd w:val="clear" w:color="auto" w:fill="auto"/>
              <w:spacing w:line="240" w:lineRule="auto"/>
              <w:jc w:val="center"/>
              <w:rPr>
                <w:szCs w:val="21"/>
              </w:rPr>
            </w:pPr>
            <w:r>
              <w:rPr>
                <w:rFonts w:hint="eastAsia"/>
                <w:szCs w:val="21"/>
              </w:rPr>
              <w:t>1</w:t>
            </w:r>
          </w:p>
        </w:tc>
        <w:tc>
          <w:tcPr>
            <w:tcW w:w="1445" w:type="dxa"/>
            <w:shd w:val="clear" w:color="auto" w:fill="auto"/>
            <w:vAlign w:val="center"/>
          </w:tcPr>
          <w:p>
            <w:pPr>
              <w:shd w:val="clear" w:color="auto" w:fill="auto"/>
              <w:spacing w:line="240" w:lineRule="auto"/>
              <w:jc w:val="center"/>
              <w:rPr>
                <w:szCs w:val="21"/>
              </w:rPr>
            </w:pPr>
            <w:r>
              <w:rPr>
                <w:rFonts w:hint="eastAsia"/>
                <w:szCs w:val="21"/>
              </w:rPr>
              <w:t>供应商认证情况</w:t>
            </w:r>
          </w:p>
        </w:tc>
        <w:tc>
          <w:tcPr>
            <w:tcW w:w="696" w:type="dxa"/>
            <w:shd w:val="clear" w:color="auto" w:fill="auto"/>
            <w:vAlign w:val="center"/>
          </w:tcPr>
          <w:p>
            <w:pPr>
              <w:shd w:val="clear" w:color="auto" w:fill="auto"/>
              <w:spacing w:line="240" w:lineRule="auto"/>
              <w:jc w:val="center"/>
              <w:rPr>
                <w:szCs w:val="21"/>
              </w:rPr>
            </w:pPr>
            <w:r>
              <w:rPr>
                <w:rFonts w:hint="eastAsia"/>
                <w:szCs w:val="21"/>
              </w:rPr>
              <w:t>3</w:t>
            </w:r>
          </w:p>
        </w:tc>
        <w:tc>
          <w:tcPr>
            <w:tcW w:w="804" w:type="dxa"/>
            <w:shd w:val="clear" w:color="auto" w:fill="auto"/>
            <w:vAlign w:val="center"/>
          </w:tcPr>
          <w:p>
            <w:pPr>
              <w:shd w:val="clear" w:color="auto" w:fill="auto"/>
              <w:spacing w:line="240" w:lineRule="auto"/>
              <w:jc w:val="center"/>
              <w:rPr>
                <w:szCs w:val="21"/>
              </w:rPr>
            </w:pPr>
            <w:r>
              <w:rPr>
                <w:rFonts w:hint="eastAsia"/>
                <w:szCs w:val="21"/>
              </w:rPr>
              <w:t>专家评分</w:t>
            </w:r>
          </w:p>
        </w:tc>
        <w:tc>
          <w:tcPr>
            <w:tcW w:w="4369" w:type="dxa"/>
            <w:shd w:val="clear" w:color="auto" w:fill="auto"/>
            <w:vAlign w:val="center"/>
          </w:tcPr>
          <w:p>
            <w:pPr>
              <w:shd w:val="clear" w:color="auto" w:fill="auto"/>
              <w:spacing w:line="240" w:lineRule="auto"/>
              <w:rPr>
                <w:b/>
                <w:bCs/>
                <w:szCs w:val="21"/>
              </w:rPr>
            </w:pPr>
            <w:r>
              <w:rPr>
                <w:rFonts w:hint="eastAsia"/>
                <w:b/>
                <w:bCs/>
                <w:szCs w:val="21"/>
              </w:rPr>
              <w:t>（一）评分内容：</w:t>
            </w:r>
          </w:p>
          <w:p>
            <w:pPr>
              <w:shd w:val="clear" w:color="auto" w:fill="auto"/>
              <w:spacing w:line="240" w:lineRule="auto"/>
              <w:rPr>
                <w:szCs w:val="21"/>
              </w:rPr>
            </w:pPr>
            <w:r>
              <w:rPr>
                <w:rFonts w:hint="eastAsia"/>
                <w:szCs w:val="21"/>
              </w:rPr>
              <w:t>1.投标人具有质量管理体系认证证书；</w:t>
            </w:r>
          </w:p>
          <w:p>
            <w:pPr>
              <w:shd w:val="clear" w:color="auto" w:fill="auto"/>
              <w:spacing w:line="240" w:lineRule="auto"/>
              <w:rPr>
                <w:szCs w:val="21"/>
              </w:rPr>
            </w:pPr>
            <w:r>
              <w:rPr>
                <w:rFonts w:hint="eastAsia"/>
                <w:szCs w:val="21"/>
              </w:rPr>
              <w:t>2.投标人具有环境管理体系认证证书；</w:t>
            </w:r>
          </w:p>
          <w:p>
            <w:pPr>
              <w:shd w:val="clear" w:color="auto" w:fill="auto"/>
              <w:spacing w:line="240" w:lineRule="auto"/>
              <w:rPr>
                <w:szCs w:val="21"/>
              </w:rPr>
            </w:pPr>
            <w:r>
              <w:rPr>
                <w:rFonts w:hint="eastAsia"/>
                <w:szCs w:val="21"/>
              </w:rPr>
              <w:t>3.投标人具有职业健康安全管理体系认证证书；</w:t>
            </w:r>
          </w:p>
          <w:p>
            <w:pPr>
              <w:shd w:val="clear" w:color="auto" w:fill="auto"/>
              <w:spacing w:line="240" w:lineRule="auto"/>
              <w:rPr>
                <w:szCs w:val="21"/>
              </w:rPr>
            </w:pPr>
            <w:r>
              <w:rPr>
                <w:rFonts w:hint="eastAsia"/>
                <w:szCs w:val="21"/>
              </w:rPr>
              <w:t>每提供一项证书得1分，本项最高得3分。</w:t>
            </w:r>
          </w:p>
          <w:p>
            <w:pPr>
              <w:shd w:val="clear" w:color="auto" w:fill="auto"/>
              <w:spacing w:line="240" w:lineRule="auto"/>
              <w:rPr>
                <w:b/>
                <w:bCs/>
                <w:szCs w:val="21"/>
              </w:rPr>
            </w:pPr>
            <w:r>
              <w:rPr>
                <w:rFonts w:hint="eastAsia"/>
                <w:b/>
                <w:bCs/>
                <w:szCs w:val="21"/>
              </w:rPr>
              <w:t>（二）评分依据：</w:t>
            </w:r>
          </w:p>
          <w:p>
            <w:pPr>
              <w:shd w:val="clear" w:color="auto" w:fill="auto"/>
              <w:spacing w:line="240" w:lineRule="auto"/>
              <w:rPr>
                <w:szCs w:val="21"/>
              </w:rPr>
            </w:pPr>
            <w:r>
              <w:rPr>
                <w:rFonts w:hint="eastAsia"/>
                <w:szCs w:val="21"/>
              </w:rPr>
              <w:t>1.提供有效的认证证书以及国家认证认可监督管理委员会官方网站www.cnca.gov.cn查询截图，打印认证证书网站公布的链接信息资料截图（网址以http://cx.cnca.cn/CertECloud/index/index/page网站公布为准），资料证书状态须显示“有效”作为得分依据。</w:t>
            </w:r>
          </w:p>
          <w:p>
            <w:pPr>
              <w:shd w:val="clear" w:color="auto" w:fill="auto"/>
              <w:spacing w:line="240" w:lineRule="auto"/>
              <w:rPr>
                <w:szCs w:val="21"/>
              </w:rPr>
            </w:pPr>
            <w:r>
              <w:rPr>
                <w:rFonts w:hint="eastAsia"/>
                <w:szCs w:val="21"/>
              </w:rPr>
              <w:t>2.以上资料均要求提供复印件，原件备查。评分中出现无证明资料或专家无法凭所提供资料判断是否得分的情况，一律作不得分处理。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05" w:type="dxa"/>
            <w:vMerge w:val="continue"/>
            <w:shd w:val="clear" w:color="auto" w:fill="auto"/>
            <w:vAlign w:val="center"/>
          </w:tcPr>
          <w:p>
            <w:pPr>
              <w:shd w:val="clear" w:color="auto" w:fill="auto"/>
              <w:spacing w:line="240" w:lineRule="auto"/>
              <w:rPr>
                <w:szCs w:val="21"/>
              </w:rPr>
            </w:pPr>
          </w:p>
        </w:tc>
        <w:tc>
          <w:tcPr>
            <w:tcW w:w="692" w:type="dxa"/>
            <w:shd w:val="clear" w:color="auto" w:fill="auto"/>
            <w:vAlign w:val="center"/>
          </w:tcPr>
          <w:p>
            <w:pPr>
              <w:shd w:val="clear" w:color="auto" w:fill="auto"/>
              <w:spacing w:line="240" w:lineRule="auto"/>
              <w:jc w:val="center"/>
              <w:rPr>
                <w:szCs w:val="21"/>
              </w:rPr>
            </w:pPr>
            <w:r>
              <w:rPr>
                <w:rFonts w:hint="eastAsia"/>
                <w:szCs w:val="21"/>
              </w:rPr>
              <w:t>2</w:t>
            </w:r>
          </w:p>
        </w:tc>
        <w:tc>
          <w:tcPr>
            <w:tcW w:w="1445" w:type="dxa"/>
            <w:shd w:val="clear" w:color="auto" w:fill="auto"/>
            <w:vAlign w:val="center"/>
          </w:tcPr>
          <w:p>
            <w:pPr>
              <w:shd w:val="clear" w:color="auto" w:fill="auto"/>
              <w:spacing w:line="240" w:lineRule="auto"/>
              <w:jc w:val="center"/>
              <w:rPr>
                <w:szCs w:val="21"/>
              </w:rPr>
            </w:pPr>
            <w:r>
              <w:rPr>
                <w:rFonts w:hint="eastAsia"/>
                <w:szCs w:val="21"/>
              </w:rPr>
              <w:t>供应商同类项目业绩情况</w:t>
            </w:r>
          </w:p>
        </w:tc>
        <w:tc>
          <w:tcPr>
            <w:tcW w:w="696" w:type="dxa"/>
            <w:shd w:val="clear" w:color="auto" w:fill="auto"/>
            <w:vAlign w:val="center"/>
          </w:tcPr>
          <w:p>
            <w:pPr>
              <w:shd w:val="clear" w:color="auto" w:fill="auto"/>
              <w:spacing w:line="240" w:lineRule="auto"/>
              <w:jc w:val="center"/>
              <w:rPr>
                <w:szCs w:val="21"/>
              </w:rPr>
            </w:pPr>
            <w:r>
              <w:rPr>
                <w:rFonts w:hint="eastAsia"/>
                <w:szCs w:val="21"/>
              </w:rPr>
              <w:t>8</w:t>
            </w:r>
          </w:p>
        </w:tc>
        <w:tc>
          <w:tcPr>
            <w:tcW w:w="804" w:type="dxa"/>
            <w:shd w:val="clear" w:color="auto" w:fill="auto"/>
            <w:vAlign w:val="center"/>
          </w:tcPr>
          <w:p>
            <w:pPr>
              <w:shd w:val="clear" w:color="auto" w:fill="auto"/>
              <w:spacing w:line="240" w:lineRule="auto"/>
              <w:jc w:val="center"/>
              <w:rPr>
                <w:szCs w:val="21"/>
              </w:rPr>
            </w:pPr>
            <w:r>
              <w:rPr>
                <w:rFonts w:hint="eastAsia"/>
                <w:szCs w:val="21"/>
              </w:rPr>
              <w:t>专家评分</w:t>
            </w:r>
          </w:p>
        </w:tc>
        <w:tc>
          <w:tcPr>
            <w:tcW w:w="4369" w:type="dxa"/>
            <w:shd w:val="clear" w:color="auto" w:fill="auto"/>
            <w:vAlign w:val="center"/>
          </w:tcPr>
          <w:p>
            <w:pPr>
              <w:shd w:val="clear" w:color="auto" w:fill="auto"/>
              <w:spacing w:line="240" w:lineRule="auto"/>
              <w:rPr>
                <w:b/>
                <w:szCs w:val="21"/>
              </w:rPr>
            </w:pPr>
            <w:r>
              <w:rPr>
                <w:rFonts w:hint="eastAsia"/>
                <w:b/>
                <w:szCs w:val="21"/>
              </w:rPr>
              <w:t>（一）评分内容：</w:t>
            </w:r>
          </w:p>
          <w:p>
            <w:pPr>
              <w:shd w:val="clear" w:color="auto" w:fill="auto"/>
              <w:spacing w:line="240" w:lineRule="auto"/>
              <w:rPr>
                <w:szCs w:val="21"/>
              </w:rPr>
            </w:pPr>
            <w:r>
              <w:rPr>
                <w:rFonts w:hint="eastAsia"/>
                <w:szCs w:val="21"/>
              </w:rPr>
              <w:t>提供2021年1月1日至今（以合同签订时间为准）的同类业绩（图书类搬迁项目），每提供一个得2分，最高得8分。</w:t>
            </w:r>
          </w:p>
          <w:p>
            <w:pPr>
              <w:shd w:val="clear" w:color="auto" w:fill="auto"/>
              <w:spacing w:line="240" w:lineRule="auto"/>
              <w:rPr>
                <w:b/>
                <w:szCs w:val="21"/>
              </w:rPr>
            </w:pPr>
            <w:r>
              <w:rPr>
                <w:rFonts w:hint="eastAsia"/>
                <w:b/>
                <w:szCs w:val="21"/>
              </w:rPr>
              <w:t>（二）评分依据：</w:t>
            </w:r>
          </w:p>
          <w:p>
            <w:pPr>
              <w:shd w:val="clear" w:color="auto" w:fill="auto"/>
              <w:spacing w:line="240" w:lineRule="auto"/>
              <w:rPr>
                <w:szCs w:val="21"/>
              </w:rPr>
            </w:pPr>
            <w:r>
              <w:rPr>
                <w:rFonts w:hint="eastAsia"/>
                <w:szCs w:val="21"/>
              </w:rPr>
              <w:t>投标文件中提供中标（成交）通知书、合同关键面(合同关键信息或清单有清晰图书或图书馆等描述）、签字盖章页及采购单位盖章的验收证明复印件并加盖投标人公章，未提供或提供无效者不得分。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05" w:type="dxa"/>
            <w:vMerge w:val="continue"/>
            <w:shd w:val="clear" w:color="auto" w:fill="auto"/>
            <w:vAlign w:val="center"/>
          </w:tcPr>
          <w:p>
            <w:pPr>
              <w:shd w:val="clear" w:color="auto" w:fill="auto"/>
              <w:spacing w:line="240" w:lineRule="auto"/>
              <w:rPr>
                <w:szCs w:val="21"/>
              </w:rPr>
            </w:pPr>
          </w:p>
        </w:tc>
        <w:tc>
          <w:tcPr>
            <w:tcW w:w="692" w:type="dxa"/>
            <w:shd w:val="clear" w:color="auto" w:fill="auto"/>
            <w:vAlign w:val="center"/>
          </w:tcPr>
          <w:p>
            <w:pPr>
              <w:shd w:val="clear" w:color="auto" w:fill="auto"/>
              <w:spacing w:line="240" w:lineRule="auto"/>
              <w:jc w:val="center"/>
              <w:rPr>
                <w:szCs w:val="21"/>
              </w:rPr>
            </w:pPr>
            <w:r>
              <w:rPr>
                <w:rFonts w:hint="eastAsia"/>
                <w:szCs w:val="21"/>
              </w:rPr>
              <w:t>3</w:t>
            </w:r>
          </w:p>
        </w:tc>
        <w:tc>
          <w:tcPr>
            <w:tcW w:w="1445" w:type="dxa"/>
            <w:shd w:val="clear" w:color="auto" w:fill="auto"/>
            <w:vAlign w:val="center"/>
          </w:tcPr>
          <w:p>
            <w:pPr>
              <w:shd w:val="clear" w:color="auto" w:fill="auto"/>
              <w:spacing w:line="240" w:lineRule="auto"/>
              <w:jc w:val="center"/>
              <w:rPr>
                <w:szCs w:val="21"/>
              </w:rPr>
            </w:pPr>
            <w:r>
              <w:rPr>
                <w:rFonts w:hint="eastAsia"/>
                <w:szCs w:val="21"/>
              </w:rPr>
              <w:t>用户评价</w:t>
            </w:r>
          </w:p>
        </w:tc>
        <w:tc>
          <w:tcPr>
            <w:tcW w:w="696" w:type="dxa"/>
            <w:shd w:val="clear" w:color="auto" w:fill="auto"/>
            <w:vAlign w:val="center"/>
          </w:tcPr>
          <w:p>
            <w:pPr>
              <w:shd w:val="clear" w:color="auto" w:fill="auto"/>
              <w:spacing w:line="240" w:lineRule="auto"/>
              <w:jc w:val="center"/>
              <w:rPr>
                <w:szCs w:val="21"/>
              </w:rPr>
            </w:pPr>
            <w:r>
              <w:rPr>
                <w:rFonts w:hint="eastAsia"/>
                <w:szCs w:val="21"/>
              </w:rPr>
              <w:t>6</w:t>
            </w:r>
          </w:p>
        </w:tc>
        <w:tc>
          <w:tcPr>
            <w:tcW w:w="804" w:type="dxa"/>
            <w:shd w:val="clear" w:color="auto" w:fill="auto"/>
            <w:vAlign w:val="center"/>
          </w:tcPr>
          <w:p>
            <w:pPr>
              <w:shd w:val="clear" w:color="auto" w:fill="auto"/>
              <w:spacing w:line="240" w:lineRule="auto"/>
              <w:jc w:val="center"/>
              <w:rPr>
                <w:szCs w:val="21"/>
              </w:rPr>
            </w:pPr>
            <w:r>
              <w:rPr>
                <w:rFonts w:hint="eastAsia"/>
                <w:szCs w:val="21"/>
              </w:rPr>
              <w:t>专家评分</w:t>
            </w:r>
          </w:p>
        </w:tc>
        <w:tc>
          <w:tcPr>
            <w:tcW w:w="4369" w:type="dxa"/>
            <w:shd w:val="clear" w:color="auto" w:fill="auto"/>
            <w:vAlign w:val="center"/>
          </w:tcPr>
          <w:p>
            <w:pPr>
              <w:shd w:val="clear" w:color="auto" w:fill="auto"/>
              <w:spacing w:line="240" w:lineRule="auto"/>
              <w:rPr>
                <w:b/>
                <w:szCs w:val="21"/>
              </w:rPr>
            </w:pPr>
            <w:r>
              <w:rPr>
                <w:rFonts w:hint="eastAsia"/>
                <w:b/>
                <w:szCs w:val="21"/>
              </w:rPr>
              <w:t>（一）评分内容：</w:t>
            </w:r>
          </w:p>
          <w:p>
            <w:pPr>
              <w:shd w:val="clear" w:color="auto" w:fill="auto"/>
              <w:spacing w:line="240" w:lineRule="auto"/>
              <w:rPr>
                <w:szCs w:val="21"/>
              </w:rPr>
            </w:pPr>
            <w:r>
              <w:rPr>
                <w:rFonts w:hint="eastAsia"/>
                <w:szCs w:val="21"/>
              </w:rPr>
              <w:t>上述同类项目业绩中，获得项目用户单位出具的满意度优、良好（或同等评价）及以上评价的证明材料，每提供一项得1.5分，最高6分。</w:t>
            </w:r>
          </w:p>
          <w:p>
            <w:pPr>
              <w:shd w:val="clear" w:color="auto" w:fill="auto"/>
              <w:spacing w:line="240" w:lineRule="auto"/>
              <w:rPr>
                <w:b/>
                <w:szCs w:val="21"/>
              </w:rPr>
            </w:pPr>
            <w:r>
              <w:rPr>
                <w:rFonts w:hint="eastAsia"/>
                <w:b/>
                <w:szCs w:val="21"/>
              </w:rPr>
              <w:t>（二）评分依据：</w:t>
            </w:r>
          </w:p>
          <w:p>
            <w:pPr>
              <w:shd w:val="clear" w:color="auto" w:fill="auto"/>
              <w:spacing w:line="240" w:lineRule="auto"/>
              <w:rPr>
                <w:szCs w:val="21"/>
              </w:rPr>
            </w:pPr>
            <w:r>
              <w:rPr>
                <w:rFonts w:hint="eastAsia"/>
                <w:szCs w:val="21"/>
              </w:rPr>
              <w:t>提供证明材料（需体现用户单位公章）复印件加盖投标人公章，不提供不得分。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05" w:type="dxa"/>
            <w:vMerge w:val="restart"/>
            <w:shd w:val="clear" w:color="auto" w:fill="auto"/>
          </w:tcPr>
          <w:p>
            <w:pPr>
              <w:shd w:val="clear" w:color="auto" w:fill="auto"/>
              <w:spacing w:line="240" w:lineRule="auto"/>
              <w:rPr>
                <w:szCs w:val="21"/>
              </w:rPr>
            </w:pPr>
            <w:r>
              <w:rPr>
                <w:rFonts w:hint="eastAsia"/>
                <w:b/>
                <w:szCs w:val="21"/>
              </w:rPr>
              <w:t>4</w:t>
            </w:r>
          </w:p>
        </w:tc>
        <w:tc>
          <w:tcPr>
            <w:tcW w:w="3637" w:type="dxa"/>
            <w:gridSpan w:val="4"/>
            <w:shd w:val="clear" w:color="auto" w:fill="auto"/>
            <w:vAlign w:val="center"/>
          </w:tcPr>
          <w:p>
            <w:pPr>
              <w:shd w:val="clear" w:color="auto" w:fill="auto"/>
              <w:spacing w:line="240" w:lineRule="auto"/>
              <w:jc w:val="center"/>
              <w:rPr>
                <w:szCs w:val="21"/>
              </w:rPr>
            </w:pPr>
            <w:r>
              <w:rPr>
                <w:rFonts w:hint="eastAsia"/>
                <w:b/>
                <w:szCs w:val="21"/>
              </w:rPr>
              <w:t>诚信情况</w:t>
            </w:r>
          </w:p>
        </w:tc>
        <w:tc>
          <w:tcPr>
            <w:tcW w:w="4369" w:type="dxa"/>
            <w:shd w:val="clear" w:color="auto" w:fill="auto"/>
            <w:vAlign w:val="center"/>
          </w:tcPr>
          <w:p>
            <w:pPr>
              <w:shd w:val="clear" w:color="auto" w:fill="auto"/>
              <w:spacing w:line="240" w:lineRule="auto"/>
              <w:jc w:val="center"/>
              <w:rPr>
                <w:szCs w:val="21"/>
              </w:rPr>
            </w:pPr>
            <w:r>
              <w:rPr>
                <w:rFonts w:hint="eastAsia"/>
                <w:b/>
                <w:bCs/>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05" w:type="dxa"/>
            <w:vMerge w:val="continue"/>
            <w:shd w:val="clear" w:color="auto" w:fill="auto"/>
            <w:vAlign w:val="center"/>
          </w:tcPr>
          <w:p>
            <w:pPr>
              <w:shd w:val="clear" w:color="auto" w:fill="auto"/>
              <w:spacing w:line="240" w:lineRule="auto"/>
              <w:rPr>
                <w:szCs w:val="21"/>
              </w:rPr>
            </w:pPr>
          </w:p>
        </w:tc>
        <w:tc>
          <w:tcPr>
            <w:tcW w:w="692" w:type="dxa"/>
            <w:shd w:val="clear" w:color="auto" w:fill="auto"/>
            <w:vAlign w:val="center"/>
          </w:tcPr>
          <w:p>
            <w:pPr>
              <w:shd w:val="clear" w:color="auto" w:fill="auto"/>
              <w:spacing w:line="240" w:lineRule="auto"/>
              <w:ind w:left="-29" w:leftChars="-14" w:right="-115" w:rightChars="-55"/>
              <w:jc w:val="center"/>
              <w:rPr>
                <w:szCs w:val="21"/>
              </w:rPr>
            </w:pPr>
            <w:r>
              <w:rPr>
                <w:rFonts w:hint="eastAsia"/>
                <w:b/>
                <w:szCs w:val="21"/>
              </w:rPr>
              <w:t>序号</w:t>
            </w:r>
          </w:p>
        </w:tc>
        <w:tc>
          <w:tcPr>
            <w:tcW w:w="1445" w:type="dxa"/>
            <w:shd w:val="clear" w:color="auto" w:fill="auto"/>
            <w:vAlign w:val="center"/>
          </w:tcPr>
          <w:p>
            <w:pPr>
              <w:shd w:val="clear" w:color="auto" w:fill="auto"/>
              <w:spacing w:line="240" w:lineRule="auto"/>
              <w:jc w:val="center"/>
              <w:rPr>
                <w:szCs w:val="21"/>
              </w:rPr>
            </w:pPr>
            <w:r>
              <w:rPr>
                <w:rFonts w:hint="eastAsia"/>
                <w:b/>
                <w:szCs w:val="21"/>
              </w:rPr>
              <w:t>评分因素</w:t>
            </w:r>
          </w:p>
        </w:tc>
        <w:tc>
          <w:tcPr>
            <w:tcW w:w="696" w:type="dxa"/>
            <w:shd w:val="clear" w:color="auto" w:fill="auto"/>
            <w:vAlign w:val="center"/>
          </w:tcPr>
          <w:p>
            <w:pPr>
              <w:shd w:val="clear" w:color="auto" w:fill="auto"/>
              <w:spacing w:line="240" w:lineRule="auto"/>
              <w:jc w:val="center"/>
              <w:rPr>
                <w:szCs w:val="21"/>
              </w:rPr>
            </w:pPr>
            <w:r>
              <w:rPr>
                <w:rFonts w:hint="eastAsia"/>
                <w:b/>
                <w:szCs w:val="21"/>
              </w:rPr>
              <w:t>分值</w:t>
            </w:r>
          </w:p>
        </w:tc>
        <w:tc>
          <w:tcPr>
            <w:tcW w:w="804" w:type="dxa"/>
            <w:shd w:val="clear" w:color="auto" w:fill="auto"/>
            <w:vAlign w:val="center"/>
          </w:tcPr>
          <w:p>
            <w:pPr>
              <w:shd w:val="clear" w:color="auto" w:fill="auto"/>
              <w:spacing w:line="240" w:lineRule="auto"/>
              <w:jc w:val="center"/>
              <w:rPr>
                <w:szCs w:val="21"/>
              </w:rPr>
            </w:pPr>
            <w:r>
              <w:rPr>
                <w:rFonts w:hint="eastAsia"/>
                <w:b/>
                <w:bCs/>
                <w:szCs w:val="21"/>
              </w:rPr>
              <w:t>评分方式</w:t>
            </w:r>
          </w:p>
        </w:tc>
        <w:tc>
          <w:tcPr>
            <w:tcW w:w="4369" w:type="dxa"/>
            <w:shd w:val="clear" w:color="auto" w:fill="auto"/>
            <w:vAlign w:val="center"/>
          </w:tcPr>
          <w:p>
            <w:pPr>
              <w:shd w:val="clear" w:color="auto" w:fill="auto"/>
              <w:spacing w:line="240" w:lineRule="auto"/>
              <w:jc w:val="center"/>
              <w:rPr>
                <w:szCs w:val="21"/>
              </w:rPr>
            </w:pPr>
            <w:r>
              <w:rPr>
                <w:rFonts w:hint="eastAsia"/>
                <w:b/>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05" w:type="dxa"/>
            <w:vMerge w:val="continue"/>
            <w:shd w:val="clear" w:color="auto" w:fill="auto"/>
            <w:vAlign w:val="center"/>
          </w:tcPr>
          <w:p>
            <w:pPr>
              <w:shd w:val="clear" w:color="auto" w:fill="auto"/>
              <w:spacing w:line="240" w:lineRule="auto"/>
              <w:rPr>
                <w:szCs w:val="21"/>
              </w:rPr>
            </w:pPr>
          </w:p>
        </w:tc>
        <w:tc>
          <w:tcPr>
            <w:tcW w:w="692" w:type="dxa"/>
            <w:shd w:val="clear" w:color="auto" w:fill="auto"/>
            <w:vAlign w:val="center"/>
          </w:tcPr>
          <w:p>
            <w:pPr>
              <w:shd w:val="clear" w:color="auto" w:fill="auto"/>
              <w:spacing w:line="240" w:lineRule="auto"/>
              <w:jc w:val="center"/>
              <w:rPr>
                <w:szCs w:val="21"/>
              </w:rPr>
            </w:pPr>
            <w:r>
              <w:rPr>
                <w:rFonts w:hint="eastAsia"/>
                <w:szCs w:val="21"/>
              </w:rPr>
              <w:t>1</w:t>
            </w:r>
          </w:p>
        </w:tc>
        <w:tc>
          <w:tcPr>
            <w:tcW w:w="1445" w:type="dxa"/>
            <w:shd w:val="clear" w:color="auto" w:fill="auto"/>
            <w:vAlign w:val="center"/>
          </w:tcPr>
          <w:p>
            <w:pPr>
              <w:shd w:val="clear" w:color="auto" w:fill="auto"/>
              <w:spacing w:line="240" w:lineRule="auto"/>
              <w:jc w:val="center"/>
              <w:rPr>
                <w:szCs w:val="21"/>
              </w:rPr>
            </w:pPr>
            <w:r>
              <w:rPr>
                <w:rFonts w:hint="eastAsia"/>
                <w:szCs w:val="21"/>
              </w:rPr>
              <w:t>诚信情况</w:t>
            </w:r>
          </w:p>
        </w:tc>
        <w:tc>
          <w:tcPr>
            <w:tcW w:w="696" w:type="dxa"/>
            <w:shd w:val="clear" w:color="auto" w:fill="auto"/>
            <w:vAlign w:val="center"/>
          </w:tcPr>
          <w:p>
            <w:pPr>
              <w:shd w:val="clear" w:color="auto" w:fill="auto"/>
              <w:spacing w:line="240" w:lineRule="auto"/>
              <w:jc w:val="center"/>
              <w:rPr>
                <w:szCs w:val="21"/>
              </w:rPr>
            </w:pPr>
            <w:r>
              <w:rPr>
                <w:rFonts w:hint="eastAsia"/>
                <w:szCs w:val="21"/>
              </w:rPr>
              <w:t>3</w:t>
            </w:r>
          </w:p>
        </w:tc>
        <w:tc>
          <w:tcPr>
            <w:tcW w:w="804" w:type="dxa"/>
            <w:shd w:val="clear" w:color="auto" w:fill="auto"/>
            <w:vAlign w:val="center"/>
          </w:tcPr>
          <w:p>
            <w:pPr>
              <w:shd w:val="clear" w:color="auto" w:fill="auto"/>
              <w:spacing w:line="240" w:lineRule="auto"/>
              <w:jc w:val="center"/>
              <w:rPr>
                <w:szCs w:val="21"/>
              </w:rPr>
            </w:pPr>
            <w:r>
              <w:rPr>
                <w:rFonts w:hint="eastAsia"/>
                <w:szCs w:val="21"/>
              </w:rPr>
              <w:t>专家评分</w:t>
            </w:r>
          </w:p>
        </w:tc>
        <w:tc>
          <w:tcPr>
            <w:tcW w:w="4369" w:type="dxa"/>
            <w:shd w:val="clear" w:color="auto" w:fill="auto"/>
            <w:vAlign w:val="center"/>
          </w:tcPr>
          <w:p>
            <w:pPr>
              <w:shd w:val="clear" w:color="auto" w:fill="auto"/>
              <w:spacing w:line="240" w:lineRule="auto"/>
              <w:rPr>
                <w:b/>
                <w:bCs/>
                <w:szCs w:val="21"/>
              </w:rPr>
            </w:pPr>
            <w:r>
              <w:rPr>
                <w:rFonts w:hint="eastAsia"/>
                <w:b/>
                <w:bCs/>
                <w:szCs w:val="21"/>
              </w:rPr>
              <w:t>（一）评分内容</w:t>
            </w:r>
          </w:p>
          <w:p>
            <w:pPr>
              <w:shd w:val="clear" w:color="auto" w:fill="auto"/>
              <w:spacing w:line="240" w:lineRule="auto"/>
              <w:rPr>
                <w:szCs w:val="21"/>
              </w:rPr>
            </w:pPr>
            <w:r>
              <w:rPr>
                <w:rFonts w:hint="eastAsia"/>
                <w:szCs w:val="21"/>
              </w:rPr>
              <w:t>投标人存在《深圳市财政局政府采购供应商信用信息管理办法》（深财规〔2023〕3号）列明的一般行政处罚信息、一般违法失信记录信息的，本项不得分，不存在上述情形的本项得3分。</w:t>
            </w:r>
          </w:p>
          <w:p>
            <w:pPr>
              <w:shd w:val="clear" w:color="auto" w:fill="auto"/>
              <w:spacing w:line="240" w:lineRule="auto"/>
              <w:rPr>
                <w:b/>
                <w:bCs/>
                <w:szCs w:val="21"/>
              </w:rPr>
            </w:pPr>
            <w:r>
              <w:rPr>
                <w:rFonts w:hint="eastAsia"/>
                <w:b/>
                <w:bCs/>
                <w:szCs w:val="21"/>
              </w:rPr>
              <w:t>（二）评分依据</w:t>
            </w:r>
          </w:p>
          <w:p>
            <w:pPr>
              <w:shd w:val="clear" w:color="auto" w:fill="auto"/>
              <w:spacing w:line="240" w:lineRule="auto"/>
              <w:rPr>
                <w:szCs w:val="21"/>
              </w:rPr>
            </w:pPr>
            <w:r>
              <w:rPr>
                <w:rFonts w:hint="eastAsia"/>
                <w:szCs w:val="21"/>
              </w:rPr>
              <w:t>1.查询渠道：通过“信用中国”（www.creditchina.gov.cn）、“中国政府采购网”（www.ccgp.gov.cn）、“深圳市政府采购监管网”（http://zfcg.sz.gov.cn）以及市、区财政部门认定的其他渠道查询供应商信用信息，具体以开标当日上述渠道的全部查询结果为准。</w:t>
            </w:r>
          </w:p>
          <w:p>
            <w:pPr>
              <w:shd w:val="clear" w:color="auto" w:fill="auto"/>
              <w:spacing w:line="240" w:lineRule="auto"/>
              <w:rPr>
                <w:szCs w:val="21"/>
              </w:rPr>
            </w:pPr>
            <w:r>
              <w:rPr>
                <w:rFonts w:hint="eastAsia"/>
                <w:szCs w:val="21"/>
              </w:rPr>
              <w:t>2.投标人无需提供任何证明材料，评标过程中由工作人员向评审委员会提供供应商诚信查询结果。</w:t>
            </w:r>
          </w:p>
        </w:tc>
      </w:tr>
    </w:tbl>
    <w:p>
      <w:pPr>
        <w:pStyle w:val="317"/>
        <w:shd w:val="clear" w:color="auto" w:fill="auto"/>
        <w:ind w:firstLine="420"/>
        <w:rPr>
          <w:rFonts w:ascii="Times New Roman" w:hAnsi="Times New Roman" w:cs="Times New Roman"/>
          <w:b w:val="0"/>
          <w:bCs/>
        </w:rPr>
      </w:pPr>
      <w:r>
        <w:rPr>
          <w:rFonts w:ascii="Times New Roman" w:hAnsi="Times New Roman" w:cs="Times New Roman"/>
          <w:b w:val="0"/>
          <w:bCs/>
        </w:rPr>
        <w:t>备注：</w:t>
      </w:r>
    </w:p>
    <w:p>
      <w:pPr>
        <w:pStyle w:val="317"/>
        <w:shd w:val="clear" w:color="auto" w:fill="auto"/>
        <w:ind w:firstLine="420"/>
        <w:rPr>
          <w:rFonts w:ascii="Times New Roman" w:hAnsi="Times New Roman" w:cs="Times New Roman"/>
          <w:b w:val="0"/>
          <w:bCs/>
        </w:rPr>
      </w:pPr>
      <w:r>
        <w:rPr>
          <w:rFonts w:ascii="Times New Roman" w:hAnsi="Times New Roman" w:cs="Times New Roman"/>
          <w:b w:val="0"/>
          <w:bCs/>
        </w:rPr>
        <w:t>1.有取值范围的，含上限值不含下限值。每一项的得分均不能超过该项最高分值。</w:t>
      </w:r>
    </w:p>
    <w:p>
      <w:pPr>
        <w:pStyle w:val="317"/>
        <w:shd w:val="clear" w:color="auto" w:fill="auto"/>
        <w:ind w:firstLine="420"/>
        <w:rPr>
          <w:rFonts w:ascii="Times New Roman" w:hAnsi="Times New Roman" w:cs="Times New Roman"/>
          <w:b w:val="0"/>
          <w:bCs/>
        </w:rPr>
      </w:pPr>
      <w:r>
        <w:rPr>
          <w:rFonts w:ascii="Times New Roman" w:hAnsi="Times New Roman" w:cs="Times New Roman"/>
          <w:b w:val="0"/>
          <w:bCs/>
        </w:rPr>
        <w:t>2.缺项则该项为0分或不合格为0分。</w:t>
      </w:r>
    </w:p>
    <w:p>
      <w:pPr>
        <w:pStyle w:val="317"/>
        <w:shd w:val="clear" w:color="auto" w:fill="auto"/>
        <w:ind w:firstLine="420"/>
        <w:rPr>
          <w:rFonts w:ascii="Times New Roman" w:hAnsi="Times New Roman" w:cs="Times New Roman"/>
          <w:b w:val="0"/>
          <w:bCs/>
        </w:rPr>
      </w:pPr>
      <w:r>
        <w:rPr>
          <w:rFonts w:ascii="Times New Roman" w:hAnsi="Times New Roman" w:cs="Times New Roman"/>
          <w:b w:val="0"/>
          <w:bCs/>
        </w:rPr>
        <w:t>3.价格、技术、商务部分为针对项目具体情况设置项目，累加满分为100分，固定额外加分部分为固定设置项，对涉及政策导向优先采购产品进行额外加分。</w:t>
      </w:r>
    </w:p>
    <w:p>
      <w:pPr>
        <w:pStyle w:val="317"/>
        <w:shd w:val="clear" w:color="auto" w:fill="auto"/>
        <w:ind w:firstLine="420"/>
        <w:rPr>
          <w:rFonts w:ascii="Times New Roman" w:hAnsi="Times New Roman" w:cs="Times New Roman"/>
          <w:b w:val="0"/>
          <w:bCs/>
          <w:snapToGrid w:val="0"/>
          <w:szCs w:val="18"/>
        </w:rPr>
      </w:pPr>
      <w:r>
        <w:rPr>
          <w:rFonts w:ascii="Times New Roman" w:hAnsi="Times New Roman" w:cs="Times New Roman"/>
          <w:b w:val="0"/>
          <w:bCs/>
        </w:rPr>
        <w:t>4.综合以上</w:t>
      </w:r>
      <w:r>
        <w:rPr>
          <w:rFonts w:ascii="Times New Roman" w:hAnsi="Times New Roman" w:cs="Times New Roman"/>
          <w:b w:val="0"/>
          <w:bCs/>
          <w:snapToGrid w:val="0"/>
        </w:rPr>
        <w:t>分析比较，评委会将对各投标文件进行书面的量化评定，得分</w:t>
      </w:r>
      <w:r>
        <w:rPr>
          <w:rFonts w:ascii="Times New Roman" w:hAnsi="Times New Roman" w:cs="Times New Roman"/>
          <w:b w:val="0"/>
          <w:bCs/>
          <w:snapToGrid w:val="0"/>
          <w:szCs w:val="18"/>
        </w:rPr>
        <w:t>精确到小数点后两位。</w:t>
      </w:r>
    </w:p>
    <w:p>
      <w:pPr>
        <w:shd w:val="clear" w:color="auto" w:fill="auto"/>
        <w:rPr>
          <w:rFonts w:ascii="Times New Roman" w:hAnsi="Times New Roman" w:cs="Times New Roman"/>
          <w:b/>
          <w:sz w:val="24"/>
        </w:rPr>
      </w:pPr>
      <w:r>
        <w:rPr>
          <w:rFonts w:ascii="Times New Roman" w:hAnsi="Times New Roman" w:cs="Times New Roman"/>
          <w:b/>
          <w:sz w:val="24"/>
        </w:rPr>
        <w:br w:type="page"/>
      </w:r>
    </w:p>
    <w:p>
      <w:pPr>
        <w:widowControl w:val="0"/>
        <w:shd w:val="clear" w:color="auto" w:fill="auto"/>
        <w:tabs>
          <w:tab w:val="clear" w:pos="426"/>
        </w:tabs>
        <w:spacing w:before="280" w:after="290" w:line="377" w:lineRule="auto"/>
        <w:ind w:firstLine="482"/>
        <w:jc w:val="center"/>
        <w:outlineLvl w:val="2"/>
        <w:rPr>
          <w:rFonts w:ascii="Times New Roman" w:hAnsi="Times New Roman" w:cs="Times New Roman"/>
          <w:b/>
          <w:sz w:val="24"/>
        </w:rPr>
      </w:pPr>
      <w:r>
        <w:rPr>
          <w:rFonts w:ascii="Times New Roman" w:hAnsi="Times New Roman" w:cs="Times New Roman"/>
          <w:b/>
          <w:sz w:val="24"/>
        </w:rPr>
        <w:t>需要落实的政府采购政策</w:t>
      </w:r>
    </w:p>
    <w:p>
      <w:pPr>
        <w:shd w:val="clear" w:color="auto" w:fill="auto"/>
        <w:tabs>
          <w:tab w:val="clear" w:pos="426"/>
        </w:tabs>
        <w:spacing w:line="300" w:lineRule="auto"/>
        <w:ind w:firstLine="422" w:firstLineChars="200"/>
        <w:rPr>
          <w:rFonts w:ascii="Times New Roman" w:hAnsi="Times New Roman" w:cs="Times New Roman"/>
          <w:b/>
          <w:bCs/>
          <w:szCs w:val="21"/>
        </w:rPr>
      </w:pPr>
      <w:r>
        <w:rPr>
          <w:rFonts w:ascii="Times New Roman" w:hAnsi="Times New Roman" w:cs="Times New Roman"/>
          <w:b/>
          <w:bCs/>
          <w:szCs w:val="21"/>
        </w:rPr>
        <w:t>一、评标优惠政策</w:t>
      </w:r>
    </w:p>
    <w:p>
      <w:pPr>
        <w:pStyle w:val="305"/>
        <w:rPr>
          <w:rFonts w:ascii="Times New Roman" w:hAnsi="Times New Roman"/>
        </w:rPr>
      </w:pPr>
      <w:r>
        <w:rPr>
          <w:rFonts w:ascii="Times New Roman" w:hAnsi="Times New Roman"/>
        </w:rPr>
        <w:t>1.根据《政府采购促进中小企业发展管理办法》（（财库〔2020〕46 号）》）、《财政部 司法部关于政府采购支持监狱企业发展有关问题的通知》（财库〔2014〕68号）</w:t>
      </w:r>
      <w:r>
        <w:rPr>
          <w:rFonts w:hint="eastAsia" w:ascii="Times New Roman" w:hAnsi="Times New Roman"/>
        </w:rPr>
        <w:t>、</w:t>
      </w:r>
      <w:r>
        <w:rPr>
          <w:rFonts w:ascii="Times New Roman" w:hAnsi="Times New Roman"/>
        </w:rPr>
        <w:t>《三部门联合发布关于促进残疾人就业政府采购政策的通知》（财库〔2017〕141号）和《深圳市财政局关于贯彻落实进一步加大政府采购支持中小企业力度有关事宜的通知》（深财购〔2022〕15 号）的规定，对满足价格扣除条件且在投标文件中提交了《投标人企业类型声明函》《残疾人福利性单位声明函》或省级以上监狱管理局、戒毒管理局（含新疆生产建设兵团）出具的属于监狱企业的证明文件的投标人，其投标报价扣除</w:t>
      </w:r>
      <w:r>
        <w:rPr>
          <w:rFonts w:hint="eastAsia" w:ascii="Times New Roman" w:hAnsi="Times New Roman"/>
          <w:b/>
          <w:bCs/>
          <w:u w:val="single"/>
          <w:lang w:val="en-US" w:eastAsia="zh-CN"/>
        </w:rPr>
        <w:t>/</w:t>
      </w:r>
      <w:r>
        <w:rPr>
          <w:rFonts w:ascii="Times New Roman" w:hAnsi="Times New Roman"/>
        </w:rPr>
        <w:t>%后参与评审。对于同时属于小微企业、监狱企业或残疾人福利性单位的，不重复进行投标报价扣除。如有其它政策支持因素（如鼓励创新等）需一并列出。</w:t>
      </w:r>
    </w:p>
    <w:p>
      <w:pPr>
        <w:pStyle w:val="305"/>
        <w:rPr>
          <w:rFonts w:ascii="Times New Roman" w:hAnsi="Times New Roman"/>
        </w:rPr>
      </w:pPr>
      <w:r>
        <w:rPr>
          <w:rFonts w:ascii="Times New Roman" w:hAnsi="Times New Roman"/>
        </w:rPr>
        <w:t>2.联合协议中约定，</w:t>
      </w:r>
      <w:r>
        <w:rPr>
          <w:rFonts w:ascii="Times New Roman" w:hAnsi="Times New Roman"/>
          <w:b/>
        </w:rPr>
        <w:t>小型、微型企业</w:t>
      </w:r>
      <w:r>
        <w:rPr>
          <w:rFonts w:ascii="Times New Roman" w:hAnsi="Times New Roman"/>
        </w:rPr>
        <w:t>和监狱企业的协议合同金额占到联合体协议合同总金额30%以上的，可给予联合体</w:t>
      </w:r>
      <w:r>
        <w:rPr>
          <w:rFonts w:ascii="Times New Roman" w:hAnsi="Times New Roman"/>
          <w:u w:val="single"/>
        </w:rPr>
        <w:t>__/__</w:t>
      </w:r>
      <w:r>
        <w:rPr>
          <w:rFonts w:ascii="Times New Roman" w:hAnsi="Times New Roman"/>
        </w:rPr>
        <w:t>%的价格扣除。</w:t>
      </w:r>
    </w:p>
    <w:p>
      <w:pPr>
        <w:pStyle w:val="305"/>
        <w:rPr>
          <w:rFonts w:ascii="Times New Roman" w:hAnsi="Times New Roman"/>
        </w:rPr>
      </w:pPr>
      <w:r>
        <w:rPr>
          <w:rFonts w:ascii="Times New Roman" w:hAnsi="Times New Roman"/>
        </w:rPr>
        <w:t>联合体各方均为</w:t>
      </w:r>
      <w:r>
        <w:rPr>
          <w:rFonts w:ascii="Times New Roman" w:hAnsi="Times New Roman"/>
          <w:b/>
        </w:rPr>
        <w:t>小型、微型企业</w:t>
      </w:r>
      <w:r>
        <w:rPr>
          <w:rFonts w:ascii="Times New Roman" w:hAnsi="Times New Roman"/>
        </w:rPr>
        <w:t>和监狱企业的，联合体视同为小型、微型企业和监狱企业，均享受</w:t>
      </w:r>
      <w:r>
        <w:rPr>
          <w:rFonts w:ascii="Times New Roman" w:hAnsi="Times New Roman"/>
          <w:b/>
          <w:bCs/>
        </w:rPr>
        <w:t>评标优惠政策</w:t>
      </w:r>
      <w:r>
        <w:rPr>
          <w:rFonts w:ascii="Times New Roman" w:hAnsi="Times New Roman"/>
        </w:rPr>
        <w:t>第一款的优惠政策。</w:t>
      </w:r>
    </w:p>
    <w:p>
      <w:pPr>
        <w:shd w:val="clear" w:color="auto" w:fill="auto"/>
        <w:ind w:firstLine="420" w:firstLineChars="200"/>
        <w:rPr>
          <w:rFonts w:ascii="Times New Roman" w:hAnsi="Times New Roman" w:cs="Times New Roman"/>
        </w:rPr>
      </w:pPr>
      <w:r>
        <w:rPr>
          <w:rFonts w:ascii="Times New Roman" w:hAnsi="Times New Roman" w:cs="Times New Roman"/>
        </w:rPr>
        <w:t>3.根据</w:t>
      </w:r>
      <w:r>
        <w:rPr>
          <w:rFonts w:ascii="Times New Roman" w:hAnsi="Times New Roman" w:cs="Times New Roman"/>
          <w:szCs w:val="22"/>
        </w:rPr>
        <w:t>《工业和信息化部、国家统计局、国家发展和改革委员会、财政部关于印发中小企业划型标准规定的通知》（工信部联企业〔2011〕300 号）</w:t>
      </w:r>
      <w:r>
        <w:rPr>
          <w:rFonts w:ascii="Times New Roman" w:hAnsi="Times New Roman" w:cs="Times New Roman"/>
        </w:rPr>
        <w:t>，</w:t>
      </w:r>
      <w:bookmarkStart w:id="10" w:name="_Hlk71970739"/>
      <w:r>
        <w:rPr>
          <w:rFonts w:ascii="Times New Roman" w:hAnsi="Times New Roman" w:cs="Times New Roman"/>
        </w:rPr>
        <w:t>本项目</w:t>
      </w:r>
      <w:bookmarkStart w:id="11" w:name="_Hlk71924718"/>
      <w:r>
        <w:rPr>
          <w:rFonts w:ascii="Times New Roman" w:hAnsi="Times New Roman" w:cs="Times New Roman"/>
        </w:rPr>
        <w:t>采购标的（货物）对应的中小企业划分标准所属行业</w:t>
      </w:r>
      <w:bookmarkEnd w:id="11"/>
      <w:r>
        <w:rPr>
          <w:rFonts w:ascii="Times New Roman" w:hAnsi="Times New Roman" w:cs="Times New Roman"/>
        </w:rPr>
        <w:t>为</w:t>
      </w:r>
      <w:r>
        <w:rPr>
          <w:rFonts w:ascii="Times New Roman" w:hAnsi="Times New Roman" w:cs="Times New Roman"/>
          <w:b/>
          <w:bCs/>
          <w:u w:val="single"/>
        </w:rPr>
        <w:t xml:space="preserve"> </w:t>
      </w:r>
      <w:r>
        <w:rPr>
          <w:rFonts w:hint="eastAsia" w:ascii="Times New Roman" w:hAnsi="Times New Roman" w:cs="Times New Roman"/>
          <w:b/>
          <w:bCs/>
          <w:u w:val="single"/>
        </w:rPr>
        <w:t>其他未列明行业</w:t>
      </w:r>
      <w:r>
        <w:rPr>
          <w:rFonts w:ascii="Times New Roman" w:hAnsi="Times New Roman" w:cs="Times New Roman"/>
          <w:b/>
          <w:bCs/>
          <w:u w:val="single"/>
        </w:rPr>
        <w:t xml:space="preserve"> </w:t>
      </w:r>
      <w:r>
        <w:rPr>
          <w:rFonts w:ascii="Times New Roman" w:hAnsi="Times New Roman" w:cs="Times New Roman"/>
          <w:b/>
          <w:bCs/>
        </w:rPr>
        <w:t>。</w:t>
      </w:r>
      <w:bookmarkEnd w:id="10"/>
      <w:r>
        <w:rPr>
          <w:rFonts w:hint="eastAsia" w:ascii="Times New Roman" w:hAnsi="Times New Roman" w:cs="Times New Roman"/>
        </w:rPr>
        <w:t>（1.农、林、牧、渔业；2.工业（包括采矿业，制造业，电力、热力、燃气及水生产和供应业）；3.建筑业；4.批发业；5.零售业；6.交通运输业（不含铁路运输业）；7.仓储业；8.邮政业；9.住宿业；10.餐饮业；11.信息传输业（包括电信、互联网和相关服务）；12.软件和信息技术服务业；13.房地产开发经营；14.物业管理；15.租赁和商务服务业；</w:t>
      </w:r>
      <w:bookmarkStart w:id="12" w:name="_Hlk172191531"/>
      <w:r>
        <w:rPr>
          <w:rFonts w:hint="eastAsia" w:ascii="Times New Roman" w:hAnsi="Times New Roman" w:cs="Times New Roman"/>
        </w:rPr>
        <w:t>16.其他未列明行业（包括科学研究和技术服务业，水利、环境和公共设施管理业，居民服务、修理和其他服务业，社会工作，文化、体育和娱乐业等）</w:t>
      </w:r>
      <w:bookmarkEnd w:id="12"/>
      <w:r>
        <w:rPr>
          <w:rFonts w:hint="eastAsia" w:ascii="Times New Roman" w:hAnsi="Times New Roman" w:cs="Times New Roman"/>
        </w:rPr>
        <w:t xml:space="preserve">。 </w:t>
      </w:r>
    </w:p>
    <w:p>
      <w:pPr>
        <w:shd w:val="clear" w:color="auto" w:fill="auto"/>
        <w:ind w:firstLine="420" w:firstLineChars="200"/>
        <w:rPr>
          <w:rFonts w:ascii="Times New Roman" w:hAnsi="Times New Roman" w:cs="Times New Roman"/>
        </w:rPr>
      </w:pPr>
      <w:r>
        <w:rPr>
          <w:rFonts w:ascii="Times New Roman" w:hAnsi="Times New Roman" w:cs="Times New Roman"/>
        </w:rPr>
        <w:t>4.小型企业、微型企业、残疾人福利性单位作为优惠主体的认定资料为《中小企业声明函》、《残疾人福利性单位声明函》；监狱企业作为优惠主体的认定资料为省级以上监狱管理局、戒毒管理局出具的监狱企业证明文件。</w:t>
      </w:r>
      <w:r>
        <w:rPr>
          <w:rFonts w:ascii="Times New Roman" w:hAnsi="Times New Roman" w:cs="Times New Roman"/>
          <w:szCs w:val="21"/>
        </w:rPr>
        <w:t>声明函样式见本招标文件 “投标文件格式、附件”中“四、投标人情况介绍”章节提供的格式</w:t>
      </w:r>
      <w:r>
        <w:rPr>
          <w:rFonts w:ascii="Times New Roman" w:hAnsi="Times New Roman" w:cs="Times New Roman"/>
        </w:rPr>
        <w:t>。</w:t>
      </w:r>
    </w:p>
    <w:p>
      <w:pPr>
        <w:shd w:val="clear" w:color="auto" w:fill="auto"/>
        <w:ind w:firstLine="420" w:firstLineChars="200"/>
        <w:rPr>
          <w:rFonts w:ascii="Times New Roman" w:hAnsi="Times New Roman" w:cs="Times New Roman"/>
          <w:szCs w:val="21"/>
        </w:rPr>
      </w:pPr>
      <w:r>
        <w:rPr>
          <w:rFonts w:ascii="Times New Roman" w:hAnsi="Times New Roman" w:cs="Times New Roman"/>
          <w:szCs w:val="21"/>
        </w:rPr>
        <w:t>5.享受价格扣除获得政府采购合同的，小微企业不得将合同分包给大中型企业。</w:t>
      </w:r>
    </w:p>
    <w:p>
      <w:pPr>
        <w:shd w:val="clear" w:color="auto" w:fill="auto"/>
        <w:tabs>
          <w:tab w:val="clear" w:pos="426"/>
        </w:tabs>
        <w:spacing w:line="300" w:lineRule="auto"/>
        <w:ind w:firstLine="422" w:firstLineChars="200"/>
        <w:rPr>
          <w:rFonts w:ascii="Times New Roman" w:hAnsi="Times New Roman" w:cs="Times New Roman"/>
          <w:b/>
          <w:bCs/>
          <w:szCs w:val="21"/>
        </w:rPr>
      </w:pPr>
    </w:p>
    <w:p>
      <w:pPr>
        <w:shd w:val="clear" w:color="auto" w:fill="auto"/>
        <w:tabs>
          <w:tab w:val="clear" w:pos="426"/>
        </w:tabs>
        <w:spacing w:line="300" w:lineRule="auto"/>
        <w:ind w:firstLine="422" w:firstLineChars="200"/>
        <w:rPr>
          <w:rFonts w:ascii="Times New Roman" w:hAnsi="Times New Roman" w:cs="Times New Roman"/>
          <w:b/>
          <w:bCs/>
          <w:szCs w:val="21"/>
        </w:rPr>
      </w:pPr>
      <w:r>
        <w:rPr>
          <w:rFonts w:ascii="Times New Roman" w:hAnsi="Times New Roman" w:cs="Times New Roman"/>
          <w:b/>
          <w:bCs/>
          <w:szCs w:val="21"/>
        </w:rPr>
        <w:t>二、关于失信供应商的价格上浮</w:t>
      </w:r>
    </w:p>
    <w:p>
      <w:pPr>
        <w:shd w:val="clear" w:color="auto" w:fill="auto"/>
        <w:tabs>
          <w:tab w:val="clear" w:pos="426"/>
        </w:tabs>
        <w:spacing w:line="300" w:lineRule="auto"/>
        <w:ind w:firstLine="420" w:firstLineChars="200"/>
        <w:rPr>
          <w:rFonts w:ascii="Times New Roman" w:hAnsi="Times New Roman" w:cs="Times New Roman"/>
          <w:szCs w:val="21"/>
        </w:rPr>
      </w:pPr>
      <w:r>
        <w:rPr>
          <w:rFonts w:ascii="Times New Roman" w:hAnsi="Times New Roman" w:cs="Times New Roman"/>
          <w:szCs w:val="21"/>
        </w:rPr>
        <w:t>根据《深圳市财政局关于印发〈深圳市政府采购供应商诚信管理暂行办法操作细则〉的通知》（深财购〔2017〕42号）的规定，采取价格评比法（比如最低评标价法）的项目，因违法违规行为被记入诚信档案的失信供应商最终报价在该企业最后一轮报价的基础上上浮10%。失信供应商符合优惠主体资格的，价格扣除和价格上浮一并执行。</w:t>
      </w:r>
    </w:p>
    <w:p>
      <w:pPr>
        <w:shd w:val="clear" w:color="auto" w:fill="auto"/>
        <w:tabs>
          <w:tab w:val="clear" w:pos="426"/>
        </w:tabs>
        <w:spacing w:line="300" w:lineRule="auto"/>
        <w:ind w:firstLine="422" w:firstLineChars="200"/>
        <w:rPr>
          <w:rFonts w:ascii="Times New Roman" w:hAnsi="Times New Roman" w:cs="Times New Roman"/>
          <w:b/>
          <w:szCs w:val="21"/>
        </w:rPr>
      </w:pPr>
    </w:p>
    <w:p>
      <w:pPr>
        <w:shd w:val="clear" w:color="auto" w:fill="auto"/>
        <w:tabs>
          <w:tab w:val="clear" w:pos="426"/>
        </w:tabs>
        <w:spacing w:line="300" w:lineRule="auto"/>
        <w:ind w:firstLine="422" w:firstLineChars="200"/>
        <w:rPr>
          <w:rFonts w:ascii="Times New Roman" w:hAnsi="Times New Roman" w:cs="Times New Roman"/>
          <w:b/>
          <w:szCs w:val="21"/>
        </w:rPr>
      </w:pPr>
      <w:r>
        <w:rPr>
          <w:rFonts w:ascii="Times New Roman" w:hAnsi="Times New Roman" w:cs="Times New Roman"/>
          <w:b/>
          <w:bCs/>
          <w:szCs w:val="21"/>
        </w:rPr>
        <w:t>三、</w:t>
      </w:r>
      <w:r>
        <w:rPr>
          <w:rFonts w:ascii="Times New Roman" w:hAnsi="Times New Roman" w:cs="Times New Roman"/>
          <w:b/>
          <w:szCs w:val="21"/>
        </w:rPr>
        <w:t>其他需要落实的政府采购政策</w:t>
      </w:r>
    </w:p>
    <w:p>
      <w:pPr>
        <w:shd w:val="clear" w:color="auto" w:fill="auto"/>
        <w:tabs>
          <w:tab w:val="clear" w:pos="426"/>
        </w:tabs>
        <w:spacing w:line="300" w:lineRule="auto"/>
        <w:ind w:firstLine="420" w:firstLineChars="200"/>
        <w:rPr>
          <w:rFonts w:ascii="Times New Roman" w:hAnsi="Times New Roman" w:cs="Times New Roman"/>
          <w:bCs/>
          <w:szCs w:val="21"/>
        </w:rPr>
      </w:pPr>
      <w:r>
        <w:rPr>
          <w:rFonts w:ascii="Times New Roman" w:hAnsi="Times New Roman" w:cs="Times New Roman"/>
          <w:bCs/>
          <w:szCs w:val="21"/>
        </w:rPr>
        <w:t>（一）采购人拟采购的产品属于《关于调整优化节能产品环境标志产品政府采购执行机制的通知》（财库〔2019〕9号）品目清单范围的，应依据国家确定的认证机构出具的、处于有效期之内的节能产品、环境标志产品认证证书，对获得证书的产品实施政府优先采购或强制采购。对于已列入品目清单的产品类别，采购人可在采购需求中提出更高的节约资源和保护环境要求，对符合条件的获证产品给予适当评审加分。对于未列入品目清单的产品类别，鼓励采购人综合考虑节能、节水、环保、循环、低碳、再生、有机等因素，参考相关国家标准、行业标准或团体标准，在采购需求中提出相关绿色采购要求，促进绿色产品推广应用。</w:t>
      </w:r>
    </w:p>
    <w:p>
      <w:pPr>
        <w:widowControl w:val="0"/>
        <w:shd w:val="clear" w:color="auto" w:fill="auto"/>
        <w:tabs>
          <w:tab w:val="clear" w:pos="426"/>
        </w:tabs>
        <w:spacing w:line="300" w:lineRule="auto"/>
        <w:ind w:firstLine="420" w:firstLineChars="200"/>
        <w:rPr>
          <w:rFonts w:ascii="Times New Roman" w:hAnsi="Times New Roman" w:cs="Times New Roman"/>
          <w:kern w:val="2"/>
          <w:szCs w:val="21"/>
        </w:rPr>
      </w:pPr>
      <w:r>
        <w:rPr>
          <w:rFonts w:ascii="Times New Roman" w:hAnsi="Times New Roman" w:cs="Times New Roman"/>
          <w:kern w:val="2"/>
          <w:szCs w:val="21"/>
        </w:rPr>
        <w:t>（二）根据《深圳市人民政府关于印发深圳市贯彻落实守信联合激励和失信联合惩戒制度实施方案的通知》（深府〔2017〕57号）、《深圳市政府采购供应商诚信管理暂行办法》（深财规〔2017〕8号）以及《深圳市财政局关于印发&lt;深圳市政府采购供应商诚信管理暂行办法操作细则&gt;的通知》的要求，对列入失信“黑名单”的供应商限制参与政府采购。</w:t>
      </w:r>
    </w:p>
    <w:p>
      <w:pPr>
        <w:widowControl w:val="0"/>
        <w:shd w:val="clear" w:color="auto" w:fill="auto"/>
        <w:tabs>
          <w:tab w:val="clear" w:pos="426"/>
        </w:tabs>
        <w:spacing w:line="300" w:lineRule="auto"/>
        <w:ind w:firstLine="420" w:firstLineChars="200"/>
        <w:rPr>
          <w:rFonts w:ascii="Times New Roman" w:hAnsi="Times New Roman" w:cs="Times New Roman"/>
          <w:kern w:val="2"/>
          <w:szCs w:val="21"/>
        </w:rPr>
      </w:pPr>
      <w:r>
        <w:rPr>
          <w:rFonts w:ascii="Times New Roman" w:hAnsi="Times New Roman" w:cs="Times New Roman"/>
          <w:kern w:val="2"/>
          <w:szCs w:val="21"/>
        </w:rPr>
        <w:t>（三）若供应商在政府采购活动中出现《深圳经济特区政府采购条例实施细则》第八十四条规定情形的，采购人或招标机构可将有关情况报同级财政部门，由财政部门根据实际情况记入供应商诚信档案，予以通报。市、区财政部门将加大对违法违规供应商的惩戒力度，实施联合惩戒。</w:t>
      </w:r>
    </w:p>
    <w:p>
      <w:pPr>
        <w:widowControl w:val="0"/>
        <w:shd w:val="clear" w:color="auto" w:fill="auto"/>
        <w:tabs>
          <w:tab w:val="clear" w:pos="426"/>
        </w:tabs>
        <w:spacing w:line="300" w:lineRule="auto"/>
        <w:ind w:firstLine="420" w:firstLineChars="200"/>
        <w:rPr>
          <w:rFonts w:ascii="Times New Roman" w:hAnsi="Times New Roman" w:cs="Times New Roman"/>
          <w:kern w:val="2"/>
          <w:szCs w:val="21"/>
        </w:rPr>
      </w:pPr>
      <w:r>
        <w:rPr>
          <w:rFonts w:ascii="Times New Roman" w:hAnsi="Times New Roman" w:cs="Times New Roman"/>
          <w:kern w:val="2"/>
          <w:szCs w:val="21"/>
        </w:rPr>
        <w:t>（四）根据财政部《关于在政府采购活动中查询及使用信用记录有关问题的通知》（财库〔2016〕125号）、《深圳市政府采购供应商诚信管理暂行办法》（深财规〔2017〕8号），供应商信用信息的查询渠道为“信用中国（https：//www.creditchina.gov.cn/）”中的“信用服务”栏的“重大税收违法案件当事人名单”“失信被执行人”、“中国政府采购网（http：//www.ccgp.gov.cn/）” 中的“政府采购严重违法失信行为记录名单”、“深圳信用网（https：//www.szcredit.org.cn/）”、“深圳市政府采购监管网（http：//www.zfcg.sz.gov.cn/）”，相关信息以开标当日的查询结果为准。</w:t>
      </w:r>
    </w:p>
    <w:p>
      <w:pPr>
        <w:widowControl w:val="0"/>
        <w:shd w:val="clear" w:color="auto" w:fill="auto"/>
        <w:tabs>
          <w:tab w:val="clear" w:pos="426"/>
        </w:tabs>
        <w:spacing w:line="300" w:lineRule="auto"/>
        <w:ind w:firstLine="420" w:firstLineChars="200"/>
        <w:rPr>
          <w:rFonts w:ascii="Times New Roman" w:hAnsi="Times New Roman" w:cs="Times New Roman"/>
          <w:kern w:val="2"/>
          <w:szCs w:val="21"/>
        </w:rPr>
      </w:pPr>
    </w:p>
    <w:p>
      <w:pPr>
        <w:widowControl w:val="0"/>
        <w:shd w:val="clear" w:color="auto" w:fill="auto"/>
        <w:tabs>
          <w:tab w:val="clear" w:pos="426"/>
        </w:tabs>
        <w:spacing w:line="300" w:lineRule="auto"/>
        <w:ind w:firstLine="420" w:firstLineChars="200"/>
        <w:rPr>
          <w:rFonts w:ascii="Times New Roman" w:hAnsi="Times New Roman" w:cs="Times New Roman"/>
          <w:kern w:val="2"/>
          <w:szCs w:val="21"/>
        </w:rPr>
      </w:pPr>
    </w:p>
    <w:p>
      <w:pPr>
        <w:shd w:val="clear" w:color="auto" w:fill="auto"/>
        <w:tabs>
          <w:tab w:val="clear" w:pos="426"/>
        </w:tabs>
        <w:adjustRightInd/>
        <w:snapToGrid/>
        <w:spacing w:line="240" w:lineRule="auto"/>
        <w:ind w:firstLine="420"/>
        <w:jc w:val="left"/>
        <w:rPr>
          <w:rFonts w:ascii="Times New Roman" w:hAnsi="Times New Roman" w:cs="Times New Roman"/>
          <w:szCs w:val="21"/>
        </w:rPr>
      </w:pPr>
      <w:r>
        <w:rPr>
          <w:rFonts w:ascii="Times New Roman" w:hAnsi="Times New Roman" w:cs="Times New Roman"/>
          <w:szCs w:val="21"/>
        </w:rPr>
        <w:br w:type="page"/>
      </w:r>
    </w:p>
    <w:p>
      <w:pPr>
        <w:pStyle w:val="321"/>
        <w:shd w:val="clear" w:color="auto" w:fill="auto"/>
        <w:ind w:firstLine="482"/>
        <w:rPr>
          <w:rFonts w:ascii="Times New Roman" w:hAnsi="Times New Roman"/>
        </w:rPr>
      </w:pPr>
      <w:r>
        <w:rPr>
          <w:rFonts w:ascii="Times New Roman" w:hAnsi="Times New Roman"/>
        </w:rPr>
        <w:t>招标代理服务取费说明</w:t>
      </w:r>
    </w:p>
    <w:p>
      <w:pPr>
        <w:shd w:val="clear" w:color="auto" w:fill="auto"/>
        <w:tabs>
          <w:tab w:val="clear" w:pos="426"/>
        </w:tabs>
        <w:spacing w:line="300" w:lineRule="auto"/>
        <w:ind w:firstLine="420" w:firstLineChars="200"/>
        <w:rPr>
          <w:rFonts w:ascii="Times New Roman" w:hAnsi="Times New Roman" w:cs="Times New Roman"/>
          <w:szCs w:val="21"/>
        </w:rPr>
      </w:pPr>
      <w:r>
        <w:rPr>
          <w:rFonts w:ascii="Times New Roman" w:hAnsi="Times New Roman" w:cs="Times New Roman"/>
          <w:szCs w:val="21"/>
        </w:rPr>
        <w:t>（1）计算基数：中标金额。</w:t>
      </w:r>
    </w:p>
    <w:p>
      <w:pPr>
        <w:shd w:val="clear" w:color="auto" w:fill="auto"/>
        <w:spacing w:line="276" w:lineRule="auto"/>
        <w:ind w:firstLine="420" w:firstLineChars="200"/>
        <w:jc w:val="left"/>
      </w:pPr>
      <w:r>
        <w:rPr>
          <w:rFonts w:ascii="Times New Roman" w:hAnsi="Times New Roman" w:cs="Times New Roman"/>
          <w:szCs w:val="21"/>
        </w:rPr>
        <w:t>（2）计算方法：采购代理机构以招标文件规定的计算基数，依据《深圳市财政局关于规范深圳市社会采购代理机构管理有关事项的补充通知》（深财购〔2018〕27号）规定的招标代理服务费收费标准，按差额定率累进法计算。</w:t>
      </w:r>
      <w:r>
        <w:rPr>
          <w:rFonts w:hint="eastAsia"/>
        </w:rPr>
        <w:t>低于</w:t>
      </w:r>
      <w:r>
        <w:t>5</w:t>
      </w:r>
      <w:r>
        <w:rPr>
          <w:rFonts w:hint="eastAsia"/>
        </w:rPr>
        <w:t>000元的，按照</w:t>
      </w:r>
      <w:r>
        <w:t>5</w:t>
      </w:r>
      <w:r>
        <w:rPr>
          <w:rFonts w:hint="eastAsia"/>
        </w:rPr>
        <w:t>000元计取。</w:t>
      </w:r>
    </w:p>
    <w:p>
      <w:pPr>
        <w:shd w:val="clear" w:color="auto" w:fill="auto"/>
        <w:tabs>
          <w:tab w:val="clear" w:pos="426"/>
        </w:tabs>
        <w:spacing w:line="300" w:lineRule="auto"/>
        <w:ind w:firstLine="420" w:firstLineChars="200"/>
        <w:rPr>
          <w:rFonts w:ascii="Times New Roman" w:hAnsi="Times New Roman" w:cs="Times New Roman"/>
          <w:szCs w:val="21"/>
        </w:rPr>
      </w:pPr>
      <w:r>
        <w:rPr>
          <w:rFonts w:ascii="Times New Roman" w:hAnsi="Times New Roman" w:cs="Times New Roman"/>
          <w:szCs w:val="21"/>
        </w:rPr>
        <w:t>（3）支付人：■中标人。</w:t>
      </w:r>
    </w:p>
    <w:p>
      <w:pPr>
        <w:shd w:val="clear" w:color="auto" w:fill="auto"/>
        <w:tabs>
          <w:tab w:val="clear" w:pos="426"/>
        </w:tabs>
        <w:spacing w:line="300" w:lineRule="auto"/>
        <w:ind w:firstLine="420" w:firstLineChars="200"/>
        <w:rPr>
          <w:rFonts w:ascii="Times New Roman" w:hAnsi="Times New Roman" w:cs="Times New Roman"/>
          <w:szCs w:val="21"/>
        </w:rPr>
      </w:pPr>
      <w:r>
        <w:rPr>
          <w:rFonts w:ascii="Times New Roman" w:hAnsi="Times New Roman" w:cs="Times New Roman"/>
          <w:szCs w:val="21"/>
        </w:rPr>
        <w:t>（4）支付方式：银行转账。</w:t>
      </w:r>
    </w:p>
    <w:p>
      <w:pPr>
        <w:shd w:val="clear" w:color="auto" w:fill="auto"/>
        <w:tabs>
          <w:tab w:val="clear" w:pos="426"/>
        </w:tabs>
        <w:spacing w:line="300" w:lineRule="auto"/>
        <w:ind w:firstLine="420" w:firstLineChars="200"/>
        <w:rPr>
          <w:rFonts w:ascii="Times New Roman" w:hAnsi="Times New Roman" w:cs="Times New Roman"/>
          <w:szCs w:val="21"/>
        </w:rPr>
      </w:pPr>
      <w:r>
        <w:rPr>
          <w:rFonts w:ascii="Times New Roman" w:hAnsi="Times New Roman" w:cs="Times New Roman"/>
          <w:szCs w:val="21"/>
        </w:rPr>
        <w:t>（5）收款账户信息如下：</w:t>
      </w:r>
    </w:p>
    <w:p>
      <w:pPr>
        <w:shd w:val="clear" w:color="auto" w:fill="auto"/>
        <w:tabs>
          <w:tab w:val="clear" w:pos="426"/>
        </w:tabs>
        <w:spacing w:line="300" w:lineRule="auto"/>
        <w:ind w:firstLine="420" w:firstLineChars="200"/>
        <w:rPr>
          <w:rFonts w:ascii="Times New Roman" w:hAnsi="Times New Roman" w:cs="Times New Roman"/>
          <w:szCs w:val="21"/>
        </w:rPr>
      </w:pPr>
      <w:r>
        <w:rPr>
          <w:rFonts w:ascii="Times New Roman" w:hAnsi="Times New Roman" w:cs="Times New Roman"/>
          <w:szCs w:val="21"/>
        </w:rPr>
        <w:t>户名：深圳市深水水务咨询有限公司</w:t>
      </w:r>
    </w:p>
    <w:p>
      <w:pPr>
        <w:shd w:val="clear" w:color="auto" w:fill="auto"/>
        <w:tabs>
          <w:tab w:val="clear" w:pos="426"/>
        </w:tabs>
        <w:spacing w:line="300" w:lineRule="auto"/>
        <w:ind w:firstLine="420" w:firstLineChars="200"/>
        <w:rPr>
          <w:rFonts w:ascii="Times New Roman" w:hAnsi="Times New Roman" w:cs="Times New Roman"/>
          <w:szCs w:val="21"/>
        </w:rPr>
      </w:pPr>
      <w:r>
        <w:rPr>
          <w:rFonts w:ascii="Times New Roman" w:hAnsi="Times New Roman" w:cs="Times New Roman"/>
          <w:szCs w:val="21"/>
        </w:rPr>
        <w:t>账号：443899991010003343618</w:t>
      </w:r>
    </w:p>
    <w:p>
      <w:pPr>
        <w:shd w:val="clear" w:color="auto" w:fill="auto"/>
        <w:tabs>
          <w:tab w:val="clear" w:pos="426"/>
        </w:tabs>
        <w:spacing w:line="300" w:lineRule="auto"/>
        <w:ind w:firstLine="420" w:firstLineChars="200"/>
        <w:rPr>
          <w:rFonts w:ascii="Times New Roman" w:hAnsi="Times New Roman" w:cs="Times New Roman"/>
          <w:szCs w:val="21"/>
        </w:rPr>
      </w:pPr>
      <w:r>
        <w:rPr>
          <w:rFonts w:ascii="Times New Roman" w:hAnsi="Times New Roman" w:cs="Times New Roman"/>
          <w:szCs w:val="21"/>
        </w:rPr>
        <w:t>开户行：交通银行深圳金叶支行</w:t>
      </w:r>
    </w:p>
    <w:p>
      <w:pPr>
        <w:shd w:val="clear" w:color="auto" w:fill="auto"/>
        <w:tabs>
          <w:tab w:val="clear" w:pos="426"/>
        </w:tabs>
        <w:spacing w:line="300" w:lineRule="auto"/>
        <w:ind w:firstLine="420" w:firstLineChars="200"/>
        <w:rPr>
          <w:rFonts w:ascii="Times New Roman" w:hAnsi="Times New Roman" w:cs="Times New Roman"/>
          <w:szCs w:val="21"/>
        </w:rPr>
      </w:pPr>
    </w:p>
    <w:p>
      <w:pPr>
        <w:shd w:val="clear" w:color="auto" w:fill="auto"/>
        <w:tabs>
          <w:tab w:val="clear" w:pos="426"/>
        </w:tabs>
        <w:spacing w:line="300" w:lineRule="auto"/>
        <w:ind w:firstLine="420"/>
        <w:jc w:val="center"/>
        <w:rPr>
          <w:rFonts w:ascii="Times New Roman" w:hAnsi="Times New Roman" w:cs="Times New Roman"/>
          <w:szCs w:val="21"/>
        </w:rPr>
      </w:pPr>
      <w:r>
        <w:rPr>
          <w:rFonts w:ascii="Times New Roman" w:hAnsi="Times New Roman" w:cs="Times New Roman"/>
          <w:szCs w:val="21"/>
        </w:rPr>
        <w:t>招标代理服务收费标准</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6"/>
        <w:gridCol w:w="1845"/>
        <w:gridCol w:w="1845"/>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986" w:type="dxa"/>
            <w:vAlign w:val="center"/>
          </w:tcPr>
          <w:p>
            <w:pPr>
              <w:shd w:val="clear" w:color="auto" w:fill="auto"/>
              <w:tabs>
                <w:tab w:val="clear" w:pos="426"/>
              </w:tabs>
              <w:spacing w:line="300" w:lineRule="auto"/>
              <w:ind w:firstLine="420"/>
              <w:jc w:val="right"/>
              <w:rPr>
                <w:rFonts w:ascii="Times New Roman" w:hAnsi="Times New Roman" w:cs="Times New Roman"/>
                <w:szCs w:val="21"/>
              </w:rPr>
            </w:pPr>
            <w:r>
              <w:rPr>
                <w:rFonts w:ascii="Times New Roman" w:hAnsi="Times New Roman" w:cs="Times New Roman"/>
                <w:szCs w:val="21"/>
              </w:rPr>
              <w:t>服务类型</w:t>
            </w:r>
          </w:p>
          <w:p>
            <w:pPr>
              <w:shd w:val="clear" w:color="auto" w:fill="auto"/>
              <w:tabs>
                <w:tab w:val="clear" w:pos="426"/>
              </w:tabs>
              <w:spacing w:line="300" w:lineRule="auto"/>
              <w:ind w:firstLine="420"/>
              <w:jc w:val="center"/>
              <w:rPr>
                <w:rFonts w:ascii="Times New Roman" w:hAnsi="Times New Roman" w:cs="Times New Roman"/>
                <w:szCs w:val="21"/>
              </w:rPr>
            </w:pPr>
            <w:r>
              <w:rPr>
                <w:rFonts w:ascii="Times New Roman" w:hAnsi="Times New Roman" w:cs="Times New Roman"/>
                <w:szCs w:val="21"/>
              </w:rPr>
              <w:t>费率</w:t>
            </w:r>
          </w:p>
          <w:p>
            <w:pPr>
              <w:shd w:val="clear" w:color="auto" w:fill="auto"/>
              <w:tabs>
                <w:tab w:val="clear" w:pos="426"/>
              </w:tabs>
              <w:spacing w:line="300" w:lineRule="auto"/>
              <w:ind w:firstLine="420"/>
              <w:rPr>
                <w:rFonts w:ascii="Times New Roman" w:hAnsi="Times New Roman" w:cs="Times New Roman"/>
                <w:szCs w:val="21"/>
              </w:rPr>
            </w:pPr>
            <w:r>
              <w:rPr>
                <w:rFonts w:ascii="Times New Roman" w:hAnsi="Times New Roman" w:cs="Times New Roman"/>
                <w:szCs w:val="21"/>
              </w:rPr>
              <w:t>中标金额</w:t>
            </w:r>
          </w:p>
        </w:tc>
        <w:tc>
          <w:tcPr>
            <w:tcW w:w="1845" w:type="dxa"/>
            <w:vAlign w:val="center"/>
          </w:tcPr>
          <w:p>
            <w:pPr>
              <w:shd w:val="clear" w:color="auto" w:fill="auto"/>
              <w:spacing w:line="240" w:lineRule="auto"/>
              <w:ind w:firstLine="420"/>
              <w:jc w:val="center"/>
              <w:rPr>
                <w:rFonts w:ascii="Times New Roman" w:hAnsi="Times New Roman" w:cs="Times New Roman"/>
                <w:szCs w:val="21"/>
              </w:rPr>
            </w:pPr>
            <w:r>
              <w:rPr>
                <w:rFonts w:ascii="Times New Roman" w:hAnsi="Times New Roman" w:cs="Times New Roman"/>
                <w:szCs w:val="21"/>
              </w:rPr>
              <w:t>货物采购</w:t>
            </w:r>
          </w:p>
        </w:tc>
        <w:tc>
          <w:tcPr>
            <w:tcW w:w="1845" w:type="dxa"/>
            <w:vAlign w:val="center"/>
          </w:tcPr>
          <w:p>
            <w:pPr>
              <w:shd w:val="clear" w:color="auto" w:fill="auto"/>
              <w:spacing w:line="240" w:lineRule="auto"/>
              <w:ind w:firstLine="420"/>
              <w:jc w:val="center"/>
              <w:rPr>
                <w:rFonts w:ascii="Times New Roman" w:hAnsi="Times New Roman" w:cs="Times New Roman"/>
                <w:szCs w:val="21"/>
              </w:rPr>
            </w:pPr>
            <w:r>
              <w:rPr>
                <w:rFonts w:ascii="Times New Roman" w:hAnsi="Times New Roman" w:cs="Times New Roman"/>
                <w:szCs w:val="21"/>
              </w:rPr>
              <w:t>服务采购</w:t>
            </w:r>
          </w:p>
        </w:tc>
        <w:tc>
          <w:tcPr>
            <w:tcW w:w="1846" w:type="dxa"/>
            <w:vAlign w:val="center"/>
          </w:tcPr>
          <w:p>
            <w:pPr>
              <w:shd w:val="clear" w:color="auto" w:fill="auto"/>
              <w:spacing w:line="240" w:lineRule="auto"/>
              <w:ind w:firstLine="420"/>
              <w:jc w:val="center"/>
              <w:rPr>
                <w:rFonts w:ascii="Times New Roman" w:hAnsi="Times New Roman" w:cs="Times New Roman"/>
                <w:szCs w:val="21"/>
              </w:rPr>
            </w:pPr>
            <w:r>
              <w:rPr>
                <w:rFonts w:ascii="Times New Roman" w:hAnsi="Times New Roman" w:cs="Times New Roman"/>
                <w:szCs w:val="21"/>
              </w:rPr>
              <w:t>工程采购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86" w:type="dxa"/>
            <w:vAlign w:val="center"/>
          </w:tcPr>
          <w:p>
            <w:pPr>
              <w:shd w:val="clear" w:color="auto" w:fill="auto"/>
              <w:tabs>
                <w:tab w:val="clear" w:pos="426"/>
              </w:tabs>
              <w:spacing w:line="240" w:lineRule="auto"/>
              <w:ind w:firstLine="420"/>
              <w:jc w:val="left"/>
              <w:rPr>
                <w:rFonts w:ascii="Times New Roman" w:hAnsi="Times New Roman" w:cs="Times New Roman"/>
                <w:color w:val="000000"/>
                <w:szCs w:val="21"/>
              </w:rPr>
            </w:pPr>
            <w:r>
              <w:rPr>
                <w:rFonts w:ascii="Times New Roman" w:hAnsi="Times New Roman" w:cs="Times New Roman"/>
                <w:color w:val="000000"/>
                <w:szCs w:val="21"/>
              </w:rPr>
              <w:t>100万元以下</w:t>
            </w:r>
          </w:p>
        </w:tc>
        <w:tc>
          <w:tcPr>
            <w:tcW w:w="1845" w:type="dxa"/>
            <w:vAlign w:val="center"/>
          </w:tcPr>
          <w:p>
            <w:pPr>
              <w:shd w:val="clear" w:color="auto" w:fill="auto"/>
              <w:spacing w:line="240" w:lineRule="auto"/>
              <w:ind w:firstLine="420"/>
              <w:jc w:val="center"/>
              <w:rPr>
                <w:rFonts w:ascii="Times New Roman" w:hAnsi="Times New Roman" w:cs="Times New Roman"/>
                <w:color w:val="000000"/>
                <w:szCs w:val="21"/>
              </w:rPr>
            </w:pPr>
            <w:r>
              <w:rPr>
                <w:rFonts w:ascii="Times New Roman" w:hAnsi="Times New Roman" w:cs="Times New Roman"/>
                <w:color w:val="000000"/>
                <w:szCs w:val="21"/>
              </w:rPr>
              <w:t>1.500%</w:t>
            </w:r>
          </w:p>
        </w:tc>
        <w:tc>
          <w:tcPr>
            <w:tcW w:w="1845" w:type="dxa"/>
            <w:vAlign w:val="center"/>
          </w:tcPr>
          <w:p>
            <w:pPr>
              <w:shd w:val="clear" w:color="auto" w:fill="auto"/>
              <w:spacing w:line="240" w:lineRule="auto"/>
              <w:ind w:firstLine="420"/>
              <w:jc w:val="center"/>
              <w:rPr>
                <w:rFonts w:ascii="Times New Roman" w:hAnsi="Times New Roman" w:cs="Times New Roman"/>
                <w:color w:val="000000"/>
                <w:szCs w:val="21"/>
              </w:rPr>
            </w:pPr>
            <w:r>
              <w:rPr>
                <w:rFonts w:ascii="Times New Roman" w:hAnsi="Times New Roman" w:cs="Times New Roman"/>
                <w:color w:val="000000"/>
                <w:szCs w:val="21"/>
              </w:rPr>
              <w:t>1.500%</w:t>
            </w:r>
          </w:p>
        </w:tc>
        <w:tc>
          <w:tcPr>
            <w:tcW w:w="1846" w:type="dxa"/>
            <w:vAlign w:val="center"/>
          </w:tcPr>
          <w:p>
            <w:pPr>
              <w:shd w:val="clear" w:color="auto" w:fill="auto"/>
              <w:spacing w:line="240" w:lineRule="auto"/>
              <w:ind w:firstLine="420"/>
              <w:jc w:val="center"/>
              <w:rPr>
                <w:rFonts w:ascii="Times New Roman" w:hAnsi="Times New Roman" w:cs="Times New Roman"/>
                <w:color w:val="000000"/>
                <w:szCs w:val="21"/>
              </w:rPr>
            </w:pPr>
            <w:r>
              <w:rPr>
                <w:rFonts w:ascii="Times New Roman" w:hAnsi="Times New Roman" w:cs="Times New Roman"/>
                <w:color w:val="000000"/>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86" w:type="dxa"/>
            <w:vAlign w:val="center"/>
          </w:tcPr>
          <w:p>
            <w:pPr>
              <w:shd w:val="clear" w:color="auto" w:fill="auto"/>
              <w:spacing w:line="240" w:lineRule="auto"/>
              <w:ind w:firstLine="420"/>
              <w:jc w:val="left"/>
              <w:rPr>
                <w:rFonts w:ascii="Times New Roman" w:hAnsi="Times New Roman" w:cs="Times New Roman"/>
                <w:color w:val="000000"/>
                <w:szCs w:val="21"/>
              </w:rPr>
            </w:pPr>
            <w:r>
              <w:rPr>
                <w:rFonts w:ascii="Times New Roman" w:hAnsi="Times New Roman" w:cs="Times New Roman"/>
                <w:color w:val="000000"/>
                <w:szCs w:val="21"/>
              </w:rPr>
              <w:t>100万元（含）-500万元</w:t>
            </w:r>
          </w:p>
        </w:tc>
        <w:tc>
          <w:tcPr>
            <w:tcW w:w="1845" w:type="dxa"/>
            <w:vAlign w:val="center"/>
          </w:tcPr>
          <w:p>
            <w:pPr>
              <w:shd w:val="clear" w:color="auto" w:fill="auto"/>
              <w:spacing w:line="240" w:lineRule="auto"/>
              <w:ind w:firstLine="420"/>
              <w:jc w:val="center"/>
              <w:rPr>
                <w:rFonts w:ascii="Times New Roman" w:hAnsi="Times New Roman" w:cs="Times New Roman"/>
                <w:color w:val="000000"/>
                <w:szCs w:val="21"/>
              </w:rPr>
            </w:pPr>
            <w:r>
              <w:rPr>
                <w:rFonts w:ascii="Times New Roman" w:hAnsi="Times New Roman" w:cs="Times New Roman"/>
                <w:color w:val="000000"/>
                <w:szCs w:val="21"/>
              </w:rPr>
              <w:t>1.100%</w:t>
            </w:r>
          </w:p>
        </w:tc>
        <w:tc>
          <w:tcPr>
            <w:tcW w:w="1845" w:type="dxa"/>
            <w:vAlign w:val="center"/>
          </w:tcPr>
          <w:p>
            <w:pPr>
              <w:shd w:val="clear" w:color="auto" w:fill="auto"/>
              <w:spacing w:line="240" w:lineRule="auto"/>
              <w:ind w:firstLine="420"/>
              <w:jc w:val="center"/>
              <w:rPr>
                <w:rFonts w:ascii="Times New Roman" w:hAnsi="Times New Roman" w:cs="Times New Roman"/>
                <w:color w:val="000000"/>
                <w:szCs w:val="21"/>
              </w:rPr>
            </w:pPr>
            <w:r>
              <w:rPr>
                <w:rFonts w:ascii="Times New Roman" w:hAnsi="Times New Roman" w:cs="Times New Roman"/>
                <w:color w:val="000000"/>
                <w:szCs w:val="21"/>
              </w:rPr>
              <w:t>0.800%</w:t>
            </w:r>
          </w:p>
        </w:tc>
        <w:tc>
          <w:tcPr>
            <w:tcW w:w="1846" w:type="dxa"/>
            <w:vAlign w:val="center"/>
          </w:tcPr>
          <w:p>
            <w:pPr>
              <w:shd w:val="clear" w:color="auto" w:fill="auto"/>
              <w:spacing w:line="240" w:lineRule="auto"/>
              <w:ind w:firstLine="420"/>
              <w:jc w:val="center"/>
              <w:rPr>
                <w:rFonts w:ascii="Times New Roman" w:hAnsi="Times New Roman" w:cs="Times New Roman"/>
                <w:color w:val="000000"/>
                <w:szCs w:val="21"/>
              </w:rPr>
            </w:pPr>
            <w:r>
              <w:rPr>
                <w:rFonts w:ascii="Times New Roman" w:hAnsi="Times New Roman" w:cs="Times New Roman"/>
                <w:color w:val="000000"/>
                <w:szCs w:val="21"/>
              </w:rPr>
              <w:t>0.700%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86" w:type="dxa"/>
            <w:vAlign w:val="center"/>
          </w:tcPr>
          <w:p>
            <w:pPr>
              <w:shd w:val="clear" w:color="auto" w:fill="auto"/>
              <w:spacing w:line="240" w:lineRule="auto"/>
              <w:ind w:firstLine="420"/>
              <w:jc w:val="left"/>
              <w:rPr>
                <w:rFonts w:ascii="Times New Roman" w:hAnsi="Times New Roman" w:cs="Times New Roman"/>
                <w:color w:val="000000"/>
                <w:szCs w:val="21"/>
              </w:rPr>
            </w:pPr>
            <w:r>
              <w:rPr>
                <w:rFonts w:ascii="Times New Roman" w:hAnsi="Times New Roman" w:cs="Times New Roman"/>
                <w:color w:val="000000"/>
                <w:szCs w:val="21"/>
              </w:rPr>
              <w:t>500万元（含）-1000万元</w:t>
            </w:r>
          </w:p>
        </w:tc>
        <w:tc>
          <w:tcPr>
            <w:tcW w:w="1845" w:type="dxa"/>
            <w:vAlign w:val="center"/>
          </w:tcPr>
          <w:p>
            <w:pPr>
              <w:shd w:val="clear" w:color="auto" w:fill="auto"/>
              <w:spacing w:line="240" w:lineRule="auto"/>
              <w:ind w:firstLine="420"/>
              <w:jc w:val="center"/>
              <w:rPr>
                <w:rFonts w:ascii="Times New Roman" w:hAnsi="Times New Roman" w:cs="Times New Roman"/>
                <w:color w:val="000000"/>
                <w:szCs w:val="21"/>
              </w:rPr>
            </w:pPr>
            <w:r>
              <w:rPr>
                <w:rFonts w:ascii="Times New Roman" w:hAnsi="Times New Roman" w:cs="Times New Roman"/>
                <w:color w:val="000000"/>
                <w:szCs w:val="21"/>
              </w:rPr>
              <w:t>0.800%</w:t>
            </w:r>
          </w:p>
        </w:tc>
        <w:tc>
          <w:tcPr>
            <w:tcW w:w="1845" w:type="dxa"/>
            <w:vAlign w:val="center"/>
          </w:tcPr>
          <w:p>
            <w:pPr>
              <w:shd w:val="clear" w:color="auto" w:fill="auto"/>
              <w:spacing w:line="240" w:lineRule="auto"/>
              <w:ind w:firstLine="420"/>
              <w:jc w:val="center"/>
              <w:rPr>
                <w:rFonts w:ascii="Times New Roman" w:hAnsi="Times New Roman" w:cs="Times New Roman"/>
                <w:color w:val="000000"/>
                <w:szCs w:val="21"/>
              </w:rPr>
            </w:pPr>
            <w:r>
              <w:rPr>
                <w:rFonts w:ascii="Times New Roman" w:hAnsi="Times New Roman" w:cs="Times New Roman"/>
                <w:color w:val="000000"/>
                <w:szCs w:val="21"/>
              </w:rPr>
              <w:t>0.450%</w:t>
            </w:r>
          </w:p>
        </w:tc>
        <w:tc>
          <w:tcPr>
            <w:tcW w:w="1846" w:type="dxa"/>
            <w:vAlign w:val="center"/>
          </w:tcPr>
          <w:p>
            <w:pPr>
              <w:shd w:val="clear" w:color="auto" w:fill="auto"/>
              <w:spacing w:line="240" w:lineRule="auto"/>
              <w:ind w:firstLine="420"/>
              <w:jc w:val="center"/>
              <w:rPr>
                <w:rFonts w:ascii="Times New Roman" w:hAnsi="Times New Roman" w:cs="Times New Roman"/>
                <w:color w:val="000000"/>
                <w:szCs w:val="21"/>
              </w:rPr>
            </w:pPr>
            <w:r>
              <w:rPr>
                <w:rFonts w:ascii="Times New Roman" w:hAnsi="Times New Roman" w:cs="Times New Roman"/>
                <w:color w:val="000000"/>
                <w:szCs w:val="21"/>
              </w:rPr>
              <w:t>0.550%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86" w:type="dxa"/>
            <w:vAlign w:val="center"/>
          </w:tcPr>
          <w:p>
            <w:pPr>
              <w:shd w:val="clear" w:color="auto" w:fill="auto"/>
              <w:spacing w:line="240" w:lineRule="auto"/>
              <w:ind w:firstLine="420"/>
              <w:jc w:val="left"/>
              <w:rPr>
                <w:rFonts w:ascii="Times New Roman" w:hAnsi="Times New Roman" w:cs="Times New Roman"/>
                <w:color w:val="000000"/>
                <w:szCs w:val="21"/>
              </w:rPr>
            </w:pPr>
            <w:r>
              <w:rPr>
                <w:rFonts w:ascii="Times New Roman" w:hAnsi="Times New Roman" w:cs="Times New Roman"/>
                <w:color w:val="000000"/>
                <w:szCs w:val="21"/>
              </w:rPr>
              <w:t>1000万元（含）-5000万元</w:t>
            </w:r>
          </w:p>
        </w:tc>
        <w:tc>
          <w:tcPr>
            <w:tcW w:w="1845" w:type="dxa"/>
            <w:vAlign w:val="center"/>
          </w:tcPr>
          <w:p>
            <w:pPr>
              <w:shd w:val="clear" w:color="auto" w:fill="auto"/>
              <w:spacing w:line="240" w:lineRule="auto"/>
              <w:ind w:firstLine="420"/>
              <w:jc w:val="center"/>
              <w:rPr>
                <w:rFonts w:ascii="Times New Roman" w:hAnsi="Times New Roman" w:cs="Times New Roman"/>
                <w:color w:val="000000"/>
                <w:szCs w:val="21"/>
              </w:rPr>
            </w:pPr>
            <w:r>
              <w:rPr>
                <w:rFonts w:ascii="Times New Roman" w:hAnsi="Times New Roman" w:cs="Times New Roman"/>
                <w:color w:val="000000"/>
                <w:szCs w:val="21"/>
              </w:rPr>
              <w:t>0.500%</w:t>
            </w:r>
          </w:p>
        </w:tc>
        <w:tc>
          <w:tcPr>
            <w:tcW w:w="1845" w:type="dxa"/>
            <w:vAlign w:val="center"/>
          </w:tcPr>
          <w:p>
            <w:pPr>
              <w:shd w:val="clear" w:color="auto" w:fill="auto"/>
              <w:spacing w:line="240" w:lineRule="auto"/>
              <w:ind w:firstLine="420"/>
              <w:jc w:val="center"/>
              <w:rPr>
                <w:rFonts w:ascii="Times New Roman" w:hAnsi="Times New Roman" w:cs="Times New Roman"/>
                <w:color w:val="000000"/>
                <w:szCs w:val="21"/>
              </w:rPr>
            </w:pPr>
            <w:r>
              <w:rPr>
                <w:rFonts w:ascii="Times New Roman" w:hAnsi="Times New Roman" w:cs="Times New Roman"/>
                <w:color w:val="000000"/>
                <w:szCs w:val="21"/>
              </w:rPr>
              <w:t>0.250%</w:t>
            </w:r>
          </w:p>
        </w:tc>
        <w:tc>
          <w:tcPr>
            <w:tcW w:w="1846" w:type="dxa"/>
            <w:vAlign w:val="center"/>
          </w:tcPr>
          <w:p>
            <w:pPr>
              <w:shd w:val="clear" w:color="auto" w:fill="auto"/>
              <w:spacing w:line="240" w:lineRule="auto"/>
              <w:ind w:firstLine="420"/>
              <w:jc w:val="center"/>
              <w:rPr>
                <w:rFonts w:ascii="Times New Roman" w:hAnsi="Times New Roman" w:cs="Times New Roman"/>
                <w:color w:val="000000"/>
                <w:szCs w:val="21"/>
              </w:rPr>
            </w:pPr>
            <w:r>
              <w:rPr>
                <w:rFonts w:ascii="Times New Roman" w:hAnsi="Times New Roman" w:cs="Times New Roman"/>
                <w:color w:val="000000"/>
                <w:szCs w:val="21"/>
              </w:rPr>
              <w:t>0.350%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86" w:type="dxa"/>
            <w:vAlign w:val="center"/>
          </w:tcPr>
          <w:p>
            <w:pPr>
              <w:shd w:val="clear" w:color="auto" w:fill="auto"/>
              <w:spacing w:line="240" w:lineRule="auto"/>
              <w:ind w:firstLine="420"/>
              <w:jc w:val="left"/>
              <w:rPr>
                <w:rFonts w:ascii="Times New Roman" w:hAnsi="Times New Roman" w:cs="Times New Roman"/>
                <w:color w:val="000000"/>
                <w:szCs w:val="21"/>
              </w:rPr>
            </w:pPr>
            <w:r>
              <w:rPr>
                <w:rFonts w:ascii="Times New Roman" w:hAnsi="Times New Roman" w:cs="Times New Roman"/>
                <w:color w:val="000000"/>
                <w:szCs w:val="21"/>
              </w:rPr>
              <w:t>5000万元（含）-1亿元</w:t>
            </w:r>
          </w:p>
        </w:tc>
        <w:tc>
          <w:tcPr>
            <w:tcW w:w="1845" w:type="dxa"/>
            <w:vAlign w:val="center"/>
          </w:tcPr>
          <w:p>
            <w:pPr>
              <w:shd w:val="clear" w:color="auto" w:fill="auto"/>
              <w:spacing w:line="240" w:lineRule="auto"/>
              <w:ind w:firstLine="420"/>
              <w:jc w:val="center"/>
              <w:rPr>
                <w:rFonts w:ascii="Times New Roman" w:hAnsi="Times New Roman" w:cs="Times New Roman"/>
                <w:szCs w:val="21"/>
              </w:rPr>
            </w:pPr>
            <w:r>
              <w:rPr>
                <w:rFonts w:ascii="Times New Roman" w:hAnsi="Times New Roman" w:cs="Times New Roman"/>
                <w:szCs w:val="21"/>
              </w:rPr>
              <w:t>0.250%</w:t>
            </w:r>
          </w:p>
        </w:tc>
        <w:tc>
          <w:tcPr>
            <w:tcW w:w="1845" w:type="dxa"/>
            <w:vAlign w:val="center"/>
          </w:tcPr>
          <w:p>
            <w:pPr>
              <w:shd w:val="clear" w:color="auto" w:fill="auto"/>
              <w:spacing w:line="240" w:lineRule="auto"/>
              <w:ind w:firstLine="420"/>
              <w:jc w:val="center"/>
              <w:rPr>
                <w:rFonts w:ascii="Times New Roman" w:hAnsi="Times New Roman" w:cs="Times New Roman"/>
                <w:szCs w:val="21"/>
              </w:rPr>
            </w:pPr>
            <w:r>
              <w:rPr>
                <w:rFonts w:ascii="Times New Roman" w:hAnsi="Times New Roman" w:cs="Times New Roman"/>
                <w:szCs w:val="21"/>
              </w:rPr>
              <w:t>0.100%</w:t>
            </w:r>
          </w:p>
        </w:tc>
        <w:tc>
          <w:tcPr>
            <w:tcW w:w="1846" w:type="dxa"/>
            <w:vAlign w:val="center"/>
          </w:tcPr>
          <w:p>
            <w:pPr>
              <w:shd w:val="clear" w:color="auto" w:fill="auto"/>
              <w:spacing w:line="240" w:lineRule="auto"/>
              <w:ind w:firstLine="420"/>
              <w:jc w:val="center"/>
              <w:rPr>
                <w:rFonts w:ascii="Times New Roman" w:hAnsi="Times New Roman" w:cs="Times New Roman"/>
                <w:szCs w:val="21"/>
              </w:rPr>
            </w:pPr>
            <w:r>
              <w:rPr>
                <w:rFonts w:ascii="Times New Roman" w:hAnsi="Times New Roman" w:cs="Times New Roman"/>
                <w:szCs w:val="21"/>
              </w:rPr>
              <w:t>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86" w:type="dxa"/>
            <w:vAlign w:val="center"/>
          </w:tcPr>
          <w:p>
            <w:pPr>
              <w:shd w:val="clear" w:color="auto" w:fill="auto"/>
              <w:spacing w:line="240" w:lineRule="auto"/>
              <w:ind w:firstLine="420"/>
              <w:jc w:val="left"/>
              <w:rPr>
                <w:rFonts w:ascii="Times New Roman" w:hAnsi="Times New Roman" w:cs="Times New Roman"/>
                <w:color w:val="000000"/>
                <w:szCs w:val="21"/>
              </w:rPr>
            </w:pPr>
            <w:r>
              <w:rPr>
                <w:rFonts w:ascii="Times New Roman" w:hAnsi="Times New Roman" w:cs="Times New Roman"/>
                <w:color w:val="000000"/>
                <w:szCs w:val="21"/>
              </w:rPr>
              <w:t>1亿元（含）-5亿元</w:t>
            </w:r>
          </w:p>
        </w:tc>
        <w:tc>
          <w:tcPr>
            <w:tcW w:w="1845" w:type="dxa"/>
            <w:vAlign w:val="center"/>
          </w:tcPr>
          <w:p>
            <w:pPr>
              <w:shd w:val="clear" w:color="auto" w:fill="auto"/>
              <w:spacing w:line="240" w:lineRule="auto"/>
              <w:ind w:firstLine="420"/>
              <w:jc w:val="center"/>
              <w:rPr>
                <w:rFonts w:ascii="Times New Roman" w:hAnsi="Times New Roman" w:cs="Times New Roman"/>
                <w:szCs w:val="21"/>
              </w:rPr>
            </w:pPr>
            <w:r>
              <w:rPr>
                <w:rFonts w:ascii="Times New Roman" w:hAnsi="Times New Roman" w:cs="Times New Roman"/>
                <w:szCs w:val="21"/>
              </w:rPr>
              <w:t>0.050%</w:t>
            </w:r>
          </w:p>
        </w:tc>
        <w:tc>
          <w:tcPr>
            <w:tcW w:w="1845" w:type="dxa"/>
            <w:vAlign w:val="center"/>
          </w:tcPr>
          <w:p>
            <w:pPr>
              <w:shd w:val="clear" w:color="auto" w:fill="auto"/>
              <w:spacing w:line="240" w:lineRule="auto"/>
              <w:ind w:firstLine="420"/>
              <w:jc w:val="center"/>
              <w:rPr>
                <w:rFonts w:ascii="Times New Roman" w:hAnsi="Times New Roman" w:cs="Times New Roman"/>
                <w:szCs w:val="21"/>
              </w:rPr>
            </w:pPr>
            <w:r>
              <w:rPr>
                <w:rFonts w:ascii="Times New Roman" w:hAnsi="Times New Roman" w:cs="Times New Roman"/>
                <w:szCs w:val="21"/>
              </w:rPr>
              <w:t>0.050%</w:t>
            </w:r>
          </w:p>
        </w:tc>
        <w:tc>
          <w:tcPr>
            <w:tcW w:w="1846" w:type="dxa"/>
            <w:vAlign w:val="center"/>
          </w:tcPr>
          <w:p>
            <w:pPr>
              <w:shd w:val="clear" w:color="auto" w:fill="auto"/>
              <w:spacing w:line="240" w:lineRule="auto"/>
              <w:ind w:firstLine="420"/>
              <w:jc w:val="center"/>
              <w:rPr>
                <w:rFonts w:ascii="Times New Roman" w:hAnsi="Times New Roman" w:cs="Times New Roman"/>
                <w:szCs w:val="21"/>
              </w:rPr>
            </w:pPr>
            <w:r>
              <w:rPr>
                <w:rFonts w:ascii="Times New Roman" w:hAnsi="Times New Roman" w:cs="Times New Roman"/>
                <w:szCs w:val="21"/>
              </w:rPr>
              <w:t>0.050%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86" w:type="dxa"/>
            <w:vAlign w:val="center"/>
          </w:tcPr>
          <w:p>
            <w:pPr>
              <w:shd w:val="clear" w:color="auto" w:fill="auto"/>
              <w:spacing w:line="240" w:lineRule="auto"/>
              <w:ind w:firstLine="420"/>
              <w:jc w:val="left"/>
              <w:rPr>
                <w:rFonts w:ascii="Times New Roman" w:hAnsi="Times New Roman" w:cs="Times New Roman"/>
                <w:color w:val="000000"/>
                <w:szCs w:val="21"/>
              </w:rPr>
            </w:pPr>
            <w:r>
              <w:rPr>
                <w:rFonts w:ascii="Times New Roman" w:hAnsi="Times New Roman" w:cs="Times New Roman"/>
                <w:color w:val="000000"/>
                <w:szCs w:val="21"/>
              </w:rPr>
              <w:t>5亿元（含）-10亿元</w:t>
            </w:r>
          </w:p>
        </w:tc>
        <w:tc>
          <w:tcPr>
            <w:tcW w:w="1845" w:type="dxa"/>
            <w:vAlign w:val="center"/>
          </w:tcPr>
          <w:p>
            <w:pPr>
              <w:shd w:val="clear" w:color="auto" w:fill="auto"/>
              <w:spacing w:line="240" w:lineRule="auto"/>
              <w:ind w:firstLine="420"/>
              <w:jc w:val="center"/>
              <w:rPr>
                <w:rFonts w:ascii="Times New Roman" w:hAnsi="Times New Roman" w:cs="Times New Roman"/>
                <w:szCs w:val="21"/>
              </w:rPr>
            </w:pPr>
            <w:r>
              <w:rPr>
                <w:rFonts w:ascii="Times New Roman" w:hAnsi="Times New Roman" w:cs="Times New Roman"/>
                <w:szCs w:val="21"/>
              </w:rPr>
              <w:t>0.035%</w:t>
            </w:r>
          </w:p>
        </w:tc>
        <w:tc>
          <w:tcPr>
            <w:tcW w:w="1845" w:type="dxa"/>
            <w:vAlign w:val="center"/>
          </w:tcPr>
          <w:p>
            <w:pPr>
              <w:shd w:val="clear" w:color="auto" w:fill="auto"/>
              <w:spacing w:line="240" w:lineRule="auto"/>
              <w:ind w:firstLine="420"/>
              <w:jc w:val="center"/>
              <w:rPr>
                <w:rFonts w:ascii="Times New Roman" w:hAnsi="Times New Roman" w:cs="Times New Roman"/>
                <w:szCs w:val="21"/>
              </w:rPr>
            </w:pPr>
            <w:r>
              <w:rPr>
                <w:rFonts w:ascii="Times New Roman" w:hAnsi="Times New Roman" w:cs="Times New Roman"/>
                <w:szCs w:val="21"/>
              </w:rPr>
              <w:t>0.035%</w:t>
            </w:r>
          </w:p>
        </w:tc>
        <w:tc>
          <w:tcPr>
            <w:tcW w:w="1846" w:type="dxa"/>
            <w:vAlign w:val="center"/>
          </w:tcPr>
          <w:p>
            <w:pPr>
              <w:shd w:val="clear" w:color="auto" w:fill="auto"/>
              <w:spacing w:line="240" w:lineRule="auto"/>
              <w:ind w:firstLine="420"/>
              <w:jc w:val="center"/>
              <w:rPr>
                <w:rFonts w:ascii="Times New Roman" w:hAnsi="Times New Roman" w:cs="Times New Roman"/>
                <w:szCs w:val="21"/>
              </w:rPr>
            </w:pPr>
            <w:r>
              <w:rPr>
                <w:rFonts w:ascii="Times New Roman" w:hAnsi="Times New Roman" w:cs="Times New Roman"/>
                <w:szCs w:val="21"/>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86" w:type="dxa"/>
            <w:vAlign w:val="center"/>
          </w:tcPr>
          <w:p>
            <w:pPr>
              <w:shd w:val="clear" w:color="auto" w:fill="auto"/>
              <w:spacing w:line="240" w:lineRule="auto"/>
              <w:ind w:firstLine="420"/>
              <w:jc w:val="left"/>
              <w:rPr>
                <w:rFonts w:ascii="Times New Roman" w:hAnsi="Times New Roman" w:cs="Times New Roman"/>
                <w:color w:val="000000"/>
                <w:szCs w:val="21"/>
              </w:rPr>
            </w:pPr>
            <w:r>
              <w:rPr>
                <w:rFonts w:ascii="Times New Roman" w:hAnsi="Times New Roman" w:cs="Times New Roman"/>
                <w:color w:val="000000"/>
                <w:szCs w:val="21"/>
              </w:rPr>
              <w:t>10亿元（含）-50亿元</w:t>
            </w:r>
          </w:p>
        </w:tc>
        <w:tc>
          <w:tcPr>
            <w:tcW w:w="1845" w:type="dxa"/>
            <w:vAlign w:val="center"/>
          </w:tcPr>
          <w:p>
            <w:pPr>
              <w:shd w:val="clear" w:color="auto" w:fill="auto"/>
              <w:spacing w:line="240" w:lineRule="auto"/>
              <w:ind w:firstLine="420"/>
              <w:jc w:val="center"/>
              <w:rPr>
                <w:rFonts w:ascii="Times New Roman" w:hAnsi="Times New Roman" w:cs="Times New Roman"/>
                <w:szCs w:val="21"/>
              </w:rPr>
            </w:pPr>
            <w:r>
              <w:rPr>
                <w:rFonts w:ascii="Times New Roman" w:hAnsi="Times New Roman" w:cs="Times New Roman"/>
                <w:szCs w:val="21"/>
              </w:rPr>
              <w:t>0.008%</w:t>
            </w:r>
          </w:p>
        </w:tc>
        <w:tc>
          <w:tcPr>
            <w:tcW w:w="1845" w:type="dxa"/>
            <w:vAlign w:val="center"/>
          </w:tcPr>
          <w:p>
            <w:pPr>
              <w:shd w:val="clear" w:color="auto" w:fill="auto"/>
              <w:spacing w:line="240" w:lineRule="auto"/>
              <w:ind w:firstLine="420"/>
              <w:jc w:val="center"/>
              <w:rPr>
                <w:rFonts w:ascii="Times New Roman" w:hAnsi="Times New Roman" w:cs="Times New Roman"/>
                <w:szCs w:val="21"/>
              </w:rPr>
            </w:pPr>
            <w:r>
              <w:rPr>
                <w:rFonts w:ascii="Times New Roman" w:hAnsi="Times New Roman" w:cs="Times New Roman"/>
                <w:szCs w:val="21"/>
              </w:rPr>
              <w:t>0.008%</w:t>
            </w:r>
          </w:p>
        </w:tc>
        <w:tc>
          <w:tcPr>
            <w:tcW w:w="1846" w:type="dxa"/>
            <w:vAlign w:val="center"/>
          </w:tcPr>
          <w:p>
            <w:pPr>
              <w:shd w:val="clear" w:color="auto" w:fill="auto"/>
              <w:spacing w:line="240" w:lineRule="auto"/>
              <w:ind w:firstLine="420"/>
              <w:jc w:val="center"/>
              <w:rPr>
                <w:rFonts w:ascii="Times New Roman" w:hAnsi="Times New Roman" w:cs="Times New Roman"/>
                <w:szCs w:val="21"/>
              </w:rPr>
            </w:pPr>
            <w:r>
              <w:rPr>
                <w:rFonts w:ascii="Times New Roman" w:hAnsi="Times New Roman" w:cs="Times New Roman"/>
                <w:szCs w:val="21"/>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86" w:type="dxa"/>
            <w:vAlign w:val="center"/>
          </w:tcPr>
          <w:p>
            <w:pPr>
              <w:shd w:val="clear" w:color="auto" w:fill="auto"/>
              <w:spacing w:line="240" w:lineRule="auto"/>
              <w:ind w:firstLine="420"/>
              <w:jc w:val="left"/>
              <w:rPr>
                <w:rFonts w:ascii="Times New Roman" w:hAnsi="Times New Roman" w:cs="Times New Roman"/>
                <w:color w:val="000000"/>
                <w:szCs w:val="21"/>
              </w:rPr>
            </w:pPr>
            <w:r>
              <w:rPr>
                <w:rFonts w:ascii="Times New Roman" w:hAnsi="Times New Roman" w:cs="Times New Roman"/>
                <w:color w:val="000000"/>
                <w:szCs w:val="21"/>
              </w:rPr>
              <w:t>50亿元（含）-100亿元</w:t>
            </w:r>
          </w:p>
        </w:tc>
        <w:tc>
          <w:tcPr>
            <w:tcW w:w="1845" w:type="dxa"/>
            <w:vAlign w:val="center"/>
          </w:tcPr>
          <w:p>
            <w:pPr>
              <w:shd w:val="clear" w:color="auto" w:fill="auto"/>
              <w:spacing w:line="240" w:lineRule="auto"/>
              <w:ind w:firstLine="420"/>
              <w:jc w:val="center"/>
              <w:rPr>
                <w:rFonts w:ascii="Times New Roman" w:hAnsi="Times New Roman" w:cs="Times New Roman"/>
                <w:szCs w:val="21"/>
              </w:rPr>
            </w:pPr>
            <w:r>
              <w:rPr>
                <w:rFonts w:ascii="Times New Roman" w:hAnsi="Times New Roman" w:cs="Times New Roman"/>
                <w:szCs w:val="21"/>
              </w:rPr>
              <w:t>0.006%</w:t>
            </w:r>
          </w:p>
        </w:tc>
        <w:tc>
          <w:tcPr>
            <w:tcW w:w="1845" w:type="dxa"/>
            <w:vAlign w:val="center"/>
          </w:tcPr>
          <w:p>
            <w:pPr>
              <w:shd w:val="clear" w:color="auto" w:fill="auto"/>
              <w:spacing w:line="240" w:lineRule="auto"/>
              <w:ind w:firstLine="420"/>
              <w:jc w:val="center"/>
              <w:rPr>
                <w:rFonts w:ascii="Times New Roman" w:hAnsi="Times New Roman" w:cs="Times New Roman"/>
                <w:szCs w:val="21"/>
              </w:rPr>
            </w:pPr>
            <w:r>
              <w:rPr>
                <w:rFonts w:ascii="Times New Roman" w:hAnsi="Times New Roman" w:cs="Times New Roman"/>
                <w:szCs w:val="21"/>
              </w:rPr>
              <w:t>0.006%</w:t>
            </w:r>
          </w:p>
        </w:tc>
        <w:tc>
          <w:tcPr>
            <w:tcW w:w="1846" w:type="dxa"/>
            <w:vAlign w:val="center"/>
          </w:tcPr>
          <w:p>
            <w:pPr>
              <w:shd w:val="clear" w:color="auto" w:fill="auto"/>
              <w:spacing w:line="240" w:lineRule="auto"/>
              <w:ind w:firstLine="420"/>
              <w:jc w:val="center"/>
              <w:rPr>
                <w:rFonts w:ascii="Times New Roman" w:hAnsi="Times New Roman" w:cs="Times New Roman"/>
                <w:szCs w:val="21"/>
              </w:rPr>
            </w:pPr>
            <w:r>
              <w:rPr>
                <w:rFonts w:ascii="Times New Roman" w:hAnsi="Times New Roman" w:cs="Times New Roman"/>
                <w:szCs w:val="21"/>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86" w:type="dxa"/>
            <w:vAlign w:val="center"/>
          </w:tcPr>
          <w:p>
            <w:pPr>
              <w:shd w:val="clear" w:color="auto" w:fill="auto"/>
              <w:spacing w:line="240" w:lineRule="auto"/>
              <w:ind w:firstLine="440"/>
              <w:jc w:val="left"/>
              <w:rPr>
                <w:rFonts w:ascii="Times New Roman" w:hAnsi="Times New Roman" w:cs="Times New Roman"/>
                <w:color w:val="000000"/>
                <w:szCs w:val="21"/>
              </w:rPr>
            </w:pPr>
            <w:r>
              <w:rPr>
                <w:rFonts w:ascii="Times New Roman" w:hAnsi="Times New Roman" w:cs="Times New Roman"/>
                <w:color w:val="000000"/>
                <w:sz w:val="22"/>
                <w:szCs w:val="22"/>
              </w:rPr>
              <w:t>100亿元（含）以上</w:t>
            </w:r>
          </w:p>
        </w:tc>
        <w:tc>
          <w:tcPr>
            <w:tcW w:w="1845" w:type="dxa"/>
            <w:vAlign w:val="center"/>
          </w:tcPr>
          <w:p>
            <w:pPr>
              <w:shd w:val="clear" w:color="auto" w:fill="auto"/>
              <w:spacing w:line="240" w:lineRule="auto"/>
              <w:ind w:firstLine="440"/>
              <w:jc w:val="center"/>
              <w:rPr>
                <w:rFonts w:ascii="Times New Roman" w:hAnsi="Times New Roman" w:cs="Times New Roman"/>
                <w:szCs w:val="21"/>
              </w:rPr>
            </w:pPr>
            <w:r>
              <w:rPr>
                <w:rFonts w:ascii="Times New Roman" w:hAnsi="Times New Roman" w:cs="Times New Roman"/>
                <w:sz w:val="22"/>
                <w:szCs w:val="22"/>
              </w:rPr>
              <w:t>0.004%</w:t>
            </w:r>
          </w:p>
        </w:tc>
        <w:tc>
          <w:tcPr>
            <w:tcW w:w="1845" w:type="dxa"/>
            <w:vAlign w:val="center"/>
          </w:tcPr>
          <w:p>
            <w:pPr>
              <w:shd w:val="clear" w:color="auto" w:fill="auto"/>
              <w:spacing w:line="240" w:lineRule="auto"/>
              <w:ind w:firstLine="440"/>
              <w:jc w:val="center"/>
              <w:rPr>
                <w:rFonts w:ascii="Times New Roman" w:hAnsi="Times New Roman" w:cs="Times New Roman"/>
                <w:szCs w:val="21"/>
              </w:rPr>
            </w:pPr>
            <w:r>
              <w:rPr>
                <w:rFonts w:ascii="Times New Roman" w:hAnsi="Times New Roman" w:cs="Times New Roman"/>
                <w:sz w:val="22"/>
                <w:szCs w:val="22"/>
              </w:rPr>
              <w:t>0.004%</w:t>
            </w:r>
          </w:p>
        </w:tc>
        <w:tc>
          <w:tcPr>
            <w:tcW w:w="1846" w:type="dxa"/>
            <w:vAlign w:val="center"/>
          </w:tcPr>
          <w:p>
            <w:pPr>
              <w:shd w:val="clear" w:color="auto" w:fill="auto"/>
              <w:spacing w:line="240" w:lineRule="auto"/>
              <w:ind w:firstLine="440"/>
              <w:jc w:val="center"/>
              <w:rPr>
                <w:rFonts w:ascii="Times New Roman" w:hAnsi="Times New Roman" w:cs="Times New Roman"/>
                <w:szCs w:val="21"/>
              </w:rPr>
            </w:pPr>
            <w:r>
              <w:rPr>
                <w:rFonts w:ascii="Times New Roman" w:hAnsi="Times New Roman" w:cs="Times New Roman"/>
                <w:sz w:val="22"/>
                <w:szCs w:val="22"/>
              </w:rPr>
              <w:t>0.004%</w:t>
            </w:r>
          </w:p>
        </w:tc>
      </w:tr>
    </w:tbl>
    <w:p>
      <w:pPr>
        <w:shd w:val="clear" w:color="auto" w:fill="auto"/>
        <w:tabs>
          <w:tab w:val="clear" w:pos="426"/>
        </w:tabs>
        <w:spacing w:line="300" w:lineRule="auto"/>
        <w:ind w:left="424" w:leftChars="202" w:firstLine="420"/>
        <w:rPr>
          <w:rFonts w:ascii="Times New Roman" w:hAnsi="Times New Roman" w:cs="Times New Roman"/>
          <w:szCs w:val="21"/>
        </w:rPr>
      </w:pPr>
      <w:r>
        <w:rPr>
          <w:rFonts w:ascii="Times New Roman" w:hAnsi="Times New Roman" w:cs="Times New Roman"/>
          <w:szCs w:val="21"/>
        </w:rPr>
        <w:t>以某服务类项目招标为例：</w:t>
      </w:r>
    </w:p>
    <w:p>
      <w:pPr>
        <w:shd w:val="clear" w:color="auto" w:fill="auto"/>
        <w:tabs>
          <w:tab w:val="clear" w:pos="426"/>
        </w:tabs>
        <w:spacing w:line="300" w:lineRule="auto"/>
        <w:ind w:left="424" w:leftChars="202" w:firstLine="420"/>
        <w:rPr>
          <w:rFonts w:ascii="Times New Roman" w:hAnsi="Times New Roman" w:cs="Times New Roman"/>
          <w:szCs w:val="21"/>
        </w:rPr>
      </w:pPr>
      <w:r>
        <w:rPr>
          <w:rFonts w:ascii="Times New Roman" w:hAnsi="Times New Roman" w:cs="Times New Roman"/>
          <w:szCs w:val="21"/>
        </w:rPr>
        <w:t>假设其计算基准价为5000万元，则招标代理服务费计算为：</w:t>
      </w:r>
    </w:p>
    <w:p>
      <w:pPr>
        <w:shd w:val="clear" w:color="auto" w:fill="auto"/>
        <w:tabs>
          <w:tab w:val="clear" w:pos="426"/>
        </w:tabs>
        <w:spacing w:line="300" w:lineRule="auto"/>
        <w:ind w:left="424" w:leftChars="202" w:firstLine="420"/>
        <w:rPr>
          <w:rFonts w:ascii="Times New Roman" w:hAnsi="Times New Roman" w:cs="Times New Roman"/>
          <w:szCs w:val="21"/>
        </w:rPr>
      </w:pPr>
      <w:r>
        <w:rPr>
          <w:rFonts w:ascii="Times New Roman" w:hAnsi="Times New Roman" w:cs="Times New Roman"/>
          <w:szCs w:val="21"/>
        </w:rPr>
        <w:t>100万元×1.5%=1.5万元</w:t>
      </w:r>
    </w:p>
    <w:p>
      <w:pPr>
        <w:shd w:val="clear" w:color="auto" w:fill="auto"/>
        <w:tabs>
          <w:tab w:val="clear" w:pos="426"/>
        </w:tabs>
        <w:spacing w:line="300" w:lineRule="auto"/>
        <w:ind w:left="424" w:leftChars="202" w:firstLine="420"/>
        <w:rPr>
          <w:rFonts w:ascii="Times New Roman" w:hAnsi="Times New Roman" w:cs="Times New Roman"/>
          <w:szCs w:val="21"/>
        </w:rPr>
      </w:pPr>
      <w:r>
        <w:rPr>
          <w:rFonts w:ascii="Times New Roman" w:hAnsi="Times New Roman" w:cs="Times New Roman"/>
          <w:szCs w:val="21"/>
        </w:rPr>
        <w:t xml:space="preserve">（500-100）万元×0.8%=3.2万元 </w:t>
      </w:r>
    </w:p>
    <w:p>
      <w:pPr>
        <w:shd w:val="clear" w:color="auto" w:fill="auto"/>
        <w:tabs>
          <w:tab w:val="clear" w:pos="426"/>
        </w:tabs>
        <w:spacing w:line="300" w:lineRule="auto"/>
        <w:ind w:left="424" w:leftChars="202" w:firstLine="420"/>
        <w:rPr>
          <w:rFonts w:ascii="Times New Roman" w:hAnsi="Times New Roman" w:cs="Times New Roman"/>
          <w:szCs w:val="21"/>
        </w:rPr>
      </w:pPr>
      <w:r>
        <w:rPr>
          <w:rFonts w:ascii="Times New Roman" w:hAnsi="Times New Roman" w:cs="Times New Roman"/>
          <w:szCs w:val="21"/>
        </w:rPr>
        <w:t xml:space="preserve">（1000-500）万元×0.45%=2.25万元 </w:t>
      </w:r>
    </w:p>
    <w:p>
      <w:pPr>
        <w:shd w:val="clear" w:color="auto" w:fill="auto"/>
        <w:tabs>
          <w:tab w:val="clear" w:pos="426"/>
        </w:tabs>
        <w:spacing w:line="300" w:lineRule="auto"/>
        <w:ind w:left="424" w:leftChars="202" w:firstLine="420"/>
        <w:rPr>
          <w:rFonts w:ascii="Times New Roman" w:hAnsi="Times New Roman" w:cs="Times New Roman"/>
          <w:szCs w:val="21"/>
        </w:rPr>
      </w:pPr>
      <w:r>
        <w:rPr>
          <w:rFonts w:ascii="Times New Roman" w:hAnsi="Times New Roman" w:cs="Times New Roman"/>
          <w:szCs w:val="21"/>
        </w:rPr>
        <w:t>（5000-1000）万元×0.25%=10万元</w:t>
      </w:r>
    </w:p>
    <w:p>
      <w:pPr>
        <w:shd w:val="clear" w:color="auto" w:fill="auto"/>
        <w:tabs>
          <w:tab w:val="clear" w:pos="426"/>
        </w:tabs>
        <w:spacing w:line="300" w:lineRule="auto"/>
        <w:ind w:left="424" w:leftChars="202" w:firstLine="420"/>
        <w:rPr>
          <w:rFonts w:ascii="Times New Roman" w:hAnsi="Times New Roman" w:cs="Times New Roman"/>
          <w:szCs w:val="21"/>
        </w:rPr>
      </w:pPr>
      <w:r>
        <w:rPr>
          <w:rFonts w:ascii="Times New Roman" w:hAnsi="Times New Roman" w:cs="Times New Roman"/>
          <w:szCs w:val="21"/>
        </w:rPr>
        <w:t>因此，该项目招标代理服务费为：1.5+3.2+2.25+10= 16.95万元。</w:t>
      </w:r>
    </w:p>
    <w:p>
      <w:pPr>
        <w:shd w:val="clear" w:color="auto" w:fill="auto"/>
        <w:tabs>
          <w:tab w:val="clear" w:pos="426"/>
        </w:tabs>
        <w:ind w:firstLine="420"/>
        <w:rPr>
          <w:rFonts w:ascii="Times New Roman" w:hAnsi="Times New Roman" w:cs="Times New Roman"/>
          <w:szCs w:val="21"/>
        </w:rPr>
      </w:pPr>
    </w:p>
    <w:p>
      <w:pPr>
        <w:shd w:val="clear" w:color="auto" w:fill="auto"/>
        <w:ind w:firstLine="420"/>
        <w:rPr>
          <w:rFonts w:ascii="Times New Roman" w:hAnsi="Times New Roman" w:cs="Times New Roman"/>
        </w:rPr>
      </w:pPr>
    </w:p>
    <w:p>
      <w:pPr>
        <w:shd w:val="clear" w:color="auto" w:fill="auto"/>
        <w:tabs>
          <w:tab w:val="clear" w:pos="426"/>
        </w:tabs>
        <w:spacing w:line="240" w:lineRule="auto"/>
        <w:ind w:left="181" w:leftChars="86" w:firstLine="420"/>
        <w:jc w:val="left"/>
        <w:rPr>
          <w:rFonts w:ascii="Times New Roman" w:hAnsi="Times New Roman" w:cs="Times New Roman"/>
        </w:rPr>
      </w:pPr>
      <w:r>
        <w:rPr>
          <w:rFonts w:ascii="Times New Roman" w:hAnsi="Times New Roman" w:cs="Times New Roman"/>
        </w:rPr>
        <w:br w:type="page"/>
      </w:r>
    </w:p>
    <w:bookmarkEnd w:id="8"/>
    <w:bookmarkEnd w:id="9"/>
    <w:p>
      <w:pPr>
        <w:pStyle w:val="309"/>
        <w:pageBreakBefore/>
        <w:shd w:val="clear" w:color="auto" w:fill="auto"/>
        <w:ind w:firstLine="562"/>
        <w:rPr>
          <w:rFonts w:ascii="Times New Roman" w:hAnsi="Times New Roman"/>
        </w:rPr>
      </w:pPr>
      <w:bookmarkStart w:id="13" w:name="_Toc432592813"/>
      <w:bookmarkStart w:id="14" w:name="_Toc265483798"/>
      <w:bookmarkStart w:id="15" w:name="_Toc169101009"/>
      <w:r>
        <w:rPr>
          <w:rFonts w:ascii="Times New Roman" w:hAnsi="Times New Roman"/>
        </w:rPr>
        <w:t xml:space="preserve">第一章 </w:t>
      </w:r>
      <w:bookmarkStart w:id="16" w:name="_Hlk66182504"/>
      <w:r>
        <w:rPr>
          <w:rFonts w:ascii="Times New Roman" w:hAnsi="Times New Roman"/>
        </w:rPr>
        <w:t>采购公告</w:t>
      </w:r>
      <w:bookmarkEnd w:id="13"/>
      <w:bookmarkEnd w:id="14"/>
      <w:bookmarkEnd w:id="15"/>
      <w:bookmarkEnd w:id="16"/>
    </w:p>
    <w:p>
      <w:pPr>
        <w:shd w:val="clear" w:color="auto" w:fill="auto"/>
        <w:tabs>
          <w:tab w:val="clear" w:pos="426"/>
        </w:tabs>
        <w:spacing w:line="240" w:lineRule="auto"/>
        <w:ind w:firstLine="422"/>
        <w:rPr>
          <w:rFonts w:ascii="Times New Roman" w:hAnsi="Times New Roman" w:cs="Times New Roman"/>
          <w:b/>
        </w:rPr>
      </w:pPr>
      <w:bookmarkStart w:id="17" w:name="OLE_LINK1"/>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tcPr>
          <w:p>
            <w:pPr>
              <w:pStyle w:val="305"/>
              <w:rPr>
                <w:rFonts w:ascii="Times New Roman" w:hAnsi="Times New Roman"/>
              </w:rPr>
            </w:pPr>
            <w:bookmarkStart w:id="18" w:name="OLE_LINK2"/>
            <w:r>
              <w:rPr>
                <w:rFonts w:ascii="Times New Roman" w:hAnsi="Times New Roman"/>
              </w:rPr>
              <w:t>项目概况</w:t>
            </w:r>
          </w:p>
          <w:p>
            <w:pPr>
              <w:widowControl w:val="0"/>
              <w:shd w:val="clear" w:color="auto" w:fill="auto"/>
              <w:tabs>
                <w:tab w:val="clear" w:pos="426"/>
              </w:tabs>
              <w:spacing w:line="240" w:lineRule="auto"/>
              <w:ind w:firstLine="424" w:firstLineChars="202"/>
              <w:rPr>
                <w:rFonts w:ascii="Times New Roman" w:hAnsi="Times New Roman" w:cs="Times New Roman"/>
              </w:rPr>
            </w:pPr>
            <w:r>
              <w:rPr>
                <w:rFonts w:hint="eastAsia" w:ascii="Times New Roman" w:hAnsi="Times New Roman" w:cs="Times New Roman"/>
                <w:u w:val="single"/>
              </w:rPr>
              <w:t>深圳少年儿童图书馆整体搬迁服务</w:t>
            </w:r>
            <w:r>
              <w:rPr>
                <w:rFonts w:ascii="Times New Roman" w:hAnsi="Times New Roman" w:cs="Times New Roman"/>
              </w:rPr>
              <w:t>的潜在投标人应在</w:t>
            </w:r>
            <w:r>
              <w:rPr>
                <w:rFonts w:ascii="Times New Roman" w:hAnsi="Times New Roman" w:cs="Times New Roman"/>
                <w:u w:val="single"/>
              </w:rPr>
              <w:t>深圳市罗湖区清水河街道清水河社区清水河一路112号罗湖投资控股大厦裙楼401</w:t>
            </w:r>
            <w:r>
              <w:rPr>
                <w:rFonts w:ascii="Times New Roman" w:hAnsi="Times New Roman" w:cs="Times New Roman"/>
              </w:rPr>
              <w:t>获取招标文件，并于</w:t>
            </w:r>
            <w:r>
              <w:rPr>
                <w:rFonts w:ascii="Times New Roman" w:hAnsi="Times New Roman" w:cs="Times New Roman"/>
                <w:u w:val="single"/>
              </w:rPr>
              <w:t>2024</w:t>
            </w:r>
            <w:r>
              <w:rPr>
                <w:rFonts w:ascii="Times New Roman" w:hAnsi="Times New Roman" w:cs="Times New Roman"/>
              </w:rPr>
              <w:t>年</w:t>
            </w:r>
            <w:r>
              <w:rPr>
                <w:rFonts w:hint="eastAsia" w:ascii="Times New Roman" w:hAnsi="Times New Roman" w:cs="Times New Roman"/>
                <w:u w:val="single"/>
              </w:rPr>
              <w:t>11</w:t>
            </w:r>
            <w:r>
              <w:rPr>
                <w:rFonts w:ascii="Times New Roman" w:hAnsi="Times New Roman" w:cs="Times New Roman"/>
              </w:rPr>
              <w:t>月</w:t>
            </w:r>
            <w:r>
              <w:rPr>
                <w:rFonts w:hint="eastAsia" w:ascii="Times New Roman" w:hAnsi="Times New Roman" w:cs="Times New Roman"/>
                <w:u w:val="single"/>
              </w:rPr>
              <w:t>27</w:t>
            </w:r>
            <w:r>
              <w:rPr>
                <w:rFonts w:ascii="Times New Roman" w:hAnsi="Times New Roman" w:cs="Times New Roman"/>
              </w:rPr>
              <w:t>日</w:t>
            </w:r>
            <w:r>
              <w:rPr>
                <w:rFonts w:hint="eastAsia" w:ascii="Times New Roman" w:hAnsi="Times New Roman" w:cs="Times New Roman"/>
                <w:u w:val="single"/>
              </w:rPr>
              <w:t>09</w:t>
            </w:r>
            <w:r>
              <w:rPr>
                <w:rFonts w:ascii="Times New Roman" w:hAnsi="Times New Roman" w:cs="Times New Roman"/>
              </w:rPr>
              <w:t>点</w:t>
            </w:r>
            <w:r>
              <w:rPr>
                <w:rFonts w:ascii="Times New Roman" w:hAnsi="Times New Roman" w:cs="Times New Roman"/>
                <w:u w:val="single"/>
              </w:rPr>
              <w:t>30</w:t>
            </w:r>
            <w:r>
              <w:rPr>
                <w:rFonts w:ascii="Times New Roman" w:hAnsi="Times New Roman" w:cs="Times New Roman"/>
              </w:rPr>
              <w:t>分（北京时间）前递交投标文件。</w:t>
            </w:r>
          </w:p>
        </w:tc>
      </w:tr>
    </w:tbl>
    <w:p>
      <w:pPr>
        <w:shd w:val="clear" w:color="auto" w:fill="auto"/>
        <w:tabs>
          <w:tab w:val="clear" w:pos="426"/>
        </w:tabs>
        <w:spacing w:line="240" w:lineRule="auto"/>
        <w:ind w:firstLine="422"/>
        <w:rPr>
          <w:rFonts w:ascii="Times New Roman" w:hAnsi="Times New Roman" w:cs="Times New Roman"/>
          <w:b/>
        </w:rPr>
      </w:pPr>
    </w:p>
    <w:p>
      <w:pPr>
        <w:shd w:val="clear" w:color="auto" w:fill="auto"/>
        <w:tabs>
          <w:tab w:val="clear" w:pos="426"/>
        </w:tabs>
        <w:spacing w:line="240" w:lineRule="auto"/>
        <w:ind w:firstLine="422"/>
        <w:rPr>
          <w:rFonts w:ascii="Times New Roman" w:hAnsi="Times New Roman" w:cs="Times New Roman"/>
          <w:b/>
        </w:rPr>
      </w:pPr>
      <w:r>
        <w:rPr>
          <w:rFonts w:ascii="Times New Roman" w:hAnsi="Times New Roman" w:cs="Times New Roman"/>
          <w:b/>
        </w:rPr>
        <w:t>一、项目基本情况</w:t>
      </w:r>
    </w:p>
    <w:p>
      <w:pPr>
        <w:pStyle w:val="305"/>
        <w:numPr>
          <w:ilvl w:val="0"/>
          <w:numId w:val="27"/>
        </w:numPr>
        <w:ind w:firstLineChars="0"/>
        <w:rPr>
          <w:rFonts w:ascii="Times New Roman" w:hAnsi="Times New Roman"/>
        </w:rPr>
      </w:pPr>
      <w:bookmarkStart w:id="19" w:name="项目概况2"/>
      <w:r>
        <w:rPr>
          <w:rFonts w:ascii="Times New Roman" w:hAnsi="Times New Roman"/>
        </w:rPr>
        <w:t>采购项目编号：</w:t>
      </w:r>
      <w:r>
        <w:rPr>
          <w:rFonts w:hint="eastAsia" w:ascii="Times New Roman" w:hAnsi="Times New Roman"/>
        </w:rPr>
        <w:t>SSZX2024-419</w:t>
      </w:r>
    </w:p>
    <w:p>
      <w:pPr>
        <w:pStyle w:val="305"/>
        <w:numPr>
          <w:ilvl w:val="0"/>
          <w:numId w:val="27"/>
        </w:numPr>
        <w:ind w:firstLineChars="0"/>
        <w:rPr>
          <w:rFonts w:ascii="Times New Roman" w:hAnsi="Times New Roman"/>
        </w:rPr>
      </w:pPr>
      <w:r>
        <w:rPr>
          <w:rFonts w:ascii="Times New Roman" w:hAnsi="Times New Roman"/>
        </w:rPr>
        <w:t>项目名称：</w:t>
      </w:r>
      <w:r>
        <w:rPr>
          <w:rFonts w:hint="eastAsia" w:ascii="Times New Roman" w:hAnsi="Times New Roman"/>
        </w:rPr>
        <w:t>深圳少年儿童图书馆整体搬迁服务</w:t>
      </w:r>
    </w:p>
    <w:p>
      <w:pPr>
        <w:pStyle w:val="305"/>
        <w:numPr>
          <w:ilvl w:val="0"/>
          <w:numId w:val="27"/>
        </w:numPr>
        <w:ind w:firstLineChars="0"/>
        <w:rPr>
          <w:rFonts w:ascii="Times New Roman" w:hAnsi="Times New Roman"/>
        </w:rPr>
      </w:pPr>
      <w:r>
        <w:rPr>
          <w:rFonts w:ascii="Times New Roman" w:hAnsi="Times New Roman"/>
        </w:rPr>
        <w:t>预算金额：</w:t>
      </w:r>
      <w:r>
        <w:rPr>
          <w:rFonts w:hint="eastAsia" w:ascii="Times New Roman" w:hAnsi="Times New Roman"/>
        </w:rPr>
        <w:t xml:space="preserve">900000.00 </w:t>
      </w:r>
      <w:r>
        <w:rPr>
          <w:rFonts w:ascii="Times New Roman" w:hAnsi="Times New Roman"/>
        </w:rPr>
        <w:t>元</w:t>
      </w:r>
    </w:p>
    <w:p>
      <w:pPr>
        <w:pStyle w:val="305"/>
        <w:numPr>
          <w:ilvl w:val="0"/>
          <w:numId w:val="27"/>
        </w:numPr>
        <w:ind w:firstLineChars="0"/>
        <w:rPr>
          <w:rFonts w:ascii="Times New Roman" w:hAnsi="Times New Roman"/>
        </w:rPr>
      </w:pPr>
      <w:r>
        <w:rPr>
          <w:rFonts w:ascii="Times New Roman" w:hAnsi="Times New Roman"/>
        </w:rPr>
        <w:t>最高限价：</w:t>
      </w:r>
      <w:r>
        <w:rPr>
          <w:rFonts w:hint="eastAsia" w:ascii="Times New Roman" w:hAnsi="Times New Roman"/>
        </w:rPr>
        <w:t xml:space="preserve">900000.00 </w:t>
      </w:r>
      <w:r>
        <w:rPr>
          <w:rFonts w:ascii="Times New Roman" w:hAnsi="Times New Roman"/>
        </w:rPr>
        <w:t>元</w:t>
      </w:r>
    </w:p>
    <w:p>
      <w:pPr>
        <w:pStyle w:val="305"/>
        <w:numPr>
          <w:ilvl w:val="0"/>
          <w:numId w:val="27"/>
        </w:numPr>
        <w:ind w:firstLineChars="0"/>
        <w:rPr>
          <w:rFonts w:ascii="Times New Roman" w:hAnsi="Times New Roman"/>
        </w:rPr>
      </w:pPr>
      <w:r>
        <w:rPr>
          <w:rFonts w:ascii="Times New Roman" w:hAnsi="Times New Roman"/>
        </w:rPr>
        <w:t>采购需求：</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55"/>
        <w:gridCol w:w="747"/>
        <w:gridCol w:w="749"/>
        <w:gridCol w:w="2244"/>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74" w:type="pct"/>
            <w:shd w:val="clear" w:color="auto" w:fill="auto"/>
            <w:vAlign w:val="center"/>
          </w:tcPr>
          <w:p>
            <w:pPr>
              <w:widowControl w:val="0"/>
              <w:shd w:val="clear" w:color="auto" w:fill="auto"/>
              <w:tabs>
                <w:tab w:val="clear" w:pos="426"/>
              </w:tabs>
              <w:spacing w:line="240" w:lineRule="auto"/>
              <w:jc w:val="center"/>
              <w:rPr>
                <w:rFonts w:ascii="Times New Roman" w:hAnsi="Times New Roman" w:cs="Times New Roman"/>
                <w:b/>
                <w:bCs/>
                <w:szCs w:val="21"/>
              </w:rPr>
            </w:pPr>
            <w:r>
              <w:rPr>
                <w:rFonts w:ascii="Times New Roman" w:hAnsi="Times New Roman" w:cs="Times New Roman"/>
                <w:b/>
                <w:bCs/>
                <w:szCs w:val="21"/>
              </w:rPr>
              <w:t>标的名称</w:t>
            </w:r>
          </w:p>
        </w:tc>
        <w:tc>
          <w:tcPr>
            <w:tcW w:w="415" w:type="pct"/>
            <w:shd w:val="clear" w:color="auto" w:fill="auto"/>
            <w:vAlign w:val="center"/>
          </w:tcPr>
          <w:p>
            <w:pPr>
              <w:widowControl w:val="0"/>
              <w:shd w:val="clear" w:color="auto" w:fill="auto"/>
              <w:tabs>
                <w:tab w:val="clear" w:pos="426"/>
              </w:tabs>
              <w:spacing w:line="240" w:lineRule="auto"/>
              <w:jc w:val="center"/>
              <w:rPr>
                <w:rFonts w:ascii="Times New Roman" w:hAnsi="Times New Roman" w:cs="Times New Roman"/>
                <w:b/>
                <w:bCs/>
                <w:szCs w:val="21"/>
              </w:rPr>
            </w:pPr>
            <w:r>
              <w:rPr>
                <w:rFonts w:ascii="Times New Roman" w:hAnsi="Times New Roman" w:cs="Times New Roman"/>
                <w:b/>
                <w:bCs/>
                <w:szCs w:val="21"/>
              </w:rPr>
              <w:t>数量</w:t>
            </w:r>
          </w:p>
        </w:tc>
        <w:tc>
          <w:tcPr>
            <w:tcW w:w="416" w:type="pct"/>
            <w:shd w:val="clear" w:color="auto" w:fill="auto"/>
            <w:vAlign w:val="center"/>
          </w:tcPr>
          <w:p>
            <w:pPr>
              <w:widowControl w:val="0"/>
              <w:shd w:val="clear" w:color="auto" w:fill="auto"/>
              <w:tabs>
                <w:tab w:val="clear" w:pos="426"/>
              </w:tabs>
              <w:spacing w:line="240" w:lineRule="auto"/>
              <w:jc w:val="center"/>
              <w:rPr>
                <w:rFonts w:ascii="Times New Roman" w:hAnsi="Times New Roman" w:cs="Times New Roman"/>
                <w:b/>
                <w:bCs/>
                <w:szCs w:val="21"/>
              </w:rPr>
            </w:pPr>
            <w:r>
              <w:rPr>
                <w:rFonts w:ascii="Times New Roman" w:hAnsi="Times New Roman" w:cs="Times New Roman"/>
                <w:b/>
                <w:bCs/>
                <w:szCs w:val="21"/>
              </w:rPr>
              <w:t>单位</w:t>
            </w:r>
          </w:p>
        </w:tc>
        <w:tc>
          <w:tcPr>
            <w:tcW w:w="1246" w:type="pct"/>
            <w:shd w:val="clear" w:color="auto" w:fill="auto"/>
            <w:vAlign w:val="center"/>
          </w:tcPr>
          <w:p>
            <w:pPr>
              <w:widowControl w:val="0"/>
              <w:shd w:val="clear" w:color="auto" w:fill="auto"/>
              <w:tabs>
                <w:tab w:val="clear" w:pos="426"/>
              </w:tabs>
              <w:spacing w:line="240" w:lineRule="auto"/>
              <w:jc w:val="center"/>
              <w:rPr>
                <w:rFonts w:ascii="Times New Roman" w:hAnsi="Times New Roman" w:cs="Times New Roman"/>
                <w:b/>
                <w:bCs/>
                <w:szCs w:val="21"/>
              </w:rPr>
            </w:pPr>
            <w:r>
              <w:rPr>
                <w:rFonts w:ascii="Times New Roman" w:hAnsi="Times New Roman" w:cs="Times New Roman"/>
                <w:b/>
                <w:bCs/>
                <w:szCs w:val="21"/>
              </w:rPr>
              <w:t>简要服务需求</w:t>
            </w:r>
          </w:p>
        </w:tc>
        <w:tc>
          <w:tcPr>
            <w:tcW w:w="449" w:type="pct"/>
            <w:vAlign w:val="center"/>
          </w:tcPr>
          <w:p>
            <w:pPr>
              <w:widowControl w:val="0"/>
              <w:shd w:val="clear" w:color="auto" w:fill="auto"/>
              <w:tabs>
                <w:tab w:val="clear" w:pos="426"/>
              </w:tabs>
              <w:spacing w:line="240" w:lineRule="auto"/>
              <w:jc w:val="center"/>
              <w:rPr>
                <w:rFonts w:ascii="Times New Roman" w:hAnsi="Times New Roman" w:cs="Times New Roman"/>
                <w:b/>
                <w:bCs/>
                <w:szCs w:val="21"/>
              </w:rPr>
            </w:pPr>
            <w:r>
              <w:rPr>
                <w:rFonts w:ascii="Times New Roman" w:hAnsi="Times New Roman" w:cs="Times New Roman"/>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474" w:type="pct"/>
            <w:shd w:val="clear" w:color="auto" w:fill="auto"/>
            <w:vAlign w:val="center"/>
          </w:tcPr>
          <w:p>
            <w:pPr>
              <w:shd w:val="clear" w:color="auto" w:fill="auto"/>
              <w:spacing w:line="240" w:lineRule="auto"/>
              <w:jc w:val="center"/>
              <w:rPr>
                <w:rFonts w:ascii="Times New Roman" w:hAnsi="Times New Roman" w:cs="Times New Roman"/>
                <w:bCs/>
                <w:szCs w:val="21"/>
              </w:rPr>
            </w:pPr>
            <w:r>
              <w:rPr>
                <w:rFonts w:hint="eastAsia" w:ascii="Times New Roman" w:hAnsi="Times New Roman" w:cs="Times New Roman"/>
                <w:bCs/>
                <w:szCs w:val="21"/>
              </w:rPr>
              <w:t>深圳少年儿童图书馆整体搬迁服务</w:t>
            </w:r>
          </w:p>
        </w:tc>
        <w:tc>
          <w:tcPr>
            <w:tcW w:w="415" w:type="pct"/>
            <w:shd w:val="clear" w:color="auto" w:fill="auto"/>
            <w:vAlign w:val="center"/>
          </w:tcPr>
          <w:p>
            <w:pPr>
              <w:shd w:val="clear" w:color="auto" w:fill="auto"/>
              <w:spacing w:line="240" w:lineRule="auto"/>
              <w:jc w:val="center"/>
              <w:rPr>
                <w:rFonts w:ascii="Times New Roman" w:hAnsi="Times New Roman" w:cs="Times New Roman"/>
                <w:bCs/>
                <w:szCs w:val="21"/>
              </w:rPr>
            </w:pPr>
            <w:r>
              <w:rPr>
                <w:rFonts w:ascii="Times New Roman" w:hAnsi="Times New Roman" w:cs="Times New Roman"/>
                <w:bCs/>
                <w:szCs w:val="21"/>
              </w:rPr>
              <w:t>1</w:t>
            </w:r>
          </w:p>
        </w:tc>
        <w:tc>
          <w:tcPr>
            <w:tcW w:w="416" w:type="pct"/>
            <w:shd w:val="clear" w:color="auto" w:fill="auto"/>
            <w:vAlign w:val="center"/>
          </w:tcPr>
          <w:p>
            <w:pPr>
              <w:shd w:val="clear" w:color="auto" w:fill="auto"/>
              <w:spacing w:line="240" w:lineRule="auto"/>
              <w:jc w:val="center"/>
              <w:rPr>
                <w:rFonts w:ascii="Times New Roman" w:hAnsi="Times New Roman" w:cs="Times New Roman"/>
                <w:bCs/>
                <w:szCs w:val="21"/>
              </w:rPr>
            </w:pPr>
            <w:r>
              <w:rPr>
                <w:rFonts w:hint="eastAsia" w:ascii="Times New Roman" w:hAnsi="Times New Roman" w:cs="Times New Roman"/>
                <w:szCs w:val="21"/>
              </w:rPr>
              <w:t>项</w:t>
            </w:r>
          </w:p>
        </w:tc>
        <w:tc>
          <w:tcPr>
            <w:tcW w:w="1246" w:type="pct"/>
            <w:shd w:val="clear" w:color="auto" w:fill="auto"/>
            <w:vAlign w:val="center"/>
          </w:tcPr>
          <w:p>
            <w:pPr>
              <w:widowControl w:val="0"/>
              <w:shd w:val="clear" w:color="auto" w:fill="auto"/>
              <w:tabs>
                <w:tab w:val="clear" w:pos="426"/>
              </w:tabs>
              <w:spacing w:line="240" w:lineRule="auto"/>
              <w:jc w:val="center"/>
              <w:rPr>
                <w:rFonts w:ascii="Times New Roman" w:hAnsi="Times New Roman" w:cs="Times New Roman"/>
                <w:szCs w:val="21"/>
              </w:rPr>
            </w:pPr>
            <w:r>
              <w:rPr>
                <w:rFonts w:ascii="Times New Roman" w:hAnsi="Times New Roman" w:cs="Times New Roman"/>
                <w:bCs/>
                <w:szCs w:val="21"/>
              </w:rPr>
              <w:t>详见招标文件</w:t>
            </w:r>
          </w:p>
        </w:tc>
        <w:tc>
          <w:tcPr>
            <w:tcW w:w="449" w:type="pct"/>
            <w:vAlign w:val="center"/>
          </w:tcPr>
          <w:p>
            <w:pPr>
              <w:widowControl w:val="0"/>
              <w:shd w:val="clear" w:color="auto" w:fill="auto"/>
              <w:tabs>
                <w:tab w:val="clear" w:pos="426"/>
              </w:tabs>
              <w:spacing w:line="240" w:lineRule="auto"/>
              <w:jc w:val="center"/>
              <w:rPr>
                <w:rFonts w:ascii="Times New Roman" w:hAnsi="Times New Roman" w:cs="Times New Roman"/>
                <w:bCs/>
                <w:szCs w:val="21"/>
              </w:rPr>
            </w:pPr>
            <w:r>
              <w:rPr>
                <w:rFonts w:hint="eastAsia" w:ascii="Times New Roman" w:hAnsi="Times New Roman" w:cs="Times New Roman"/>
                <w:bCs/>
                <w:szCs w:val="21"/>
              </w:rPr>
              <w:t>/</w:t>
            </w:r>
          </w:p>
        </w:tc>
      </w:tr>
    </w:tbl>
    <w:p>
      <w:pPr>
        <w:pStyle w:val="305"/>
        <w:numPr>
          <w:ilvl w:val="0"/>
          <w:numId w:val="27"/>
        </w:numPr>
        <w:ind w:firstLineChars="0"/>
        <w:rPr>
          <w:rFonts w:ascii="Times New Roman" w:hAnsi="Times New Roman"/>
        </w:rPr>
      </w:pPr>
      <w:r>
        <w:rPr>
          <w:rFonts w:ascii="Times New Roman" w:hAnsi="Times New Roman"/>
        </w:rPr>
        <w:t>合同履行期限：</w:t>
      </w:r>
      <w:bookmarkEnd w:id="19"/>
      <w:r>
        <w:rPr>
          <w:rFonts w:hint="eastAsia" w:ascii="Times New Roman" w:hAnsi="Times New Roman"/>
        </w:rPr>
        <w:t>本项目搬迁服务期为从启动搬迁始到本项目完全完成搬迁并验收合格止，本项目存在集中一次性整体搬迁或分批次搬迁的可能性，中标公司要无条件配合采购方集中搬迁或者分批次搬迁的搬迁时间要求</w:t>
      </w:r>
      <w:r>
        <w:rPr>
          <w:rFonts w:ascii="Times New Roman" w:hAnsi="Times New Roman"/>
        </w:rPr>
        <w:t xml:space="preserve">。 </w:t>
      </w:r>
    </w:p>
    <w:p>
      <w:pPr>
        <w:numPr>
          <w:ilvl w:val="0"/>
          <w:numId w:val="27"/>
        </w:numPr>
        <w:shd w:val="clear" w:color="auto" w:fill="auto"/>
        <w:spacing w:line="300" w:lineRule="auto"/>
        <w:rPr>
          <w:rFonts w:ascii="Times New Roman" w:hAnsi="Times New Roman" w:cs="Times New Roman"/>
          <w:szCs w:val="21"/>
        </w:rPr>
      </w:pPr>
      <w:r>
        <w:rPr>
          <w:rFonts w:ascii="Times New Roman" w:hAnsi="Times New Roman" w:cs="Times New Roman"/>
          <w:szCs w:val="21"/>
        </w:rPr>
        <w:t>长期服务项目说明：该项目</w:t>
      </w:r>
      <w:r>
        <w:rPr>
          <w:rFonts w:hint="eastAsia" w:ascii="Times New Roman" w:hAnsi="Times New Roman" w:cs="Times New Roman"/>
          <w:szCs w:val="21"/>
        </w:rPr>
        <w:t>为非</w:t>
      </w:r>
      <w:r>
        <w:rPr>
          <w:rFonts w:ascii="Times New Roman" w:hAnsi="Times New Roman" w:cs="Times New Roman"/>
          <w:szCs w:val="21"/>
        </w:rPr>
        <w:t>长期服务项目。</w:t>
      </w:r>
    </w:p>
    <w:p>
      <w:pPr>
        <w:pStyle w:val="305"/>
        <w:numPr>
          <w:ilvl w:val="0"/>
          <w:numId w:val="27"/>
        </w:numPr>
        <w:ind w:firstLineChars="0"/>
        <w:rPr>
          <w:rFonts w:ascii="Times New Roman" w:hAnsi="Times New Roman"/>
        </w:rPr>
      </w:pPr>
      <w:r>
        <w:rPr>
          <w:rFonts w:ascii="Times New Roman" w:hAnsi="Times New Roman"/>
        </w:rPr>
        <w:t>本项目不接受联合体投标。</w:t>
      </w:r>
    </w:p>
    <w:p>
      <w:pPr>
        <w:pStyle w:val="305"/>
        <w:numPr>
          <w:ilvl w:val="0"/>
          <w:numId w:val="27"/>
        </w:numPr>
        <w:ind w:firstLineChars="0"/>
        <w:rPr>
          <w:rFonts w:ascii="Times New Roman" w:hAnsi="Times New Roman"/>
        </w:rPr>
      </w:pPr>
      <w:r>
        <w:rPr>
          <w:rFonts w:ascii="Times New Roman" w:hAnsi="Times New Roman"/>
        </w:rPr>
        <w:t>项目前期设计、规划论证单位：无</w:t>
      </w:r>
    </w:p>
    <w:p>
      <w:pPr>
        <w:pStyle w:val="305"/>
        <w:numPr>
          <w:ilvl w:val="0"/>
          <w:numId w:val="27"/>
        </w:numPr>
        <w:ind w:firstLineChars="0"/>
        <w:rPr>
          <w:rFonts w:ascii="Times New Roman" w:hAnsi="Times New Roman"/>
        </w:rPr>
      </w:pPr>
      <w:r>
        <w:rPr>
          <w:rFonts w:ascii="Times New Roman" w:hAnsi="Times New Roman"/>
        </w:rPr>
        <w:t>资金来源：财政资金</w:t>
      </w:r>
      <w:r>
        <w:rPr>
          <w:rFonts w:ascii="Times New Roman" w:hAnsi="Times New Roman"/>
          <w:u w:val="single"/>
        </w:rPr>
        <w:t>100</w:t>
      </w:r>
      <w:r>
        <w:rPr>
          <w:rFonts w:ascii="Times New Roman" w:hAnsi="Times New Roman"/>
        </w:rPr>
        <w:t>%</w:t>
      </w:r>
    </w:p>
    <w:p>
      <w:pPr>
        <w:pStyle w:val="305"/>
        <w:numPr>
          <w:ilvl w:val="0"/>
          <w:numId w:val="27"/>
        </w:numPr>
        <w:ind w:firstLineChars="0"/>
        <w:rPr>
          <w:rFonts w:ascii="Times New Roman" w:hAnsi="Times New Roman"/>
        </w:rPr>
      </w:pPr>
      <w:r>
        <w:rPr>
          <w:rFonts w:ascii="Times New Roman" w:hAnsi="Times New Roman"/>
        </w:rPr>
        <w:t>采购计划编号：</w:t>
      </w:r>
      <w:r>
        <w:rPr>
          <w:rFonts w:hint="eastAsia" w:ascii="Times New Roman" w:hAnsi="Times New Roman"/>
        </w:rPr>
        <w:t>/</w:t>
      </w:r>
    </w:p>
    <w:p>
      <w:pPr>
        <w:pStyle w:val="305"/>
        <w:numPr>
          <w:ilvl w:val="0"/>
          <w:numId w:val="27"/>
        </w:numPr>
        <w:ind w:firstLineChars="0"/>
        <w:rPr>
          <w:rFonts w:ascii="Times New Roman" w:hAnsi="Times New Roman"/>
        </w:rPr>
      </w:pPr>
      <w:r>
        <w:rPr>
          <w:rFonts w:ascii="Times New Roman" w:hAnsi="Times New Roman"/>
        </w:rPr>
        <w:t>项目地点：深圳市</w:t>
      </w:r>
    </w:p>
    <w:p>
      <w:pPr>
        <w:pStyle w:val="305"/>
        <w:numPr>
          <w:ilvl w:val="0"/>
          <w:numId w:val="27"/>
        </w:numPr>
        <w:ind w:firstLineChars="0"/>
        <w:rPr>
          <w:rFonts w:ascii="Times New Roman" w:hAnsi="Times New Roman"/>
        </w:rPr>
      </w:pPr>
      <w:r>
        <w:rPr>
          <w:rFonts w:ascii="Times New Roman" w:hAnsi="Times New Roman"/>
        </w:rPr>
        <w:t>采购方式：公开招标</w:t>
      </w:r>
    </w:p>
    <w:p>
      <w:pPr>
        <w:pStyle w:val="305"/>
        <w:numPr>
          <w:ilvl w:val="0"/>
          <w:numId w:val="27"/>
        </w:numPr>
        <w:ind w:firstLineChars="0"/>
        <w:rPr>
          <w:rFonts w:ascii="Times New Roman" w:hAnsi="Times New Roman"/>
        </w:rPr>
      </w:pPr>
      <w:r>
        <w:rPr>
          <w:rFonts w:ascii="Times New Roman" w:hAnsi="Times New Roman"/>
        </w:rPr>
        <w:t>评标方法：综合评分法</w:t>
      </w:r>
    </w:p>
    <w:p>
      <w:pPr>
        <w:shd w:val="clear" w:color="auto" w:fill="auto"/>
        <w:tabs>
          <w:tab w:val="clear" w:pos="426"/>
        </w:tabs>
        <w:spacing w:line="240" w:lineRule="auto"/>
        <w:ind w:firstLine="422"/>
        <w:rPr>
          <w:rFonts w:ascii="Times New Roman" w:hAnsi="Times New Roman" w:cs="Times New Roman"/>
          <w:b/>
        </w:rPr>
      </w:pPr>
      <w:r>
        <w:rPr>
          <w:rFonts w:ascii="Times New Roman" w:hAnsi="Times New Roman" w:cs="Times New Roman"/>
          <w:b/>
        </w:rPr>
        <w:t>二、申请人的资格要求</w:t>
      </w:r>
    </w:p>
    <w:p>
      <w:pPr>
        <w:shd w:val="clear" w:color="auto" w:fill="auto"/>
        <w:tabs>
          <w:tab w:val="clear" w:pos="426"/>
        </w:tabs>
        <w:spacing w:line="240" w:lineRule="auto"/>
        <w:ind w:firstLine="424" w:firstLineChars="202"/>
        <w:rPr>
          <w:rFonts w:ascii="Times New Roman" w:hAnsi="Times New Roman" w:cs="Times New Roman"/>
        </w:rPr>
      </w:pPr>
      <w:r>
        <w:rPr>
          <w:rFonts w:hint="eastAsia" w:ascii="Times New Roman" w:hAnsi="Times New Roman" w:cs="Times New Roman"/>
        </w:rPr>
        <w:t>1.具有独立法人资格或是具有独立承担民事责任能力的其它组织（提供营业执照或事业单位法人证书等证明资料复印件，原件备查）。如参与投标的供应商为分公司，则须提供分公司营业执照、其所属总公司营业执照及其出具的授权函或承诺书，但只接受直接授权，不接受逐级授权。不接受同一总公司授权两家或以上分公司同时参与本项目投标，也不接受总公司与分公司同时参与本项目投标，如出现上述情形，以上供应商的投标文件均按无效投标处理。</w:t>
      </w:r>
    </w:p>
    <w:p>
      <w:pPr>
        <w:shd w:val="clear" w:color="auto" w:fill="auto"/>
        <w:tabs>
          <w:tab w:val="clear" w:pos="426"/>
        </w:tabs>
        <w:spacing w:line="240" w:lineRule="auto"/>
        <w:ind w:firstLine="424" w:firstLineChars="202"/>
        <w:rPr>
          <w:rFonts w:ascii="Times New Roman" w:hAnsi="Times New Roman" w:cs="Times New Roman"/>
        </w:rPr>
      </w:pPr>
      <w:r>
        <w:rPr>
          <w:rFonts w:hint="eastAsia" w:ascii="Times New Roman" w:hAnsi="Times New Roman" w:cs="Times New Roman"/>
        </w:rPr>
        <w:t>2.本项目不接受投标人选用进口产品参与投标。</w:t>
      </w:r>
    </w:p>
    <w:p>
      <w:pPr>
        <w:shd w:val="clear" w:color="auto" w:fill="auto"/>
        <w:tabs>
          <w:tab w:val="clear" w:pos="426"/>
        </w:tabs>
        <w:spacing w:line="240" w:lineRule="auto"/>
        <w:ind w:firstLine="424" w:firstLineChars="202"/>
        <w:rPr>
          <w:rFonts w:ascii="Times New Roman" w:hAnsi="Times New Roman" w:cs="Times New Roman"/>
        </w:rPr>
      </w:pPr>
      <w:r>
        <w:rPr>
          <w:rFonts w:hint="eastAsia" w:ascii="Times New Roman" w:hAnsi="Times New Roman" w:cs="Times New Roman"/>
        </w:rPr>
        <w:t>3.参与本项目投标前三年内，在经营活动中没有重大违法记录（由供应商在《政府采购投标及履约承诺函》中作出声明）。</w:t>
      </w:r>
    </w:p>
    <w:p>
      <w:pPr>
        <w:shd w:val="clear" w:color="auto" w:fill="auto"/>
        <w:tabs>
          <w:tab w:val="clear" w:pos="426"/>
        </w:tabs>
        <w:spacing w:line="240" w:lineRule="auto"/>
        <w:ind w:firstLine="424" w:firstLineChars="202"/>
        <w:rPr>
          <w:rFonts w:ascii="Times New Roman" w:hAnsi="Times New Roman" w:cs="Times New Roman"/>
        </w:rPr>
      </w:pPr>
      <w:r>
        <w:rPr>
          <w:rFonts w:hint="eastAsia" w:ascii="Times New Roman" w:hAnsi="Times New Roman" w:cs="Times New Roman"/>
        </w:rPr>
        <w:t>4.参与本项目政府采购活动时不存在被有关部门禁止参与政府采购活动且在有效期内的情况（由供应商在《政府采购投标及履约承诺函》中作出声明）。</w:t>
      </w:r>
    </w:p>
    <w:p>
      <w:pPr>
        <w:shd w:val="clear" w:color="auto" w:fill="auto"/>
        <w:tabs>
          <w:tab w:val="clear" w:pos="426"/>
        </w:tabs>
        <w:spacing w:line="240" w:lineRule="auto"/>
        <w:ind w:firstLine="424" w:firstLineChars="202"/>
        <w:rPr>
          <w:rFonts w:ascii="Times New Roman" w:hAnsi="Times New Roman" w:cs="Times New Roman"/>
        </w:rPr>
      </w:pPr>
      <w:r>
        <w:rPr>
          <w:rFonts w:hint="eastAsia" w:ascii="Times New Roman" w:hAnsi="Times New Roman" w:cs="Times New Roman"/>
        </w:rPr>
        <w:t>5.具备《中华人民共和国政府采购法》第二十二条第一款的条件（由供应商在《政府采购投标及履约承诺函》中作出声明）。</w:t>
      </w:r>
    </w:p>
    <w:p>
      <w:pPr>
        <w:shd w:val="clear" w:color="auto" w:fill="auto"/>
        <w:tabs>
          <w:tab w:val="clear" w:pos="426"/>
        </w:tabs>
        <w:spacing w:line="240" w:lineRule="auto"/>
        <w:ind w:firstLine="424" w:firstLineChars="202"/>
        <w:rPr>
          <w:rFonts w:ascii="Times New Roman" w:hAnsi="Times New Roman" w:cs="Times New Roman"/>
        </w:rPr>
      </w:pPr>
      <w:r>
        <w:rPr>
          <w:rFonts w:hint="eastAsia" w:ascii="Times New Roman" w:hAnsi="Times New Roman" w:cs="Times New Roman"/>
        </w:rPr>
        <w:t>6.未被列入失信被执行人、重大税收违法案件当事人名单、政府采购严重违法失信行为记录名单（由供应商在《政府采购投标及履约承诺函》中作出声明）。</w:t>
      </w:r>
    </w:p>
    <w:p>
      <w:pPr>
        <w:shd w:val="clear" w:color="auto" w:fill="auto"/>
        <w:tabs>
          <w:tab w:val="clear" w:pos="426"/>
        </w:tabs>
        <w:spacing w:line="240" w:lineRule="auto"/>
        <w:ind w:firstLine="424" w:firstLineChars="202"/>
        <w:rPr>
          <w:rFonts w:ascii="Times New Roman" w:hAnsi="Times New Roman" w:cs="Times New Roman"/>
        </w:rPr>
      </w:pPr>
      <w:r>
        <w:rPr>
          <w:rFonts w:hint="eastAsia" w:ascii="Times New Roman" w:hAnsi="Times New Roman" w:cs="Times New Roman"/>
        </w:rPr>
        <w:t>注：信用信息查询渠道，具体包括“信用中国”（www.creditchina.gov.cn）、“中国政府采购网”（www.ccgp.gov.cn）、“深圳市政府采购监管网”（http://zfcg.sz.gov.cn）以及市、区财政部门认定的其他渠道，具体以开标当日上述渠道的全部查询结果为准。</w:t>
      </w:r>
    </w:p>
    <w:p>
      <w:pPr>
        <w:shd w:val="clear" w:color="auto" w:fill="auto"/>
        <w:tabs>
          <w:tab w:val="clear" w:pos="426"/>
        </w:tabs>
        <w:spacing w:line="240" w:lineRule="auto"/>
        <w:ind w:firstLine="424" w:firstLineChars="202"/>
        <w:rPr>
          <w:rFonts w:ascii="Times New Roman" w:hAnsi="Times New Roman" w:cs="Times New Roman"/>
        </w:rPr>
      </w:pPr>
      <w:r>
        <w:rPr>
          <w:rFonts w:hint="eastAsia" w:ascii="Times New Roman" w:hAnsi="Times New Roman" w:cs="Times New Roman"/>
        </w:rPr>
        <w:t>7.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由供应商在《政府采购投标及履约承诺函》中作出声明）</w:t>
      </w:r>
    </w:p>
    <w:p>
      <w:pPr>
        <w:shd w:val="clear" w:color="auto" w:fill="auto"/>
        <w:tabs>
          <w:tab w:val="clear" w:pos="426"/>
        </w:tabs>
        <w:spacing w:line="240" w:lineRule="auto"/>
        <w:ind w:firstLine="424" w:firstLineChars="202"/>
        <w:rPr>
          <w:rFonts w:ascii="Times New Roman" w:hAnsi="Times New Roman" w:cs="Times New Roman"/>
        </w:rPr>
      </w:pPr>
      <w:r>
        <w:rPr>
          <w:rFonts w:hint="eastAsia" w:ascii="Times New Roman" w:hAnsi="Times New Roman" w:cs="Times New Roman"/>
        </w:rPr>
        <w:t>8.本单位（公司）不存在《深圳市财政局政府采购供应商信用信息管理办法》（深财规〔2023〕3号）列明的严重违法失信行为（由供应商在《政府采购投标及履约承诺函》中作出声明）。</w:t>
      </w:r>
    </w:p>
    <w:p>
      <w:pPr>
        <w:shd w:val="clear" w:color="auto" w:fill="auto"/>
        <w:tabs>
          <w:tab w:val="clear" w:pos="426"/>
        </w:tabs>
        <w:spacing w:line="240" w:lineRule="auto"/>
        <w:ind w:firstLine="424" w:firstLineChars="202"/>
        <w:rPr>
          <w:rFonts w:ascii="Times New Roman" w:hAnsi="Times New Roman" w:cs="Times New Roman"/>
        </w:rPr>
      </w:pPr>
      <w:r>
        <w:rPr>
          <w:rFonts w:ascii="Times New Roman" w:hAnsi="Times New Roman" w:cs="Times New Roman"/>
        </w:rPr>
        <w:t>9.本项目是否专门面向中小企业采购：</w:t>
      </w:r>
      <w:r>
        <w:rPr>
          <w:rFonts w:hint="eastAsia" w:ascii="Times New Roman" w:hAnsi="Times New Roman" w:cs="Times New Roman"/>
        </w:rPr>
        <w:t>本项目属于专门面向中小企业采购的项目。投标人应为中小微企业或监狱企业或残疾人福利性单位。根据《工业和信息化部、国家统计局、国家发展和改革委员会、财政部关于印发中小企业划型标准规定的通知》（工信部联企业〔2011〕300号），本项目采购标的对应的中小企业划分标准所属行业为:</w:t>
      </w:r>
      <w:r>
        <w:rPr>
          <w:rFonts w:hint="eastAsia"/>
        </w:rPr>
        <w:t xml:space="preserve"> </w:t>
      </w:r>
      <w:r>
        <w:rPr>
          <w:rFonts w:hint="eastAsia" w:ascii="Times New Roman" w:hAnsi="Times New Roman" w:cs="Times New Roman"/>
        </w:rPr>
        <w:t>其他未列明行业。（由供应商在《中小企业声明函、残疾人福利性单位声明函及监狱企业声明函》中作出声明，加盖公章）。</w:t>
      </w:r>
    </w:p>
    <w:p>
      <w:pPr>
        <w:shd w:val="clear" w:color="auto" w:fill="auto"/>
        <w:tabs>
          <w:tab w:val="clear" w:pos="426"/>
        </w:tabs>
        <w:spacing w:line="240" w:lineRule="auto"/>
        <w:ind w:firstLine="424" w:firstLineChars="202"/>
        <w:rPr>
          <w:rFonts w:ascii="Times New Roman" w:hAnsi="Times New Roman" w:cs="Times New Roman"/>
        </w:rPr>
      </w:pPr>
      <w:r>
        <w:rPr>
          <w:rFonts w:hint="eastAsia" w:ascii="Times New Roman" w:hAnsi="Times New Roman" w:cs="Times New Roman"/>
        </w:rPr>
        <w:t>10.本项目不接受联合体投标。</w:t>
      </w:r>
    </w:p>
    <w:p>
      <w:pPr>
        <w:shd w:val="clear" w:color="auto" w:fill="auto"/>
        <w:tabs>
          <w:tab w:val="clear" w:pos="426"/>
        </w:tabs>
        <w:spacing w:line="240" w:lineRule="auto"/>
        <w:ind w:firstLine="424" w:firstLineChars="202"/>
        <w:rPr>
          <w:rFonts w:ascii="Times New Roman" w:hAnsi="Times New Roman" w:cs="Times New Roman"/>
        </w:rPr>
      </w:pPr>
      <w:r>
        <w:rPr>
          <w:rFonts w:hint="eastAsia" w:ascii="Times New Roman" w:hAnsi="Times New Roman" w:cs="Times New Roman"/>
        </w:rPr>
        <w:t>11.本项目涉及运输业务量较大，根据深圳市交通运输局相关管理规定，从事货物运输需具备交通主管部门颁发的《道路运输经营许可证》（提供证书复印件加盖投标人公章）</w:t>
      </w:r>
      <w:r>
        <w:rPr>
          <w:rFonts w:ascii="Times New Roman" w:hAnsi="Times New Roman" w:cs="Times New Roman"/>
        </w:rPr>
        <w:t>。</w:t>
      </w:r>
    </w:p>
    <w:p>
      <w:pPr>
        <w:shd w:val="clear" w:color="auto" w:fill="auto"/>
        <w:tabs>
          <w:tab w:val="clear" w:pos="426"/>
        </w:tabs>
        <w:spacing w:line="240" w:lineRule="auto"/>
        <w:ind w:firstLine="422"/>
        <w:rPr>
          <w:rFonts w:ascii="Times New Roman" w:hAnsi="Times New Roman" w:cs="Times New Roman"/>
          <w:b/>
        </w:rPr>
      </w:pPr>
      <w:r>
        <w:rPr>
          <w:rFonts w:ascii="Times New Roman" w:hAnsi="Times New Roman" w:cs="Times New Roman"/>
          <w:b/>
        </w:rPr>
        <w:t>三、获取招标文件</w:t>
      </w:r>
    </w:p>
    <w:p>
      <w:pPr>
        <w:shd w:val="clear" w:color="auto" w:fill="auto"/>
        <w:tabs>
          <w:tab w:val="clear" w:pos="426"/>
        </w:tabs>
        <w:spacing w:line="240" w:lineRule="auto"/>
        <w:ind w:firstLine="424" w:firstLineChars="202"/>
        <w:rPr>
          <w:rFonts w:ascii="Times New Roman" w:hAnsi="Times New Roman" w:cs="Times New Roman"/>
        </w:rPr>
      </w:pPr>
      <w:r>
        <w:rPr>
          <w:rFonts w:ascii="Times New Roman" w:hAnsi="Times New Roman" w:cs="Times New Roman"/>
        </w:rPr>
        <w:t>1.获取招标文件时间：</w:t>
      </w:r>
      <w:r>
        <w:rPr>
          <w:rFonts w:ascii="Times New Roman" w:hAnsi="Times New Roman" w:cs="Times New Roman"/>
          <w:u w:val="single"/>
        </w:rPr>
        <w:t>2024</w:t>
      </w:r>
      <w:r>
        <w:rPr>
          <w:rFonts w:ascii="Times New Roman" w:hAnsi="Times New Roman" w:cs="Times New Roman"/>
        </w:rPr>
        <w:t>年</w:t>
      </w:r>
      <w:r>
        <w:rPr>
          <w:rFonts w:hint="eastAsia" w:ascii="Times New Roman" w:hAnsi="Times New Roman" w:cs="Times New Roman"/>
          <w:u w:val="single"/>
        </w:rPr>
        <w:t>11</w:t>
      </w:r>
      <w:r>
        <w:rPr>
          <w:rFonts w:ascii="Times New Roman" w:hAnsi="Times New Roman" w:cs="Times New Roman"/>
        </w:rPr>
        <w:t>月</w:t>
      </w:r>
      <w:r>
        <w:rPr>
          <w:rFonts w:hint="eastAsia" w:ascii="Times New Roman" w:hAnsi="Times New Roman" w:cs="Times New Roman"/>
          <w:u w:val="single"/>
        </w:rPr>
        <w:t>22</w:t>
      </w:r>
      <w:r>
        <w:rPr>
          <w:rFonts w:ascii="Times New Roman" w:hAnsi="Times New Roman" w:cs="Times New Roman"/>
        </w:rPr>
        <w:t>日起至</w:t>
      </w:r>
      <w:r>
        <w:rPr>
          <w:rFonts w:ascii="Times New Roman" w:hAnsi="Times New Roman" w:cs="Times New Roman"/>
          <w:u w:val="single"/>
        </w:rPr>
        <w:t>2024</w:t>
      </w:r>
      <w:r>
        <w:rPr>
          <w:rFonts w:ascii="Times New Roman" w:hAnsi="Times New Roman" w:cs="Times New Roman"/>
        </w:rPr>
        <w:t>年</w:t>
      </w:r>
      <w:r>
        <w:rPr>
          <w:rFonts w:hint="eastAsia" w:ascii="Times New Roman" w:hAnsi="Times New Roman" w:cs="Times New Roman"/>
          <w:u w:val="single"/>
        </w:rPr>
        <w:t>11</w:t>
      </w:r>
      <w:r>
        <w:rPr>
          <w:rFonts w:ascii="Times New Roman" w:hAnsi="Times New Roman" w:cs="Times New Roman"/>
        </w:rPr>
        <w:t>月</w:t>
      </w:r>
      <w:r>
        <w:rPr>
          <w:rFonts w:hint="eastAsia" w:ascii="Times New Roman" w:hAnsi="Times New Roman" w:cs="Times New Roman"/>
          <w:u w:val="single"/>
        </w:rPr>
        <w:t>26</w:t>
      </w:r>
      <w:r>
        <w:rPr>
          <w:rFonts w:ascii="Times New Roman" w:hAnsi="Times New Roman" w:cs="Times New Roman"/>
        </w:rPr>
        <w:t>日（节假日除外），</w:t>
      </w:r>
      <w:r>
        <w:rPr>
          <w:rFonts w:ascii="Times New Roman" w:hAnsi="Times New Roman" w:cs="Times New Roman"/>
          <w:u w:val="single"/>
        </w:rPr>
        <w:t>09：00</w:t>
      </w:r>
      <w:r>
        <w:rPr>
          <w:rFonts w:ascii="Times New Roman" w:hAnsi="Times New Roman" w:cs="Times New Roman"/>
        </w:rPr>
        <w:t>～</w:t>
      </w:r>
      <w:r>
        <w:rPr>
          <w:rFonts w:ascii="Times New Roman" w:hAnsi="Times New Roman" w:cs="Times New Roman"/>
          <w:u w:val="single"/>
        </w:rPr>
        <w:t>11：30</w:t>
      </w:r>
      <w:r>
        <w:rPr>
          <w:rFonts w:ascii="Times New Roman" w:hAnsi="Times New Roman" w:cs="Times New Roman"/>
        </w:rPr>
        <w:t>，</w:t>
      </w:r>
      <w:r>
        <w:rPr>
          <w:rFonts w:ascii="Times New Roman" w:hAnsi="Times New Roman" w:cs="Times New Roman"/>
          <w:u w:val="single"/>
        </w:rPr>
        <w:t>14：00</w:t>
      </w:r>
      <w:r>
        <w:rPr>
          <w:rFonts w:ascii="Times New Roman" w:hAnsi="Times New Roman" w:cs="Times New Roman"/>
        </w:rPr>
        <w:t>～</w:t>
      </w:r>
      <w:r>
        <w:rPr>
          <w:rFonts w:ascii="Times New Roman" w:hAnsi="Times New Roman" w:cs="Times New Roman"/>
          <w:u w:val="single"/>
        </w:rPr>
        <w:t>17：30（</w:t>
      </w:r>
      <w:r>
        <w:rPr>
          <w:rFonts w:ascii="Times New Roman" w:hAnsi="Times New Roman" w:cs="Times New Roman"/>
        </w:rPr>
        <w:t>北京时间）。</w:t>
      </w:r>
    </w:p>
    <w:p>
      <w:pPr>
        <w:shd w:val="clear" w:color="auto" w:fill="auto"/>
        <w:tabs>
          <w:tab w:val="clear" w:pos="426"/>
        </w:tabs>
        <w:spacing w:line="240" w:lineRule="auto"/>
        <w:ind w:firstLine="424" w:firstLineChars="202"/>
        <w:rPr>
          <w:rFonts w:ascii="Times New Roman" w:hAnsi="Times New Roman" w:cs="Times New Roman"/>
        </w:rPr>
      </w:pPr>
      <w:r>
        <w:rPr>
          <w:rFonts w:ascii="Times New Roman" w:hAnsi="Times New Roman" w:cs="Times New Roman"/>
        </w:rPr>
        <w:t>2.获取招标文件地点：深圳市罗湖区清水河街道清水河社区清水河一路112号罗湖投资控股大厦裙楼401。</w:t>
      </w:r>
    </w:p>
    <w:p>
      <w:pPr>
        <w:shd w:val="clear" w:color="auto" w:fill="auto"/>
        <w:tabs>
          <w:tab w:val="clear" w:pos="426"/>
        </w:tabs>
        <w:spacing w:line="240" w:lineRule="auto"/>
        <w:ind w:firstLine="424" w:firstLineChars="202"/>
        <w:rPr>
          <w:rFonts w:ascii="Times New Roman" w:hAnsi="Times New Roman" w:cs="Times New Roman"/>
        </w:rPr>
      </w:pPr>
      <w:r>
        <w:rPr>
          <w:rFonts w:ascii="Times New Roman" w:hAnsi="Times New Roman" w:cs="Times New Roman"/>
        </w:rPr>
        <w:t>3.获取招标文件方式：</w:t>
      </w:r>
      <w:r>
        <w:rPr>
          <w:rFonts w:hint="eastAsia"/>
          <w:szCs w:val="21"/>
        </w:rPr>
        <w:t>邮购（报名资料盖章复印件发送至498174886@qq.com）</w:t>
      </w:r>
      <w:r>
        <w:rPr>
          <w:rFonts w:ascii="Times New Roman" w:hAnsi="Times New Roman" w:cs="Times New Roman"/>
        </w:rPr>
        <w:t>。</w:t>
      </w:r>
    </w:p>
    <w:p>
      <w:pPr>
        <w:shd w:val="clear" w:color="auto" w:fill="auto"/>
        <w:tabs>
          <w:tab w:val="clear" w:pos="426"/>
        </w:tabs>
        <w:spacing w:line="240" w:lineRule="auto"/>
        <w:ind w:firstLine="424" w:firstLineChars="202"/>
        <w:rPr>
          <w:rFonts w:ascii="Times New Roman" w:hAnsi="Times New Roman" w:cs="Times New Roman"/>
        </w:rPr>
      </w:pPr>
      <w:r>
        <w:rPr>
          <w:rFonts w:ascii="Times New Roman" w:hAnsi="Times New Roman" w:cs="Times New Roman"/>
        </w:rPr>
        <w:t>4.招标文件售价：每套人民币500元</w:t>
      </w:r>
      <w:r>
        <w:rPr>
          <w:rFonts w:hint="eastAsia"/>
          <w:b/>
          <w:szCs w:val="21"/>
        </w:rPr>
        <w:t>（仅限扫码支付）</w:t>
      </w:r>
      <w:r>
        <w:rPr>
          <w:rFonts w:ascii="Times New Roman" w:hAnsi="Times New Roman" w:cs="Times New Roman"/>
        </w:rPr>
        <w:t>。招标文件售后不退。</w:t>
      </w:r>
    </w:p>
    <w:p>
      <w:pPr>
        <w:shd w:val="clear" w:color="auto" w:fill="auto"/>
        <w:tabs>
          <w:tab w:val="clear" w:pos="426"/>
        </w:tabs>
        <w:spacing w:line="240" w:lineRule="auto"/>
        <w:ind w:firstLine="424" w:firstLineChars="202"/>
        <w:rPr>
          <w:rFonts w:ascii="Times New Roman" w:hAnsi="Times New Roman" w:cs="Times New Roman"/>
        </w:rPr>
      </w:pPr>
      <w:r>
        <w:rPr>
          <w:rFonts w:ascii="Times New Roman" w:hAnsi="Times New Roman" w:cs="Times New Roman"/>
        </w:rPr>
        <w:t>5.现场报名时提交以下资料：</w:t>
      </w:r>
    </w:p>
    <w:p>
      <w:pPr>
        <w:shd w:val="clear" w:color="auto" w:fill="auto"/>
        <w:tabs>
          <w:tab w:val="clear" w:pos="426"/>
        </w:tabs>
        <w:spacing w:line="240" w:lineRule="auto"/>
        <w:ind w:firstLine="424" w:firstLineChars="202"/>
        <w:rPr>
          <w:rFonts w:ascii="Times New Roman" w:hAnsi="Times New Roman" w:cs="Times New Roman"/>
        </w:rPr>
      </w:pPr>
      <w:r>
        <w:rPr>
          <w:rFonts w:ascii="Times New Roman" w:hAnsi="Times New Roman" w:cs="Times New Roman"/>
        </w:rPr>
        <w:t>（1）投标人的营业执照复印件、法人代表证明书、授权委托书、</w:t>
      </w:r>
      <w:r>
        <w:rPr>
          <w:rFonts w:hint="eastAsia" w:ascii="Times New Roman" w:hAnsi="Times New Roman" w:cs="Times New Roman"/>
        </w:rPr>
        <w:t>法定代表人及</w:t>
      </w:r>
      <w:r>
        <w:rPr>
          <w:rFonts w:ascii="Times New Roman" w:hAnsi="Times New Roman" w:cs="Times New Roman"/>
        </w:rPr>
        <w:t>被授权委托人身份证复印件</w:t>
      </w:r>
      <w:r>
        <w:rPr>
          <w:rFonts w:hint="eastAsia" w:ascii="Times New Roman" w:hAnsi="Times New Roman" w:cs="Times New Roman"/>
        </w:rPr>
        <w:t>，以上资料须</w:t>
      </w:r>
      <w:r>
        <w:rPr>
          <w:rFonts w:ascii="Times New Roman" w:hAnsi="Times New Roman" w:cs="Times New Roman"/>
        </w:rPr>
        <w:t>加盖投标人公章，格式自定。</w:t>
      </w:r>
    </w:p>
    <w:p>
      <w:pPr>
        <w:shd w:val="clear" w:color="auto" w:fill="auto"/>
        <w:tabs>
          <w:tab w:val="clear" w:pos="426"/>
        </w:tabs>
        <w:spacing w:line="240" w:lineRule="auto"/>
        <w:ind w:firstLine="424" w:firstLineChars="202"/>
        <w:rPr>
          <w:rFonts w:ascii="Times New Roman" w:hAnsi="Times New Roman" w:cs="Times New Roman"/>
        </w:rPr>
      </w:pPr>
      <w:r>
        <w:rPr>
          <w:rFonts w:hint="eastAsia" w:ascii="Times New Roman" w:hAnsi="Times New Roman" w:cs="Times New Roman"/>
        </w:rPr>
        <w:t>6.如需邮购，请快递上述报名资料至采购代理机构并与项目负责人联系。</w:t>
      </w:r>
    </w:p>
    <w:p>
      <w:pPr>
        <w:widowControl w:val="0"/>
        <w:shd w:val="clear" w:color="auto" w:fill="auto"/>
        <w:tabs>
          <w:tab w:val="clear" w:pos="426"/>
        </w:tabs>
        <w:spacing w:line="240" w:lineRule="auto"/>
        <w:ind w:firstLine="422"/>
        <w:rPr>
          <w:rFonts w:ascii="Times New Roman" w:hAnsi="Times New Roman" w:cs="Times New Roman"/>
          <w:b/>
          <w:kern w:val="2"/>
          <w:szCs w:val="21"/>
        </w:rPr>
      </w:pPr>
      <w:r>
        <w:rPr>
          <w:rFonts w:ascii="Times New Roman" w:hAnsi="Times New Roman" w:cs="Times New Roman"/>
          <w:b/>
          <w:kern w:val="2"/>
          <w:szCs w:val="21"/>
        </w:rPr>
        <w:t>四、提交投标文件截止时间、开标时间和地点</w:t>
      </w:r>
    </w:p>
    <w:p>
      <w:pPr>
        <w:shd w:val="clear" w:color="auto" w:fill="auto"/>
        <w:tabs>
          <w:tab w:val="clear" w:pos="426"/>
        </w:tabs>
        <w:spacing w:line="240" w:lineRule="auto"/>
        <w:ind w:firstLine="424" w:firstLineChars="202"/>
        <w:rPr>
          <w:rFonts w:ascii="Times New Roman" w:hAnsi="Times New Roman" w:cs="Times New Roman"/>
        </w:rPr>
      </w:pPr>
      <w:r>
        <w:rPr>
          <w:rFonts w:ascii="Times New Roman" w:hAnsi="Times New Roman" w:cs="Times New Roman"/>
        </w:rPr>
        <w:t>1.递交投标文件时间：</w:t>
      </w:r>
      <w:r>
        <w:rPr>
          <w:rFonts w:ascii="Times New Roman" w:hAnsi="Times New Roman" w:cs="Times New Roman"/>
          <w:u w:val="single"/>
        </w:rPr>
        <w:t>2024</w:t>
      </w:r>
      <w:r>
        <w:rPr>
          <w:rFonts w:ascii="Times New Roman" w:hAnsi="Times New Roman" w:cs="Times New Roman"/>
        </w:rPr>
        <w:t>年</w:t>
      </w:r>
      <w:r>
        <w:rPr>
          <w:rFonts w:hint="eastAsia" w:ascii="Times New Roman" w:hAnsi="Times New Roman" w:cs="Times New Roman"/>
          <w:u w:val="single"/>
        </w:rPr>
        <w:t>11</w:t>
      </w:r>
      <w:r>
        <w:rPr>
          <w:rFonts w:ascii="Times New Roman" w:hAnsi="Times New Roman" w:cs="Times New Roman"/>
        </w:rPr>
        <w:t>月</w:t>
      </w:r>
      <w:r>
        <w:rPr>
          <w:rFonts w:hint="eastAsia" w:ascii="Times New Roman" w:hAnsi="Times New Roman" w:cs="Times New Roman"/>
          <w:u w:val="single"/>
        </w:rPr>
        <w:t>27</w:t>
      </w:r>
      <w:r>
        <w:rPr>
          <w:rFonts w:ascii="Times New Roman" w:hAnsi="Times New Roman" w:cs="Times New Roman"/>
        </w:rPr>
        <w:t xml:space="preserve">日 </w:t>
      </w:r>
      <w:r>
        <w:rPr>
          <w:rFonts w:hint="eastAsia"/>
          <w:u w:val="single"/>
        </w:rPr>
        <w:t>09</w:t>
      </w:r>
      <w:r>
        <w:t>：</w:t>
      </w:r>
      <w:r>
        <w:rPr>
          <w:u w:val="single"/>
        </w:rPr>
        <w:t>00</w:t>
      </w:r>
      <w:r>
        <w:t>～</w:t>
      </w:r>
      <w:r>
        <w:rPr>
          <w:rFonts w:hint="eastAsia"/>
          <w:u w:val="single"/>
        </w:rPr>
        <w:t>09</w:t>
      </w:r>
      <w:r>
        <w:t>：</w:t>
      </w:r>
      <w:r>
        <w:rPr>
          <w:u w:val="single"/>
        </w:rPr>
        <w:t>30</w:t>
      </w:r>
      <w:r>
        <w:rPr>
          <w:rFonts w:ascii="Times New Roman" w:hAnsi="Times New Roman" w:cs="Times New Roman"/>
        </w:rPr>
        <w:t>。</w:t>
      </w:r>
    </w:p>
    <w:p>
      <w:pPr>
        <w:shd w:val="clear" w:color="auto" w:fill="auto"/>
        <w:tabs>
          <w:tab w:val="clear" w:pos="426"/>
        </w:tabs>
        <w:spacing w:line="240" w:lineRule="auto"/>
        <w:ind w:firstLine="424" w:firstLineChars="202"/>
        <w:rPr>
          <w:rFonts w:ascii="Times New Roman" w:hAnsi="Times New Roman" w:cs="Times New Roman"/>
        </w:rPr>
      </w:pPr>
      <w:r>
        <w:rPr>
          <w:rFonts w:ascii="Times New Roman" w:hAnsi="Times New Roman" w:cs="Times New Roman"/>
        </w:rPr>
        <w:t>2.投标截止及开标时间：</w:t>
      </w:r>
      <w:r>
        <w:rPr>
          <w:rFonts w:ascii="Times New Roman" w:hAnsi="Times New Roman" w:cs="Times New Roman"/>
          <w:u w:val="single"/>
        </w:rPr>
        <w:t>2024</w:t>
      </w:r>
      <w:r>
        <w:rPr>
          <w:rFonts w:ascii="Times New Roman" w:hAnsi="Times New Roman" w:cs="Times New Roman"/>
        </w:rPr>
        <w:t>年</w:t>
      </w:r>
      <w:r>
        <w:rPr>
          <w:rFonts w:hint="eastAsia" w:ascii="Times New Roman" w:hAnsi="Times New Roman" w:cs="Times New Roman"/>
          <w:u w:val="single"/>
        </w:rPr>
        <w:t>11</w:t>
      </w:r>
      <w:r>
        <w:rPr>
          <w:rFonts w:ascii="Times New Roman" w:hAnsi="Times New Roman" w:cs="Times New Roman"/>
        </w:rPr>
        <w:t>月</w:t>
      </w:r>
      <w:r>
        <w:rPr>
          <w:rFonts w:hint="eastAsia" w:ascii="Times New Roman" w:hAnsi="Times New Roman" w:cs="Times New Roman"/>
          <w:u w:val="single"/>
        </w:rPr>
        <w:t>27</w:t>
      </w:r>
      <w:r>
        <w:rPr>
          <w:rFonts w:ascii="Times New Roman" w:hAnsi="Times New Roman" w:cs="Times New Roman"/>
        </w:rPr>
        <w:t xml:space="preserve">日 </w:t>
      </w:r>
      <w:r>
        <w:rPr>
          <w:rFonts w:hint="eastAsia"/>
          <w:u w:val="single"/>
        </w:rPr>
        <w:t>09</w:t>
      </w:r>
      <w:r>
        <w:t>：</w:t>
      </w:r>
      <w:r>
        <w:rPr>
          <w:u w:val="single"/>
        </w:rPr>
        <w:t>30</w:t>
      </w:r>
      <w:r>
        <w:rPr>
          <w:rFonts w:ascii="Times New Roman" w:hAnsi="Times New Roman" w:cs="Times New Roman"/>
        </w:rPr>
        <w:t>。</w:t>
      </w:r>
    </w:p>
    <w:p>
      <w:pPr>
        <w:shd w:val="clear" w:color="auto" w:fill="auto"/>
        <w:tabs>
          <w:tab w:val="clear" w:pos="426"/>
        </w:tabs>
        <w:spacing w:line="240" w:lineRule="auto"/>
        <w:ind w:firstLine="424" w:firstLineChars="202"/>
        <w:rPr>
          <w:rFonts w:ascii="Times New Roman" w:hAnsi="Times New Roman" w:cs="Times New Roman"/>
        </w:rPr>
      </w:pPr>
      <w:r>
        <w:rPr>
          <w:rFonts w:ascii="Times New Roman" w:hAnsi="Times New Roman" w:cs="Times New Roman"/>
        </w:rPr>
        <w:t>3.开标地点：</w:t>
      </w:r>
      <w:r>
        <w:rPr>
          <w:rFonts w:hint="eastAsia" w:ascii="Times New Roman" w:hAnsi="Times New Roman" w:cs="Times New Roman"/>
        </w:rPr>
        <w:t>深圳市罗湖区清水河街道清水河社区清水河一路112号罗湖投资控股大厦裙楼401</w:t>
      </w:r>
      <w:r>
        <w:rPr>
          <w:rFonts w:ascii="Times New Roman" w:hAnsi="Times New Roman" w:cs="Times New Roman"/>
        </w:rPr>
        <w:t>。</w:t>
      </w:r>
    </w:p>
    <w:p>
      <w:pPr>
        <w:widowControl w:val="0"/>
        <w:shd w:val="clear" w:color="auto" w:fill="auto"/>
        <w:tabs>
          <w:tab w:val="clear" w:pos="426"/>
        </w:tabs>
        <w:spacing w:line="240" w:lineRule="auto"/>
        <w:ind w:firstLine="422"/>
        <w:rPr>
          <w:rFonts w:ascii="Times New Roman" w:hAnsi="Times New Roman" w:cs="Times New Roman"/>
          <w:b/>
          <w:kern w:val="2"/>
          <w:szCs w:val="21"/>
        </w:rPr>
      </w:pPr>
      <w:r>
        <w:rPr>
          <w:rFonts w:ascii="Times New Roman" w:hAnsi="Times New Roman" w:cs="Times New Roman"/>
          <w:b/>
          <w:kern w:val="2"/>
          <w:szCs w:val="21"/>
        </w:rPr>
        <w:t>五、公告期限</w:t>
      </w:r>
    </w:p>
    <w:p>
      <w:pPr>
        <w:shd w:val="clear" w:color="auto" w:fill="auto"/>
        <w:tabs>
          <w:tab w:val="clear" w:pos="426"/>
        </w:tabs>
        <w:spacing w:line="240" w:lineRule="auto"/>
        <w:ind w:firstLine="424" w:firstLineChars="202"/>
        <w:rPr>
          <w:rFonts w:ascii="Times New Roman" w:hAnsi="Times New Roman" w:cs="Times New Roman"/>
          <w:szCs w:val="21"/>
        </w:rPr>
      </w:pPr>
      <w:r>
        <w:rPr>
          <w:rFonts w:hint="eastAsia" w:ascii="Times New Roman" w:hAnsi="Times New Roman" w:cs="Times New Roman"/>
          <w:szCs w:val="21"/>
        </w:rPr>
        <w:t>依据采购人内控制度，</w:t>
      </w:r>
      <w:r>
        <w:rPr>
          <w:rFonts w:ascii="Times New Roman" w:hAnsi="Times New Roman" w:cs="Times New Roman"/>
          <w:szCs w:val="21"/>
        </w:rPr>
        <w:t>自本公告发布之日起5日。</w:t>
      </w:r>
    </w:p>
    <w:p>
      <w:pPr>
        <w:widowControl w:val="0"/>
        <w:shd w:val="clear" w:color="auto" w:fill="auto"/>
        <w:tabs>
          <w:tab w:val="clear" w:pos="426"/>
        </w:tabs>
        <w:spacing w:line="240" w:lineRule="auto"/>
        <w:ind w:firstLine="422"/>
        <w:rPr>
          <w:rFonts w:ascii="Times New Roman" w:hAnsi="Times New Roman" w:cs="Times New Roman"/>
          <w:b/>
          <w:kern w:val="2"/>
          <w:szCs w:val="21"/>
        </w:rPr>
      </w:pPr>
      <w:r>
        <w:rPr>
          <w:rFonts w:ascii="Times New Roman" w:hAnsi="Times New Roman" w:cs="Times New Roman"/>
          <w:b/>
          <w:kern w:val="2"/>
          <w:szCs w:val="21"/>
        </w:rPr>
        <w:t>六、其他补充事宜</w:t>
      </w:r>
    </w:p>
    <w:p>
      <w:pPr>
        <w:shd w:val="clear" w:color="auto" w:fill="auto"/>
        <w:tabs>
          <w:tab w:val="clear" w:pos="426"/>
        </w:tabs>
        <w:spacing w:line="240" w:lineRule="auto"/>
        <w:ind w:firstLine="424" w:firstLineChars="202"/>
        <w:rPr>
          <w:rFonts w:ascii="Times New Roman" w:hAnsi="Times New Roman" w:cs="Times New Roman"/>
          <w:szCs w:val="21"/>
        </w:rPr>
      </w:pPr>
      <w:r>
        <w:rPr>
          <w:rFonts w:ascii="Times New Roman" w:hAnsi="Times New Roman" w:cs="Times New Roman"/>
          <w:szCs w:val="21"/>
        </w:rPr>
        <w:t>1.本项目实行网下纸质答疑，凡对招标文件有任何疑问的（包括认为招标文件的技术指标或参数存在排他性或歧视性条款），请投标人于</w:t>
      </w:r>
      <w:r>
        <w:rPr>
          <w:rFonts w:hint="eastAsia" w:ascii="Times New Roman" w:hAnsi="Times New Roman" w:cs="Times New Roman"/>
          <w:szCs w:val="21"/>
        </w:rPr>
        <w:t>招标文件发布之日（当日不计）起第7个工作日</w:t>
      </w:r>
      <w:r>
        <w:rPr>
          <w:rFonts w:ascii="Times New Roman" w:hAnsi="Times New Roman" w:cs="Times New Roman"/>
          <w:szCs w:val="21"/>
        </w:rPr>
        <w:t>，根据《深圳经济特区政府采购条例》第六章、《深圳市经济特区政府采购条例实施细则》第六章及深圳交易集团有限公司政府采购业务分公司网页https://www.szggzy.com/globalSearch/details.html?contentId=1211037所发布的有关质疑的指引及要求填写质疑函件，并将质疑函件以及相关质疑内容的证明材料原件送达深圳市深水水务咨询有限公司，逾期不受理。</w:t>
      </w:r>
    </w:p>
    <w:p>
      <w:pPr>
        <w:shd w:val="clear" w:color="auto" w:fill="auto"/>
        <w:tabs>
          <w:tab w:val="clear" w:pos="426"/>
        </w:tabs>
        <w:spacing w:line="240" w:lineRule="auto"/>
        <w:ind w:firstLine="424" w:firstLineChars="202"/>
        <w:rPr>
          <w:rFonts w:ascii="Times New Roman" w:hAnsi="Times New Roman" w:cs="Times New Roman"/>
          <w:szCs w:val="21"/>
        </w:rPr>
      </w:pPr>
      <w:r>
        <w:rPr>
          <w:rFonts w:ascii="Times New Roman" w:hAnsi="Times New Roman" w:cs="Times New Roman"/>
          <w:szCs w:val="21"/>
        </w:rPr>
        <w:t>2.投标人有义务在招标活动期间浏览本公告中的相关网站，招标人在上述网站上公布的与本次招标项目有关的信息视为已送达各投标人。采购代理机构将答疑情况或相关的补充公告（说明）在相关网站公布，请投标人及时关注本项目的投标答疑情况。投标人因疏忽，未及时登录相关网站了解相关的答疑情况及补充说明，产生的不利后果由投标人自行承担。</w:t>
      </w:r>
    </w:p>
    <w:p>
      <w:pPr>
        <w:shd w:val="clear" w:color="auto" w:fill="auto"/>
        <w:tabs>
          <w:tab w:val="clear" w:pos="426"/>
        </w:tabs>
        <w:spacing w:line="240" w:lineRule="auto"/>
        <w:ind w:firstLine="424" w:firstLineChars="202"/>
        <w:rPr>
          <w:rFonts w:ascii="Times New Roman" w:hAnsi="Times New Roman" w:cs="Times New Roman"/>
          <w:szCs w:val="21"/>
        </w:rPr>
      </w:pPr>
      <w:r>
        <w:rPr>
          <w:rFonts w:hint="eastAsia" w:ascii="Times New Roman" w:hAnsi="Times New Roman" w:cs="Times New Roman"/>
          <w:szCs w:val="21"/>
        </w:rPr>
        <w:t>3.公告网站</w:t>
      </w:r>
    </w:p>
    <w:p>
      <w:pPr>
        <w:shd w:val="clear" w:color="auto" w:fill="auto"/>
        <w:tabs>
          <w:tab w:val="clear" w:pos="426"/>
        </w:tabs>
        <w:spacing w:line="240" w:lineRule="auto"/>
        <w:ind w:firstLine="424" w:firstLineChars="202"/>
        <w:rPr>
          <w:rFonts w:ascii="Times New Roman" w:hAnsi="Times New Roman" w:cs="Times New Roman"/>
          <w:szCs w:val="21"/>
        </w:rPr>
      </w:pPr>
      <w:r>
        <w:rPr>
          <w:rFonts w:hint="eastAsia" w:ascii="Times New Roman" w:hAnsi="Times New Roman" w:cs="Times New Roman"/>
          <w:szCs w:val="21"/>
        </w:rPr>
        <w:t>深圳市深水水务咨询有限公司  http://www.szsszx.com/</w:t>
      </w:r>
    </w:p>
    <w:p>
      <w:pPr>
        <w:shd w:val="clear" w:color="auto" w:fill="auto"/>
        <w:tabs>
          <w:tab w:val="clear" w:pos="426"/>
        </w:tabs>
        <w:spacing w:line="240" w:lineRule="auto"/>
        <w:ind w:firstLine="424" w:firstLineChars="202"/>
        <w:rPr>
          <w:rFonts w:ascii="Times New Roman" w:hAnsi="Times New Roman" w:cs="Times New Roman"/>
          <w:szCs w:val="21"/>
        </w:rPr>
      </w:pPr>
      <w:r>
        <w:rPr>
          <w:rFonts w:hint="eastAsia" w:ascii="Times New Roman" w:hAnsi="Times New Roman" w:cs="Times New Roman"/>
          <w:szCs w:val="21"/>
        </w:rPr>
        <w:t>4.踏勘要求</w:t>
      </w:r>
    </w:p>
    <w:p>
      <w:pPr>
        <w:shd w:val="clear" w:color="auto" w:fill="auto"/>
        <w:tabs>
          <w:tab w:val="clear" w:pos="426"/>
        </w:tabs>
        <w:spacing w:line="240" w:lineRule="auto"/>
        <w:ind w:firstLine="424" w:firstLineChars="202"/>
        <w:rPr>
          <w:rFonts w:ascii="Times New Roman" w:hAnsi="Times New Roman" w:cs="Times New Roman"/>
          <w:szCs w:val="21"/>
        </w:rPr>
      </w:pPr>
      <w:r>
        <w:rPr>
          <w:rFonts w:hint="eastAsia" w:ascii="Times New Roman" w:hAnsi="Times New Roman" w:cs="Times New Roman"/>
          <w:szCs w:val="21"/>
        </w:rPr>
        <w:sym w:font="Wingdings" w:char="F0FE"/>
      </w:r>
      <w:r>
        <w:rPr>
          <w:rFonts w:hint="eastAsia" w:ascii="Times New Roman" w:hAnsi="Times New Roman" w:cs="Times New Roman"/>
          <w:szCs w:val="21"/>
        </w:rPr>
        <w:t>组织。踏勘时间：2024年11月26日14时30分</w:t>
      </w:r>
    </w:p>
    <w:p>
      <w:pPr>
        <w:shd w:val="clear" w:color="auto" w:fill="auto"/>
        <w:tabs>
          <w:tab w:val="clear" w:pos="426"/>
        </w:tabs>
        <w:spacing w:line="240" w:lineRule="auto"/>
        <w:ind w:firstLine="424" w:firstLineChars="202"/>
        <w:rPr>
          <w:rFonts w:ascii="Times New Roman" w:hAnsi="Times New Roman" w:cs="Times New Roman"/>
          <w:szCs w:val="21"/>
        </w:rPr>
      </w:pPr>
      <w:r>
        <w:rPr>
          <w:rFonts w:hint="eastAsia" w:ascii="Times New Roman" w:hAnsi="Times New Roman" w:cs="Times New Roman"/>
          <w:szCs w:val="21"/>
        </w:rPr>
        <w:t xml:space="preserve">        集合地点：深圳市福田区华强北街道红荔路1011号</w:t>
      </w:r>
    </w:p>
    <w:p>
      <w:pPr>
        <w:shd w:val="clear" w:color="auto" w:fill="auto"/>
        <w:tabs>
          <w:tab w:val="clear" w:pos="426"/>
        </w:tabs>
        <w:spacing w:line="240" w:lineRule="auto"/>
        <w:ind w:firstLine="424" w:firstLineChars="202"/>
        <w:rPr>
          <w:rFonts w:ascii="Times New Roman" w:hAnsi="Times New Roman" w:cs="Times New Roman"/>
          <w:szCs w:val="21"/>
          <w:u w:val="single"/>
        </w:rPr>
      </w:pPr>
      <w:r>
        <w:rPr>
          <w:rFonts w:hint="eastAsia" w:ascii="Times New Roman" w:hAnsi="Times New Roman" w:cs="Times New Roman"/>
          <w:szCs w:val="21"/>
        </w:rPr>
        <w:t xml:space="preserve">        联 系 人：罗老师，联系电话：18926084258</w:t>
      </w:r>
    </w:p>
    <w:p>
      <w:pPr>
        <w:widowControl w:val="0"/>
        <w:shd w:val="clear" w:color="auto" w:fill="auto"/>
        <w:tabs>
          <w:tab w:val="clear" w:pos="426"/>
        </w:tabs>
        <w:spacing w:line="240" w:lineRule="auto"/>
        <w:ind w:firstLine="422"/>
        <w:rPr>
          <w:rFonts w:ascii="Times New Roman" w:hAnsi="Times New Roman" w:cs="Times New Roman"/>
          <w:b/>
          <w:kern w:val="2"/>
          <w:szCs w:val="21"/>
        </w:rPr>
      </w:pPr>
      <w:r>
        <w:rPr>
          <w:rFonts w:hint="eastAsia" w:ascii="Times New Roman" w:hAnsi="Times New Roman" w:cs="Times New Roman"/>
          <w:b/>
          <w:kern w:val="2"/>
          <w:szCs w:val="21"/>
        </w:rPr>
        <w:t>七、对本次招标提出询问，请按以下方式联系</w:t>
      </w:r>
    </w:p>
    <w:p>
      <w:pPr>
        <w:shd w:val="clear" w:color="auto" w:fill="auto"/>
        <w:tabs>
          <w:tab w:val="clear" w:pos="426"/>
        </w:tabs>
        <w:spacing w:line="276" w:lineRule="auto"/>
        <w:ind w:firstLine="424" w:firstLineChars="202"/>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采购人联系方式</w:t>
      </w:r>
    </w:p>
    <w:p>
      <w:pPr>
        <w:shd w:val="clear" w:color="auto" w:fill="auto"/>
        <w:tabs>
          <w:tab w:val="clear" w:pos="426"/>
        </w:tabs>
        <w:spacing w:line="276" w:lineRule="auto"/>
        <w:ind w:firstLine="424" w:firstLineChars="202"/>
        <w:rPr>
          <w:rFonts w:ascii="Times New Roman" w:hAnsi="Times New Roman" w:cs="Times New Roman"/>
        </w:rPr>
      </w:pPr>
      <w:r>
        <w:rPr>
          <w:rFonts w:ascii="Times New Roman" w:hAnsi="Times New Roman" w:cs="Times New Roman"/>
        </w:rPr>
        <w:t>单位名称：</w:t>
      </w:r>
      <w:r>
        <w:rPr>
          <w:rFonts w:hint="eastAsia" w:ascii="Times New Roman" w:hAnsi="Times New Roman" w:cs="Times New Roman"/>
        </w:rPr>
        <w:t>深圳少年儿童图书馆</w:t>
      </w:r>
      <w:r>
        <w:rPr>
          <w:rFonts w:ascii="Times New Roman" w:hAnsi="Times New Roman" w:cs="Times New Roman"/>
        </w:rPr>
        <w:t xml:space="preserve"> </w:t>
      </w:r>
    </w:p>
    <w:p>
      <w:pPr>
        <w:shd w:val="clear" w:color="auto" w:fill="auto"/>
        <w:tabs>
          <w:tab w:val="clear" w:pos="426"/>
        </w:tabs>
        <w:spacing w:line="276" w:lineRule="auto"/>
        <w:ind w:firstLine="424" w:firstLineChars="202"/>
        <w:rPr>
          <w:rFonts w:ascii="Times New Roman" w:hAnsi="Times New Roman" w:cs="Times New Roman"/>
        </w:rPr>
      </w:pPr>
      <w:r>
        <w:rPr>
          <w:rFonts w:ascii="Times New Roman" w:hAnsi="Times New Roman" w:cs="Times New Roman"/>
        </w:rPr>
        <w:t>联 系 人：</w:t>
      </w:r>
      <w:r>
        <w:rPr>
          <w:rFonts w:hint="eastAsia"/>
        </w:rPr>
        <w:t>侯先生</w:t>
      </w:r>
    </w:p>
    <w:p>
      <w:pPr>
        <w:shd w:val="clear" w:color="auto" w:fill="auto"/>
        <w:tabs>
          <w:tab w:val="clear" w:pos="426"/>
        </w:tabs>
        <w:spacing w:line="276" w:lineRule="auto"/>
        <w:ind w:firstLine="424" w:firstLineChars="202"/>
        <w:rPr>
          <w:rFonts w:ascii="Times New Roman" w:hAnsi="Times New Roman" w:cs="Times New Roman"/>
        </w:rPr>
      </w:pPr>
      <w:r>
        <w:rPr>
          <w:rFonts w:ascii="Times New Roman" w:hAnsi="Times New Roman" w:cs="Times New Roman"/>
        </w:rPr>
        <w:t>电    话：</w:t>
      </w:r>
      <w:r>
        <w:rPr>
          <w:rFonts w:hint="eastAsia"/>
        </w:rPr>
        <w:t>0755-</w:t>
      </w:r>
      <w:r>
        <w:rPr>
          <w:rStyle w:val="53"/>
          <w:rFonts w:hint="eastAsia" w:hAnsi="Times New Roman" w:cs="Times New Roman"/>
        </w:rPr>
        <w:t>82093609</w:t>
      </w:r>
    </w:p>
    <w:p>
      <w:pPr>
        <w:shd w:val="clear" w:color="auto" w:fill="auto"/>
        <w:tabs>
          <w:tab w:val="clear" w:pos="426"/>
        </w:tabs>
        <w:spacing w:line="276" w:lineRule="auto"/>
        <w:ind w:firstLine="424" w:firstLineChars="202"/>
        <w:rPr>
          <w:rFonts w:ascii="Times New Roman" w:hAnsi="Times New Roman" w:cs="Times New Roman"/>
        </w:rPr>
      </w:pPr>
      <w:r>
        <w:rPr>
          <w:rFonts w:ascii="Times New Roman" w:hAnsi="Times New Roman" w:cs="Times New Roman"/>
        </w:rPr>
        <w:t>地    址：</w:t>
      </w:r>
      <w:r>
        <w:rPr>
          <w:rFonts w:hint="eastAsia" w:ascii="Times New Roman" w:hAnsi="Times New Roman" w:cs="Times New Roman"/>
        </w:rPr>
        <w:t>深圳市福田区华强北街道红荔路1011号</w:t>
      </w:r>
    </w:p>
    <w:p>
      <w:pPr>
        <w:shd w:val="clear" w:color="auto" w:fill="auto"/>
        <w:tabs>
          <w:tab w:val="clear" w:pos="426"/>
        </w:tabs>
        <w:spacing w:line="276" w:lineRule="auto"/>
        <w:ind w:firstLine="424" w:firstLineChars="202"/>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采购代理机构联系方式</w:t>
      </w:r>
    </w:p>
    <w:p>
      <w:pPr>
        <w:shd w:val="clear" w:color="auto" w:fill="auto"/>
        <w:tabs>
          <w:tab w:val="clear" w:pos="426"/>
        </w:tabs>
        <w:spacing w:line="276" w:lineRule="auto"/>
        <w:ind w:firstLine="424" w:firstLineChars="202"/>
        <w:rPr>
          <w:rFonts w:ascii="Times New Roman" w:hAnsi="Times New Roman" w:cs="Times New Roman"/>
        </w:rPr>
      </w:pPr>
      <w:r>
        <w:rPr>
          <w:rFonts w:hint="eastAsia" w:ascii="Times New Roman" w:hAnsi="Times New Roman" w:cs="Times New Roman"/>
        </w:rPr>
        <w:t>单位名称：深圳市深水水务咨询有限公司</w:t>
      </w:r>
    </w:p>
    <w:p>
      <w:pPr>
        <w:shd w:val="clear" w:color="auto" w:fill="auto"/>
        <w:tabs>
          <w:tab w:val="clear" w:pos="426"/>
        </w:tabs>
        <w:spacing w:line="276" w:lineRule="auto"/>
        <w:ind w:firstLine="424" w:firstLineChars="202"/>
        <w:rPr>
          <w:rFonts w:ascii="Times New Roman" w:hAnsi="Times New Roman" w:cs="Times New Roman"/>
        </w:rPr>
      </w:pPr>
      <w:r>
        <w:rPr>
          <w:rFonts w:hint="eastAsia" w:ascii="Times New Roman" w:hAnsi="Times New Roman" w:cs="Times New Roman"/>
        </w:rPr>
        <w:t>联 系 人1：庄晓琴</w:t>
      </w:r>
    </w:p>
    <w:p>
      <w:pPr>
        <w:shd w:val="clear" w:color="auto" w:fill="auto"/>
        <w:tabs>
          <w:tab w:val="clear" w:pos="426"/>
        </w:tabs>
        <w:spacing w:line="276" w:lineRule="auto"/>
        <w:ind w:firstLine="424" w:firstLineChars="202"/>
        <w:rPr>
          <w:rFonts w:ascii="Times New Roman" w:hAnsi="Times New Roman" w:cs="Times New Roman"/>
        </w:rPr>
      </w:pPr>
      <w:r>
        <w:rPr>
          <w:rFonts w:hint="eastAsia" w:ascii="Times New Roman" w:hAnsi="Times New Roman" w:cs="Times New Roman"/>
        </w:rPr>
        <w:t>电      话：0755-25165821   手  机：13688812350     Email：498174886@qq.com</w:t>
      </w:r>
    </w:p>
    <w:p>
      <w:pPr>
        <w:shd w:val="clear" w:color="auto" w:fill="auto"/>
        <w:tabs>
          <w:tab w:val="clear" w:pos="426"/>
        </w:tabs>
        <w:spacing w:line="276" w:lineRule="auto"/>
        <w:ind w:firstLine="424" w:firstLineChars="202"/>
        <w:rPr>
          <w:rFonts w:ascii="Times New Roman" w:hAnsi="Times New Roman" w:cs="Times New Roman"/>
        </w:rPr>
      </w:pPr>
      <w:r>
        <w:rPr>
          <w:rFonts w:hint="eastAsia" w:ascii="Times New Roman" w:hAnsi="Times New Roman" w:cs="Times New Roman"/>
        </w:rPr>
        <w:t>联 系 人2：麦舒群</w:t>
      </w:r>
    </w:p>
    <w:p>
      <w:pPr>
        <w:shd w:val="clear" w:color="auto" w:fill="auto"/>
        <w:tabs>
          <w:tab w:val="clear" w:pos="426"/>
        </w:tabs>
        <w:spacing w:line="276" w:lineRule="auto"/>
        <w:ind w:firstLine="424" w:firstLineChars="202"/>
        <w:rPr>
          <w:rFonts w:ascii="Times New Roman" w:hAnsi="Times New Roman" w:cs="Times New Roman"/>
        </w:rPr>
      </w:pPr>
      <w:r>
        <w:rPr>
          <w:rFonts w:hint="eastAsia" w:ascii="Times New Roman" w:hAnsi="Times New Roman" w:cs="Times New Roman"/>
        </w:rPr>
        <w:t>电      话：0755-25164102   手  机：13556822161</w:t>
      </w:r>
    </w:p>
    <w:p>
      <w:pPr>
        <w:shd w:val="clear" w:color="auto" w:fill="auto"/>
        <w:tabs>
          <w:tab w:val="clear" w:pos="426"/>
        </w:tabs>
        <w:spacing w:line="276" w:lineRule="auto"/>
        <w:ind w:firstLine="424" w:firstLineChars="202"/>
        <w:rPr>
          <w:rFonts w:ascii="Times New Roman" w:hAnsi="Times New Roman" w:cs="Times New Roman"/>
        </w:rPr>
      </w:pPr>
      <w:r>
        <w:rPr>
          <w:rFonts w:hint="eastAsia" w:ascii="Times New Roman" w:hAnsi="Times New Roman" w:cs="Times New Roman"/>
        </w:rPr>
        <w:t>地    址：深圳市罗湖区清水河街道清水河社区清水河一路112号罗湖投资控股大厦裙楼401</w:t>
      </w:r>
    </w:p>
    <w:bookmarkEnd w:id="17"/>
    <w:bookmarkEnd w:id="18"/>
    <w:p>
      <w:pPr>
        <w:shd w:val="clear" w:color="auto" w:fill="auto"/>
        <w:tabs>
          <w:tab w:val="clear" w:pos="426"/>
        </w:tabs>
        <w:spacing w:line="276" w:lineRule="auto"/>
        <w:ind w:firstLine="424" w:firstLineChars="202"/>
        <w:jc w:val="right"/>
        <w:rPr>
          <w:rFonts w:ascii="Times New Roman" w:hAnsi="Times New Roman" w:cs="Times New Roman"/>
        </w:rPr>
      </w:pPr>
      <w:bookmarkStart w:id="20" w:name="_Toc432592814"/>
      <w:bookmarkStart w:id="21" w:name="_Toc169101010"/>
    </w:p>
    <w:p>
      <w:pPr>
        <w:shd w:val="clear" w:color="auto" w:fill="auto"/>
        <w:tabs>
          <w:tab w:val="clear" w:pos="426"/>
        </w:tabs>
        <w:spacing w:line="276" w:lineRule="auto"/>
        <w:ind w:firstLine="424" w:firstLineChars="202"/>
        <w:jc w:val="right"/>
        <w:rPr>
          <w:rFonts w:ascii="Times New Roman" w:hAnsi="Times New Roman" w:cs="Times New Roman"/>
        </w:rPr>
      </w:pPr>
      <w:r>
        <w:rPr>
          <w:rFonts w:hint="eastAsia" w:ascii="Times New Roman" w:hAnsi="Times New Roman" w:cs="Times New Roman"/>
        </w:rPr>
        <w:t>深圳市深水水务咨询有限公司</w:t>
      </w:r>
    </w:p>
    <w:p>
      <w:pPr>
        <w:shd w:val="clear" w:color="auto" w:fill="auto"/>
        <w:tabs>
          <w:tab w:val="clear" w:pos="426"/>
        </w:tabs>
        <w:spacing w:line="276" w:lineRule="auto"/>
        <w:ind w:firstLine="424" w:firstLineChars="202"/>
        <w:jc w:val="right"/>
        <w:rPr>
          <w:rFonts w:ascii="Times New Roman" w:hAnsi="Times New Roman" w:cs="Times New Roman"/>
        </w:rPr>
      </w:pPr>
      <w:r>
        <w:rPr>
          <w:rFonts w:hint="eastAsia" w:ascii="Times New Roman" w:hAnsi="Times New Roman" w:cs="Times New Roman"/>
        </w:rPr>
        <w:t>2024年11月21日</w:t>
      </w:r>
      <w:r>
        <w:rPr>
          <w:rFonts w:hint="eastAsia" w:ascii="Times New Roman" w:hAnsi="Times New Roman" w:cs="Times New Roman"/>
        </w:rPr>
        <w:br w:type="page"/>
      </w:r>
    </w:p>
    <w:p>
      <w:pPr>
        <w:shd w:val="clear" w:color="auto" w:fill="auto"/>
        <w:tabs>
          <w:tab w:val="clear" w:pos="426"/>
        </w:tabs>
        <w:spacing w:line="276" w:lineRule="auto"/>
        <w:ind w:firstLine="568" w:firstLineChars="202"/>
        <w:jc w:val="center"/>
        <w:rPr>
          <w:rFonts w:ascii="Cambria" w:hAnsi="Cambria" w:cs="Times New Roman"/>
          <w:b/>
          <w:bCs/>
          <w:kern w:val="28"/>
          <w:sz w:val="28"/>
          <w:szCs w:val="32"/>
        </w:rPr>
      </w:pPr>
      <w:r>
        <w:rPr>
          <w:rFonts w:hint="eastAsia" w:ascii="Cambria" w:hAnsi="Cambria" w:cs="Times New Roman"/>
          <w:b/>
          <w:bCs/>
          <w:kern w:val="28"/>
          <w:sz w:val="28"/>
          <w:szCs w:val="32"/>
        </w:rPr>
        <w:t xml:space="preserve">第二章 </w:t>
      </w:r>
      <w:bookmarkEnd w:id="20"/>
      <w:r>
        <w:rPr>
          <w:rFonts w:hint="eastAsia" w:ascii="Cambria" w:hAnsi="Cambria" w:cs="Times New Roman"/>
          <w:b/>
          <w:bCs/>
          <w:kern w:val="28"/>
          <w:sz w:val="28"/>
          <w:szCs w:val="32"/>
        </w:rPr>
        <w:t>投标须知前附表</w:t>
      </w:r>
      <w:bookmarkEnd w:id="21"/>
    </w:p>
    <w:p>
      <w:pPr>
        <w:shd w:val="clear" w:color="auto" w:fill="auto"/>
        <w:tabs>
          <w:tab w:val="clear" w:pos="426"/>
        </w:tabs>
        <w:spacing w:line="240" w:lineRule="auto"/>
        <w:ind w:right="-174" w:rightChars="-83" w:firstLine="420"/>
        <w:rPr>
          <w:rFonts w:ascii="Times New Roman" w:hAnsi="Times New Roman" w:cs="Times New Roman"/>
        </w:rPr>
      </w:pPr>
    </w:p>
    <w:p>
      <w:pPr>
        <w:shd w:val="clear" w:color="auto" w:fill="auto"/>
        <w:tabs>
          <w:tab w:val="clear" w:pos="426"/>
        </w:tabs>
        <w:spacing w:line="240" w:lineRule="auto"/>
        <w:ind w:right="-174" w:rightChars="-83" w:firstLine="420"/>
        <w:rPr>
          <w:rFonts w:ascii="Times New Roman" w:hAnsi="Times New Roman" w:cs="Times New Roman"/>
        </w:rPr>
      </w:pPr>
      <w:r>
        <w:rPr>
          <w:rFonts w:ascii="Times New Roman" w:hAnsi="Times New Roman" w:cs="Times New Roman"/>
        </w:rPr>
        <w:t>说明：本表是对通用条款《投标人须知》条款的补充、修改和完善，如果有矛盾，应以本表为准。</w:t>
      </w:r>
    </w:p>
    <w:tbl>
      <w:tblPr>
        <w:tblStyle w:val="44"/>
        <w:tblW w:w="5000"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2"/>
        <w:gridCol w:w="1734"/>
        <w:gridCol w:w="676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79" w:type="pct"/>
            <w:vAlign w:val="center"/>
          </w:tcPr>
          <w:p>
            <w:pPr>
              <w:shd w:val="clear" w:color="auto" w:fill="auto"/>
              <w:tabs>
                <w:tab w:val="clear" w:pos="426"/>
              </w:tabs>
              <w:spacing w:line="240" w:lineRule="exact"/>
              <w:jc w:val="center"/>
              <w:rPr>
                <w:rFonts w:ascii="Times New Roman" w:hAnsi="Times New Roman" w:cs="Times New Roman"/>
              </w:rPr>
            </w:pPr>
            <w:r>
              <w:rPr>
                <w:rFonts w:ascii="Times New Roman" w:hAnsi="Times New Roman" w:cs="Times New Roman"/>
              </w:rPr>
              <w:t>序号</w:t>
            </w:r>
          </w:p>
        </w:tc>
        <w:tc>
          <w:tcPr>
            <w:tcW w:w="963" w:type="pct"/>
            <w:vAlign w:val="center"/>
          </w:tcPr>
          <w:p>
            <w:pPr>
              <w:shd w:val="clear" w:color="auto" w:fill="auto"/>
              <w:tabs>
                <w:tab w:val="clear" w:pos="426"/>
              </w:tabs>
              <w:spacing w:line="240" w:lineRule="exact"/>
              <w:jc w:val="center"/>
              <w:rPr>
                <w:rFonts w:ascii="Times New Roman" w:hAnsi="Times New Roman" w:cs="Times New Roman"/>
              </w:rPr>
            </w:pPr>
            <w:r>
              <w:rPr>
                <w:rFonts w:ascii="Times New Roman" w:hAnsi="Times New Roman" w:cs="Times New Roman"/>
              </w:rPr>
              <w:t>内容</w:t>
            </w:r>
          </w:p>
        </w:tc>
        <w:tc>
          <w:tcPr>
            <w:tcW w:w="3758" w:type="pct"/>
            <w:vAlign w:val="center"/>
          </w:tcPr>
          <w:p>
            <w:pPr>
              <w:shd w:val="clear" w:color="auto" w:fill="auto"/>
              <w:tabs>
                <w:tab w:val="clear" w:pos="426"/>
              </w:tabs>
              <w:spacing w:line="240" w:lineRule="exact"/>
              <w:jc w:val="center"/>
              <w:rPr>
                <w:rFonts w:ascii="Times New Roman" w:hAnsi="Times New Roman" w:cs="Times New Roman"/>
              </w:rPr>
            </w:pPr>
            <w:r>
              <w:rPr>
                <w:rFonts w:ascii="Times New Roman" w:hAnsi="Times New Roman" w:cs="Times New Roman"/>
              </w:rPr>
              <w:t>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79" w:type="pct"/>
            <w:vAlign w:val="center"/>
          </w:tcPr>
          <w:p>
            <w:pPr>
              <w:pStyle w:val="280"/>
              <w:numPr>
                <w:ilvl w:val="0"/>
                <w:numId w:val="28"/>
              </w:numPr>
              <w:adjustRightInd w:val="0"/>
              <w:snapToGrid w:val="0"/>
              <w:spacing w:line="240" w:lineRule="exact"/>
              <w:ind w:firstLineChars="0"/>
              <w:jc w:val="center"/>
              <w:rPr>
                <w:szCs w:val="21"/>
              </w:rPr>
            </w:pPr>
          </w:p>
        </w:tc>
        <w:tc>
          <w:tcPr>
            <w:tcW w:w="963" w:type="pct"/>
            <w:vAlign w:val="center"/>
          </w:tcPr>
          <w:p>
            <w:pPr>
              <w:shd w:val="clear" w:color="auto" w:fill="auto"/>
              <w:tabs>
                <w:tab w:val="clear" w:pos="426"/>
              </w:tabs>
              <w:spacing w:line="240" w:lineRule="exact"/>
              <w:rPr>
                <w:rFonts w:ascii="Times New Roman" w:hAnsi="Times New Roman" w:cs="Times New Roman"/>
              </w:rPr>
            </w:pPr>
            <w:r>
              <w:rPr>
                <w:rFonts w:ascii="Times New Roman" w:hAnsi="Times New Roman" w:cs="Times New Roman"/>
              </w:rPr>
              <w:t>联合体投标</w:t>
            </w:r>
          </w:p>
        </w:tc>
        <w:tc>
          <w:tcPr>
            <w:tcW w:w="3758" w:type="pct"/>
            <w:vAlign w:val="center"/>
          </w:tcPr>
          <w:p>
            <w:pPr>
              <w:pStyle w:val="307"/>
              <w:shd w:val="clear" w:color="auto" w:fill="auto"/>
              <w:rPr>
                <w:rFonts w:ascii="Times New Roman" w:hAnsi="Times New Roman" w:cs="Times New Roman"/>
              </w:rPr>
            </w:pPr>
            <w:r>
              <w:rPr>
                <w:rFonts w:ascii="Times New Roman" w:hAnsi="Times New Roman" w:cs="Times New Roman"/>
              </w:rPr>
              <w:t xml:space="preserve">■不接受（招标文件中相关联合体规定均不适用）   </w:t>
            </w:r>
            <w:r>
              <w:rPr>
                <w:rFonts w:hint="eastAsia"/>
              </w:rPr>
              <w:t>□</w:t>
            </w:r>
            <w:r>
              <w:rPr>
                <w:rFonts w:ascii="Times New Roman" w:hAnsi="Times New Roman" w:cs="Times New Roman"/>
              </w:rPr>
              <w:t>接受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79" w:type="pct"/>
            <w:vAlign w:val="center"/>
          </w:tcPr>
          <w:p>
            <w:pPr>
              <w:pStyle w:val="280"/>
              <w:numPr>
                <w:ilvl w:val="0"/>
                <w:numId w:val="28"/>
              </w:numPr>
              <w:adjustRightInd w:val="0"/>
              <w:snapToGrid w:val="0"/>
              <w:spacing w:line="240" w:lineRule="exact"/>
              <w:ind w:firstLineChars="0"/>
              <w:jc w:val="center"/>
              <w:rPr>
                <w:szCs w:val="21"/>
              </w:rPr>
            </w:pPr>
          </w:p>
        </w:tc>
        <w:tc>
          <w:tcPr>
            <w:tcW w:w="963" w:type="pct"/>
            <w:vAlign w:val="center"/>
          </w:tcPr>
          <w:p>
            <w:pPr>
              <w:shd w:val="clear" w:color="auto" w:fill="auto"/>
              <w:tabs>
                <w:tab w:val="clear" w:pos="426"/>
              </w:tabs>
              <w:spacing w:line="240" w:lineRule="exact"/>
              <w:rPr>
                <w:rFonts w:ascii="Times New Roman" w:hAnsi="Times New Roman" w:cs="Times New Roman"/>
              </w:rPr>
            </w:pPr>
            <w:r>
              <w:rPr>
                <w:rFonts w:ascii="Times New Roman" w:hAnsi="Times New Roman" w:cs="Times New Roman"/>
              </w:rPr>
              <w:t>踏勘现场</w:t>
            </w:r>
          </w:p>
        </w:tc>
        <w:tc>
          <w:tcPr>
            <w:tcW w:w="3758" w:type="pct"/>
            <w:vAlign w:val="center"/>
          </w:tcPr>
          <w:p>
            <w:pPr>
              <w:pStyle w:val="307"/>
              <w:shd w:val="clear" w:color="auto" w:fill="auto"/>
              <w:rPr>
                <w:rFonts w:ascii="Times New Roman" w:hAnsi="Times New Roman" w:cs="Times New Roman"/>
              </w:rPr>
            </w:pPr>
            <w:r>
              <w:rPr>
                <w:rFonts w:hint="eastAsia"/>
              </w:rPr>
              <w:t>□</w:t>
            </w:r>
            <w:r>
              <w:rPr>
                <w:rFonts w:ascii="Times New Roman" w:hAnsi="Times New Roman" w:cs="Times New Roman"/>
              </w:rPr>
              <w:t>不组织。</w:t>
            </w:r>
          </w:p>
          <w:p>
            <w:pPr>
              <w:pStyle w:val="307"/>
              <w:shd w:val="clear" w:color="auto" w:fill="auto"/>
              <w:rPr>
                <w:rFonts w:ascii="Times New Roman" w:hAnsi="Times New Roman" w:cs="Times New Roman"/>
              </w:rPr>
            </w:pPr>
            <w:r>
              <w:rPr>
                <w:rFonts w:ascii="Times New Roman" w:hAnsi="Times New Roman" w:cs="Times New Roman"/>
              </w:rPr>
              <w:t>■组织。</w:t>
            </w:r>
            <w:r>
              <w:rPr>
                <w:rFonts w:hint="eastAsia" w:ascii="Times New Roman" w:hAnsi="Times New Roman" w:cs="Times New Roman"/>
              </w:rPr>
              <w:t>踏勘时间：2024年11月26日14时30分</w:t>
            </w:r>
          </w:p>
          <w:p>
            <w:pPr>
              <w:pStyle w:val="307"/>
              <w:shd w:val="clear" w:color="auto" w:fill="auto"/>
              <w:rPr>
                <w:rFonts w:ascii="Times New Roman" w:hAnsi="Times New Roman" w:cs="Times New Roman"/>
              </w:rPr>
            </w:pPr>
            <w:r>
              <w:rPr>
                <w:rFonts w:hint="eastAsia" w:ascii="Times New Roman" w:hAnsi="Times New Roman" w:cs="Times New Roman"/>
              </w:rPr>
              <w:t xml:space="preserve">       集合地点：深圳市福田区华强北街道红荔路1011号</w:t>
            </w:r>
          </w:p>
          <w:p>
            <w:pPr>
              <w:pStyle w:val="307"/>
              <w:shd w:val="clear" w:color="auto" w:fill="auto"/>
              <w:rPr>
                <w:rFonts w:ascii="Times New Roman" w:hAnsi="Times New Roman" w:cs="Times New Roman"/>
              </w:rPr>
            </w:pPr>
            <w:r>
              <w:rPr>
                <w:rFonts w:hint="eastAsia" w:ascii="Times New Roman" w:hAnsi="Times New Roman" w:cs="Times New Roman"/>
              </w:rPr>
              <w:t xml:space="preserve">       联 系 人：罗老师，联系电话：18926084258</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79" w:type="pct"/>
            <w:vAlign w:val="center"/>
          </w:tcPr>
          <w:p>
            <w:pPr>
              <w:pStyle w:val="280"/>
              <w:numPr>
                <w:ilvl w:val="0"/>
                <w:numId w:val="28"/>
              </w:numPr>
              <w:adjustRightInd w:val="0"/>
              <w:snapToGrid w:val="0"/>
              <w:spacing w:line="240" w:lineRule="exact"/>
              <w:ind w:firstLineChars="0"/>
              <w:jc w:val="center"/>
              <w:rPr>
                <w:szCs w:val="21"/>
              </w:rPr>
            </w:pPr>
          </w:p>
        </w:tc>
        <w:tc>
          <w:tcPr>
            <w:tcW w:w="963" w:type="pct"/>
            <w:vAlign w:val="center"/>
          </w:tcPr>
          <w:p>
            <w:pPr>
              <w:shd w:val="clear" w:color="auto" w:fill="auto"/>
              <w:tabs>
                <w:tab w:val="clear" w:pos="426"/>
              </w:tabs>
              <w:spacing w:line="240" w:lineRule="exact"/>
              <w:rPr>
                <w:rFonts w:ascii="Times New Roman" w:hAnsi="Times New Roman" w:cs="Times New Roman"/>
              </w:rPr>
            </w:pPr>
            <w:r>
              <w:rPr>
                <w:rFonts w:ascii="Times New Roman" w:hAnsi="Times New Roman" w:cs="Times New Roman"/>
              </w:rPr>
              <w:t>投标人质疑的截止时间</w:t>
            </w:r>
          </w:p>
        </w:tc>
        <w:tc>
          <w:tcPr>
            <w:tcW w:w="3758" w:type="pct"/>
            <w:vAlign w:val="center"/>
          </w:tcPr>
          <w:p>
            <w:pPr>
              <w:pStyle w:val="307"/>
              <w:shd w:val="clear" w:color="auto" w:fill="auto"/>
              <w:rPr>
                <w:rFonts w:ascii="Times New Roman" w:hAnsi="Times New Roman" w:cs="Times New Roman"/>
              </w:rPr>
            </w:pPr>
            <w:r>
              <w:rPr>
                <w:rFonts w:ascii="Times New Roman" w:hAnsi="Times New Roman" w:cs="Times New Roman"/>
              </w:rPr>
              <w:t>招标文件发布之日（当日不计）起第7个工作日</w:t>
            </w:r>
            <w:r>
              <w:rPr>
                <w:rFonts w:ascii="Times New Roman" w:hAnsi="Times New Roman" w:cs="Times New Roman"/>
                <w:u w:val="single"/>
              </w:rPr>
              <w:t>17：30</w:t>
            </w:r>
            <w:r>
              <w:rPr>
                <w:rFonts w:ascii="Times New Roman" w:hAnsi="Times New Roman" w:cs="Times New Roman"/>
              </w:rPr>
              <w:t>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79" w:type="pct"/>
            <w:vAlign w:val="center"/>
          </w:tcPr>
          <w:p>
            <w:pPr>
              <w:pStyle w:val="280"/>
              <w:numPr>
                <w:ilvl w:val="0"/>
                <w:numId w:val="28"/>
              </w:numPr>
              <w:adjustRightInd w:val="0"/>
              <w:snapToGrid w:val="0"/>
              <w:spacing w:line="240" w:lineRule="exact"/>
              <w:ind w:firstLineChars="0"/>
              <w:jc w:val="center"/>
              <w:rPr>
                <w:szCs w:val="21"/>
              </w:rPr>
            </w:pPr>
          </w:p>
        </w:tc>
        <w:tc>
          <w:tcPr>
            <w:tcW w:w="963" w:type="pct"/>
            <w:vAlign w:val="center"/>
          </w:tcPr>
          <w:p>
            <w:pPr>
              <w:shd w:val="clear" w:color="auto" w:fill="auto"/>
              <w:tabs>
                <w:tab w:val="clear" w:pos="426"/>
              </w:tabs>
              <w:spacing w:line="240" w:lineRule="exact"/>
              <w:rPr>
                <w:rFonts w:ascii="Times New Roman" w:hAnsi="Times New Roman" w:cs="Times New Roman"/>
              </w:rPr>
            </w:pPr>
            <w:r>
              <w:rPr>
                <w:rFonts w:ascii="Times New Roman" w:hAnsi="Times New Roman" w:cs="Times New Roman"/>
              </w:rPr>
              <w:t>答疑的截止时间</w:t>
            </w:r>
          </w:p>
        </w:tc>
        <w:tc>
          <w:tcPr>
            <w:tcW w:w="3758" w:type="pct"/>
            <w:vAlign w:val="center"/>
          </w:tcPr>
          <w:p>
            <w:pPr>
              <w:pStyle w:val="307"/>
              <w:shd w:val="clear" w:color="auto" w:fill="auto"/>
              <w:rPr>
                <w:rFonts w:ascii="Times New Roman" w:hAnsi="Times New Roman" w:cs="Times New Roman"/>
              </w:rPr>
            </w:pPr>
            <w:r>
              <w:rPr>
                <w:rFonts w:ascii="Times New Roman" w:hAnsi="Times New Roman" w:cs="Times New Roman"/>
              </w:rPr>
              <w:t>质疑文件受理之日（当日不计）起7个工作日内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79" w:type="pct"/>
            <w:vAlign w:val="center"/>
          </w:tcPr>
          <w:p>
            <w:pPr>
              <w:pStyle w:val="280"/>
              <w:numPr>
                <w:ilvl w:val="0"/>
                <w:numId w:val="28"/>
              </w:numPr>
              <w:adjustRightInd w:val="0"/>
              <w:snapToGrid w:val="0"/>
              <w:spacing w:line="240" w:lineRule="exact"/>
              <w:ind w:firstLineChars="0"/>
              <w:jc w:val="center"/>
              <w:rPr>
                <w:szCs w:val="21"/>
              </w:rPr>
            </w:pPr>
          </w:p>
        </w:tc>
        <w:tc>
          <w:tcPr>
            <w:tcW w:w="963" w:type="pct"/>
            <w:vAlign w:val="center"/>
          </w:tcPr>
          <w:p>
            <w:pPr>
              <w:shd w:val="clear" w:color="auto" w:fill="auto"/>
              <w:tabs>
                <w:tab w:val="clear" w:pos="426"/>
              </w:tabs>
              <w:spacing w:line="240" w:lineRule="exact"/>
              <w:rPr>
                <w:rFonts w:ascii="Times New Roman" w:hAnsi="Times New Roman" w:cs="Times New Roman"/>
              </w:rPr>
            </w:pPr>
            <w:r>
              <w:rPr>
                <w:rFonts w:ascii="Times New Roman" w:hAnsi="Times New Roman" w:cs="Times New Roman"/>
              </w:rPr>
              <w:t>招标文件澄清或修补的截止时间</w:t>
            </w:r>
          </w:p>
        </w:tc>
        <w:tc>
          <w:tcPr>
            <w:tcW w:w="3758" w:type="pct"/>
            <w:vAlign w:val="center"/>
          </w:tcPr>
          <w:p>
            <w:pPr>
              <w:pStyle w:val="307"/>
              <w:shd w:val="clear" w:color="auto" w:fill="auto"/>
              <w:rPr>
                <w:rFonts w:ascii="Times New Roman" w:hAnsi="Times New Roman" w:cs="Times New Roman"/>
              </w:rPr>
            </w:pPr>
            <w:r>
              <w:rPr>
                <w:rFonts w:ascii="Times New Roman" w:hAnsi="Times New Roman" w:cs="Times New Roman"/>
              </w:rPr>
              <w:t>截标之日（当日不计）3日前</w:t>
            </w:r>
            <w:r>
              <w:rPr>
                <w:rFonts w:ascii="Times New Roman" w:hAnsi="Times New Roman" w:cs="Times New Roman"/>
                <w:u w:val="single"/>
              </w:rPr>
              <w:t>17：30</w:t>
            </w:r>
            <w:r>
              <w:rPr>
                <w:rFonts w:ascii="Times New Roman" w:hAnsi="Times New Roman" w:cs="Times New Roman"/>
              </w:rPr>
              <w:t>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79" w:type="pct"/>
            <w:vAlign w:val="center"/>
          </w:tcPr>
          <w:p>
            <w:pPr>
              <w:pStyle w:val="280"/>
              <w:numPr>
                <w:ilvl w:val="0"/>
                <w:numId w:val="28"/>
              </w:numPr>
              <w:adjustRightInd w:val="0"/>
              <w:snapToGrid w:val="0"/>
              <w:spacing w:line="240" w:lineRule="exact"/>
              <w:ind w:firstLineChars="0"/>
              <w:jc w:val="center"/>
              <w:rPr>
                <w:szCs w:val="21"/>
              </w:rPr>
            </w:pPr>
          </w:p>
        </w:tc>
        <w:tc>
          <w:tcPr>
            <w:tcW w:w="963" w:type="pct"/>
            <w:vAlign w:val="center"/>
          </w:tcPr>
          <w:p>
            <w:pPr>
              <w:shd w:val="clear" w:color="auto" w:fill="auto"/>
              <w:tabs>
                <w:tab w:val="clear" w:pos="426"/>
              </w:tabs>
              <w:spacing w:line="240" w:lineRule="exact"/>
              <w:rPr>
                <w:rFonts w:ascii="Times New Roman" w:hAnsi="Times New Roman" w:cs="Times New Roman"/>
              </w:rPr>
            </w:pPr>
            <w:r>
              <w:rPr>
                <w:rFonts w:ascii="Times New Roman" w:hAnsi="Times New Roman" w:cs="Times New Roman"/>
              </w:rPr>
              <w:t>招标代理服务费</w:t>
            </w:r>
          </w:p>
        </w:tc>
        <w:tc>
          <w:tcPr>
            <w:tcW w:w="3758" w:type="pct"/>
            <w:vAlign w:val="center"/>
          </w:tcPr>
          <w:p>
            <w:pPr>
              <w:shd w:val="clear" w:color="auto" w:fill="auto"/>
              <w:spacing w:line="276" w:lineRule="auto"/>
              <w:jc w:val="left"/>
            </w:pPr>
            <w:r>
              <w:rPr>
                <w:rFonts w:ascii="Times New Roman" w:hAnsi="Times New Roman" w:cs="Times New Roman"/>
              </w:rPr>
              <w:t>（1）计算基数：中标金额。计算方法：采购代理机构以招标文件规定的计算基数，依据《深圳市财政局关于规范深圳市社会采购代理机构管理有关事项的补充通知》（深财购〔2018〕27号）规定的招标代理服务费收费办法，按差额定率累进法计算。</w:t>
            </w:r>
            <w:r>
              <w:rPr>
                <w:rFonts w:hint="eastAsia"/>
              </w:rPr>
              <w:t>低于</w:t>
            </w:r>
            <w:r>
              <w:t>5</w:t>
            </w:r>
            <w:r>
              <w:rPr>
                <w:rFonts w:hint="eastAsia"/>
              </w:rPr>
              <w:t>000元的，按照</w:t>
            </w:r>
            <w:r>
              <w:t>5</w:t>
            </w:r>
            <w:r>
              <w:rPr>
                <w:rFonts w:hint="eastAsia"/>
              </w:rPr>
              <w:t>000元计取。</w:t>
            </w:r>
          </w:p>
          <w:p>
            <w:pPr>
              <w:shd w:val="clear" w:color="auto" w:fill="auto"/>
              <w:tabs>
                <w:tab w:val="clear" w:pos="426"/>
              </w:tabs>
              <w:spacing w:line="240" w:lineRule="exact"/>
              <w:rPr>
                <w:rFonts w:ascii="Times New Roman" w:hAnsi="Times New Roman" w:cs="Times New Roman"/>
              </w:rPr>
            </w:pPr>
            <w:r>
              <w:rPr>
                <w:rFonts w:ascii="Times New Roman" w:hAnsi="Times New Roman" w:cs="Times New Roman"/>
              </w:rPr>
              <w:t>（2）支付人：■中标人。</w:t>
            </w:r>
          </w:p>
          <w:p>
            <w:pPr>
              <w:shd w:val="clear" w:color="auto" w:fill="auto"/>
              <w:tabs>
                <w:tab w:val="clear" w:pos="426"/>
              </w:tabs>
              <w:spacing w:line="240" w:lineRule="exact"/>
              <w:rPr>
                <w:rFonts w:ascii="Times New Roman" w:hAnsi="Times New Roman" w:cs="Times New Roman"/>
              </w:rPr>
            </w:pPr>
            <w:r>
              <w:rPr>
                <w:rFonts w:ascii="Times New Roman" w:hAnsi="Times New Roman" w:cs="Times New Roman"/>
              </w:rPr>
              <w:t>（3）支付方式：银行转账。</w:t>
            </w:r>
          </w:p>
          <w:p>
            <w:pPr>
              <w:shd w:val="clear" w:color="auto" w:fill="auto"/>
              <w:tabs>
                <w:tab w:val="clear" w:pos="426"/>
              </w:tabs>
              <w:spacing w:line="240" w:lineRule="exact"/>
              <w:rPr>
                <w:rFonts w:ascii="Times New Roman" w:hAnsi="Times New Roman" w:cs="Times New Roman"/>
              </w:rPr>
            </w:pPr>
            <w:r>
              <w:rPr>
                <w:rFonts w:ascii="Times New Roman" w:hAnsi="Times New Roman" w:cs="Times New Roman"/>
              </w:rPr>
              <w:t>（4）收款账户信息如下：</w:t>
            </w:r>
          </w:p>
          <w:p>
            <w:pPr>
              <w:shd w:val="clear" w:color="auto" w:fill="auto"/>
              <w:tabs>
                <w:tab w:val="clear" w:pos="426"/>
              </w:tabs>
              <w:spacing w:line="240" w:lineRule="exact"/>
              <w:rPr>
                <w:rFonts w:ascii="Times New Roman" w:hAnsi="Times New Roman" w:cs="Times New Roman"/>
              </w:rPr>
            </w:pPr>
            <w:r>
              <w:rPr>
                <w:rFonts w:ascii="Times New Roman" w:hAnsi="Times New Roman" w:cs="Times New Roman"/>
              </w:rPr>
              <w:t>户名：深圳市深水水务咨询有限公司</w:t>
            </w:r>
          </w:p>
          <w:p>
            <w:pPr>
              <w:shd w:val="clear" w:color="auto" w:fill="auto"/>
              <w:tabs>
                <w:tab w:val="clear" w:pos="426"/>
              </w:tabs>
              <w:spacing w:line="240" w:lineRule="exact"/>
              <w:rPr>
                <w:rFonts w:ascii="Times New Roman" w:hAnsi="Times New Roman" w:cs="Times New Roman"/>
              </w:rPr>
            </w:pPr>
            <w:r>
              <w:rPr>
                <w:rFonts w:ascii="Times New Roman" w:hAnsi="Times New Roman" w:cs="Times New Roman"/>
              </w:rPr>
              <w:t>账号：443899991010003343618</w:t>
            </w:r>
          </w:p>
          <w:p>
            <w:pPr>
              <w:shd w:val="clear" w:color="auto" w:fill="auto"/>
              <w:tabs>
                <w:tab w:val="clear" w:pos="426"/>
              </w:tabs>
              <w:spacing w:line="240" w:lineRule="exact"/>
              <w:rPr>
                <w:rFonts w:ascii="Times New Roman" w:hAnsi="Times New Roman" w:cs="Times New Roman"/>
              </w:rPr>
            </w:pPr>
            <w:r>
              <w:rPr>
                <w:rFonts w:ascii="Times New Roman" w:hAnsi="Times New Roman" w:cs="Times New Roman"/>
              </w:rPr>
              <w:t>开户行：交通银行深圳金叶支行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79" w:type="pct"/>
            <w:vAlign w:val="center"/>
          </w:tcPr>
          <w:p>
            <w:pPr>
              <w:pStyle w:val="280"/>
              <w:numPr>
                <w:ilvl w:val="0"/>
                <w:numId w:val="28"/>
              </w:numPr>
              <w:adjustRightInd w:val="0"/>
              <w:snapToGrid w:val="0"/>
              <w:spacing w:line="240" w:lineRule="exact"/>
              <w:ind w:firstLineChars="0"/>
              <w:jc w:val="center"/>
              <w:rPr>
                <w:szCs w:val="21"/>
              </w:rPr>
            </w:pPr>
          </w:p>
        </w:tc>
        <w:tc>
          <w:tcPr>
            <w:tcW w:w="963" w:type="pct"/>
            <w:vAlign w:val="center"/>
          </w:tcPr>
          <w:p>
            <w:pPr>
              <w:shd w:val="clear" w:color="auto" w:fill="auto"/>
              <w:tabs>
                <w:tab w:val="clear" w:pos="426"/>
              </w:tabs>
              <w:spacing w:line="240" w:lineRule="exact"/>
              <w:rPr>
                <w:rFonts w:ascii="Times New Roman" w:hAnsi="Times New Roman" w:cs="Times New Roman"/>
              </w:rPr>
            </w:pPr>
            <w:r>
              <w:rPr>
                <w:rFonts w:ascii="Times New Roman" w:hAnsi="Times New Roman" w:cs="Times New Roman"/>
              </w:rPr>
              <w:t>投标担保</w:t>
            </w:r>
          </w:p>
        </w:tc>
        <w:tc>
          <w:tcPr>
            <w:tcW w:w="3758" w:type="pct"/>
            <w:vAlign w:val="center"/>
          </w:tcPr>
          <w:p>
            <w:pPr>
              <w:shd w:val="clear" w:color="auto" w:fill="auto"/>
              <w:tabs>
                <w:tab w:val="clear" w:pos="426"/>
              </w:tabs>
              <w:spacing w:line="240" w:lineRule="exact"/>
              <w:jc w:val="left"/>
              <w:rPr>
                <w:rFonts w:ascii="Times New Roman" w:hAnsi="Times New Roman" w:cs="Times New Roman"/>
                <w:szCs w:val="21"/>
              </w:rPr>
            </w:pPr>
            <w:r>
              <w:rPr>
                <w:rFonts w:ascii="Times New Roman" w:hAnsi="Times New Roman" w:cs="Times New Roman"/>
                <w:szCs w:val="21"/>
              </w:rPr>
              <w:t>■不提交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79" w:type="pct"/>
            <w:vAlign w:val="center"/>
          </w:tcPr>
          <w:p>
            <w:pPr>
              <w:pStyle w:val="280"/>
              <w:numPr>
                <w:ilvl w:val="0"/>
                <w:numId w:val="28"/>
              </w:numPr>
              <w:adjustRightInd w:val="0"/>
              <w:snapToGrid w:val="0"/>
              <w:spacing w:line="240" w:lineRule="exact"/>
              <w:ind w:firstLineChars="0"/>
              <w:jc w:val="center"/>
              <w:rPr>
                <w:szCs w:val="21"/>
              </w:rPr>
            </w:pPr>
          </w:p>
        </w:tc>
        <w:tc>
          <w:tcPr>
            <w:tcW w:w="963" w:type="pct"/>
            <w:vAlign w:val="center"/>
          </w:tcPr>
          <w:p>
            <w:pPr>
              <w:shd w:val="clear" w:color="auto" w:fill="auto"/>
              <w:tabs>
                <w:tab w:val="clear" w:pos="426"/>
              </w:tabs>
              <w:spacing w:line="240" w:lineRule="exact"/>
              <w:rPr>
                <w:rFonts w:ascii="Times New Roman" w:hAnsi="Times New Roman" w:cs="Times New Roman"/>
              </w:rPr>
            </w:pPr>
            <w:r>
              <w:rPr>
                <w:rFonts w:ascii="Times New Roman" w:hAnsi="Times New Roman" w:cs="Times New Roman"/>
              </w:rPr>
              <w:t>投标有效期</w:t>
            </w:r>
          </w:p>
        </w:tc>
        <w:tc>
          <w:tcPr>
            <w:tcW w:w="3758" w:type="pct"/>
            <w:vAlign w:val="center"/>
          </w:tcPr>
          <w:p>
            <w:pPr>
              <w:pStyle w:val="307"/>
              <w:shd w:val="clear" w:color="auto" w:fill="auto"/>
              <w:rPr>
                <w:rFonts w:ascii="Times New Roman" w:hAnsi="Times New Roman" w:cs="Times New Roman"/>
              </w:rPr>
            </w:pPr>
            <w:r>
              <w:rPr>
                <w:rFonts w:ascii="Times New Roman" w:hAnsi="Times New Roman" w:cs="Times New Roman"/>
              </w:rPr>
              <w:t>120日历天（从投标截止之日算起）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79" w:type="pct"/>
            <w:vAlign w:val="center"/>
          </w:tcPr>
          <w:p>
            <w:pPr>
              <w:pStyle w:val="280"/>
              <w:numPr>
                <w:ilvl w:val="0"/>
                <w:numId w:val="28"/>
              </w:numPr>
              <w:adjustRightInd w:val="0"/>
              <w:snapToGrid w:val="0"/>
              <w:spacing w:line="240" w:lineRule="exact"/>
              <w:ind w:firstLineChars="0"/>
              <w:jc w:val="center"/>
              <w:rPr>
                <w:szCs w:val="21"/>
              </w:rPr>
            </w:pPr>
          </w:p>
        </w:tc>
        <w:tc>
          <w:tcPr>
            <w:tcW w:w="963" w:type="pct"/>
            <w:vAlign w:val="center"/>
          </w:tcPr>
          <w:p>
            <w:pPr>
              <w:shd w:val="clear" w:color="auto" w:fill="auto"/>
              <w:tabs>
                <w:tab w:val="clear" w:pos="426"/>
              </w:tabs>
              <w:spacing w:line="240" w:lineRule="exact"/>
              <w:rPr>
                <w:rFonts w:ascii="Times New Roman" w:hAnsi="Times New Roman" w:cs="Times New Roman"/>
              </w:rPr>
            </w:pPr>
            <w:r>
              <w:rPr>
                <w:rFonts w:ascii="Times New Roman" w:hAnsi="Times New Roman" w:cs="Times New Roman"/>
              </w:rPr>
              <w:t>替代方案</w:t>
            </w:r>
          </w:p>
        </w:tc>
        <w:tc>
          <w:tcPr>
            <w:tcW w:w="3758" w:type="pct"/>
            <w:vAlign w:val="center"/>
          </w:tcPr>
          <w:p>
            <w:pPr>
              <w:pStyle w:val="307"/>
              <w:shd w:val="clear" w:color="auto" w:fill="auto"/>
              <w:rPr>
                <w:rFonts w:ascii="Times New Roman" w:hAnsi="Times New Roman" w:cs="Times New Roman"/>
              </w:rPr>
            </w:pPr>
            <w:r>
              <w:rPr>
                <w:rFonts w:ascii="Times New Roman" w:hAnsi="Times New Roman" w:cs="Times New Roman"/>
              </w:rPr>
              <w:t xml:space="preserve">■不允许         </w:t>
            </w:r>
            <w:r>
              <w:rPr>
                <w:rFonts w:hint="eastAsia"/>
              </w:rPr>
              <w:t>□</w:t>
            </w:r>
            <w:r>
              <w:rPr>
                <w:rFonts w:ascii="Times New Roman" w:hAnsi="Times New Roman" w:cs="Times New Roman"/>
              </w:rPr>
              <w:t>允许</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79" w:type="pct"/>
            <w:vAlign w:val="center"/>
          </w:tcPr>
          <w:p>
            <w:pPr>
              <w:pStyle w:val="280"/>
              <w:numPr>
                <w:ilvl w:val="0"/>
                <w:numId w:val="28"/>
              </w:numPr>
              <w:adjustRightInd w:val="0"/>
              <w:snapToGrid w:val="0"/>
              <w:spacing w:line="240" w:lineRule="exact"/>
              <w:ind w:firstLineChars="0"/>
              <w:jc w:val="center"/>
              <w:rPr>
                <w:szCs w:val="21"/>
              </w:rPr>
            </w:pPr>
          </w:p>
        </w:tc>
        <w:tc>
          <w:tcPr>
            <w:tcW w:w="963" w:type="pct"/>
            <w:vAlign w:val="center"/>
          </w:tcPr>
          <w:p>
            <w:pPr>
              <w:shd w:val="clear" w:color="auto" w:fill="auto"/>
              <w:tabs>
                <w:tab w:val="clear" w:pos="426"/>
              </w:tabs>
              <w:spacing w:line="240" w:lineRule="exact"/>
              <w:rPr>
                <w:rFonts w:ascii="Times New Roman" w:hAnsi="Times New Roman" w:cs="Times New Roman"/>
              </w:rPr>
            </w:pPr>
            <w:r>
              <w:rPr>
                <w:rFonts w:ascii="Times New Roman" w:hAnsi="Times New Roman" w:cs="Times New Roman"/>
              </w:rPr>
              <w:t>评定分离</w:t>
            </w:r>
          </w:p>
        </w:tc>
        <w:tc>
          <w:tcPr>
            <w:tcW w:w="3758" w:type="pct"/>
            <w:vAlign w:val="center"/>
          </w:tcPr>
          <w:p>
            <w:pPr>
              <w:pStyle w:val="307"/>
              <w:shd w:val="clear" w:color="auto" w:fill="auto"/>
              <w:rPr>
                <w:rFonts w:ascii="Times New Roman" w:hAnsi="Times New Roman" w:cs="Times New Roman"/>
              </w:rPr>
            </w:pPr>
            <w:r>
              <w:rPr>
                <w:rFonts w:hint="eastAsia"/>
              </w:rPr>
              <w:t>□</w:t>
            </w:r>
            <w:r>
              <w:rPr>
                <w:rFonts w:ascii="Times New Roman" w:hAnsi="Times New Roman" w:cs="Times New Roman"/>
              </w:rPr>
              <w:t>是             ■否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79" w:type="pct"/>
            <w:vAlign w:val="center"/>
          </w:tcPr>
          <w:p>
            <w:pPr>
              <w:pStyle w:val="280"/>
              <w:numPr>
                <w:ilvl w:val="0"/>
                <w:numId w:val="28"/>
              </w:numPr>
              <w:adjustRightInd w:val="0"/>
              <w:snapToGrid w:val="0"/>
              <w:spacing w:line="240" w:lineRule="exact"/>
              <w:ind w:firstLineChars="0"/>
              <w:jc w:val="center"/>
              <w:rPr>
                <w:szCs w:val="21"/>
              </w:rPr>
            </w:pPr>
          </w:p>
        </w:tc>
        <w:tc>
          <w:tcPr>
            <w:tcW w:w="963" w:type="pct"/>
            <w:vAlign w:val="center"/>
          </w:tcPr>
          <w:p>
            <w:pPr>
              <w:shd w:val="clear" w:color="auto" w:fill="auto"/>
              <w:tabs>
                <w:tab w:val="clear" w:pos="426"/>
              </w:tabs>
              <w:spacing w:line="240" w:lineRule="exact"/>
              <w:rPr>
                <w:rFonts w:ascii="Times New Roman" w:hAnsi="Times New Roman" w:cs="Times New Roman"/>
              </w:rPr>
            </w:pPr>
            <w:r>
              <w:rPr>
                <w:rFonts w:ascii="Times New Roman" w:hAnsi="Times New Roman" w:cs="Times New Roman"/>
              </w:rPr>
              <w:t>评标方法</w:t>
            </w:r>
          </w:p>
        </w:tc>
        <w:tc>
          <w:tcPr>
            <w:tcW w:w="3758" w:type="pct"/>
            <w:vAlign w:val="center"/>
          </w:tcPr>
          <w:p>
            <w:pPr>
              <w:pStyle w:val="307"/>
              <w:shd w:val="clear" w:color="auto" w:fill="auto"/>
              <w:rPr>
                <w:rFonts w:ascii="Times New Roman" w:hAnsi="Times New Roman" w:cs="Times New Roman"/>
                <w:color w:val="000000"/>
              </w:rPr>
            </w:pPr>
            <w:r>
              <w:rPr>
                <w:rFonts w:ascii="Times New Roman" w:hAnsi="Times New Roman" w:cs="Times New Roman"/>
              </w:rPr>
              <w:t>■</w:t>
            </w:r>
            <w:r>
              <w:rPr>
                <w:rFonts w:ascii="Times New Roman" w:hAnsi="Times New Roman" w:cs="Times New Roman"/>
                <w:color w:val="000000"/>
              </w:rPr>
              <w:t xml:space="preserve">综合评分法     </w:t>
            </w:r>
            <w:r>
              <w:rPr>
                <w:rFonts w:hint="eastAsia"/>
              </w:rPr>
              <w:t>□</w:t>
            </w:r>
            <w:r>
              <w:rPr>
                <w:rFonts w:ascii="Times New Roman" w:hAnsi="Times New Roman" w:cs="Times New Roman"/>
                <w:color w:val="000000"/>
              </w:rPr>
              <w:t>最低评标价法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79" w:type="pct"/>
            <w:vAlign w:val="center"/>
          </w:tcPr>
          <w:p>
            <w:pPr>
              <w:pStyle w:val="280"/>
              <w:numPr>
                <w:ilvl w:val="0"/>
                <w:numId w:val="28"/>
              </w:numPr>
              <w:adjustRightInd w:val="0"/>
              <w:snapToGrid w:val="0"/>
              <w:spacing w:line="240" w:lineRule="exact"/>
              <w:ind w:firstLineChars="0"/>
              <w:jc w:val="center"/>
              <w:rPr>
                <w:szCs w:val="21"/>
              </w:rPr>
            </w:pPr>
          </w:p>
        </w:tc>
        <w:tc>
          <w:tcPr>
            <w:tcW w:w="963" w:type="pct"/>
            <w:vAlign w:val="center"/>
          </w:tcPr>
          <w:p>
            <w:pPr>
              <w:shd w:val="clear" w:color="auto" w:fill="auto"/>
              <w:tabs>
                <w:tab w:val="clear" w:pos="426"/>
              </w:tabs>
              <w:spacing w:line="240" w:lineRule="exact"/>
              <w:rPr>
                <w:rFonts w:ascii="Times New Roman" w:hAnsi="Times New Roman" w:cs="Times New Roman"/>
              </w:rPr>
            </w:pPr>
            <w:r>
              <w:rPr>
                <w:rFonts w:ascii="Times New Roman" w:hAnsi="Times New Roman" w:cs="Times New Roman"/>
              </w:rPr>
              <w:t>定标方法</w:t>
            </w:r>
          </w:p>
        </w:tc>
        <w:tc>
          <w:tcPr>
            <w:tcW w:w="3758" w:type="pct"/>
            <w:vAlign w:val="center"/>
          </w:tcPr>
          <w:p>
            <w:pPr>
              <w:pStyle w:val="307"/>
              <w:shd w:val="clear" w:color="auto" w:fill="auto"/>
              <w:rPr>
                <w:rFonts w:ascii="Times New Roman" w:hAnsi="Times New Roman" w:cs="Times New Roman"/>
                <w:color w:val="000000"/>
              </w:rPr>
            </w:pPr>
            <w:r>
              <w:rPr>
                <w:rFonts w:hint="eastAsia"/>
              </w:rPr>
              <w:t>□</w:t>
            </w:r>
            <w:r>
              <w:rPr>
                <w:rFonts w:ascii="Times New Roman" w:hAnsi="Times New Roman" w:cs="Times New Roman"/>
                <w:color w:val="000000"/>
              </w:rPr>
              <w:t xml:space="preserve">自定法         </w:t>
            </w:r>
            <w:r>
              <w:rPr>
                <w:rFonts w:ascii="Times New Roman" w:hAnsi="Times New Roman" w:cs="Times New Roman"/>
              </w:rPr>
              <w:t>■无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79" w:type="pct"/>
            <w:vAlign w:val="center"/>
          </w:tcPr>
          <w:p>
            <w:pPr>
              <w:pStyle w:val="280"/>
              <w:numPr>
                <w:ilvl w:val="0"/>
                <w:numId w:val="28"/>
              </w:numPr>
              <w:adjustRightInd w:val="0"/>
              <w:snapToGrid w:val="0"/>
              <w:spacing w:line="240" w:lineRule="exact"/>
              <w:ind w:firstLineChars="0"/>
              <w:jc w:val="center"/>
              <w:rPr>
                <w:szCs w:val="21"/>
              </w:rPr>
            </w:pPr>
          </w:p>
        </w:tc>
        <w:tc>
          <w:tcPr>
            <w:tcW w:w="963" w:type="pct"/>
            <w:vAlign w:val="center"/>
          </w:tcPr>
          <w:p>
            <w:pPr>
              <w:shd w:val="clear" w:color="auto" w:fill="auto"/>
              <w:tabs>
                <w:tab w:val="clear" w:pos="426"/>
              </w:tabs>
              <w:spacing w:line="240" w:lineRule="exact"/>
              <w:rPr>
                <w:rFonts w:ascii="Times New Roman" w:hAnsi="Times New Roman" w:cs="Times New Roman"/>
              </w:rPr>
            </w:pPr>
            <w:r>
              <w:rPr>
                <w:rFonts w:ascii="Times New Roman" w:hAnsi="Times New Roman" w:cs="Times New Roman"/>
              </w:rPr>
              <w:t>履约保证金</w:t>
            </w:r>
          </w:p>
        </w:tc>
        <w:tc>
          <w:tcPr>
            <w:tcW w:w="3758" w:type="pct"/>
            <w:vAlign w:val="center"/>
          </w:tcPr>
          <w:p>
            <w:pPr>
              <w:shd w:val="clear" w:color="auto" w:fill="auto"/>
              <w:tabs>
                <w:tab w:val="clear" w:pos="426"/>
              </w:tabs>
              <w:spacing w:line="240" w:lineRule="exact"/>
              <w:rPr>
                <w:rFonts w:ascii="Times New Roman" w:hAnsi="Times New Roman" w:cs="Times New Roman"/>
              </w:rPr>
            </w:pPr>
            <w:r>
              <w:rPr>
                <w:rFonts w:ascii="Times New Roman" w:hAnsi="Times New Roman" w:cs="Times New Roman"/>
                <w:szCs w:val="21"/>
              </w:rPr>
              <w:t>■提交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279" w:type="pct"/>
            <w:vAlign w:val="center"/>
          </w:tcPr>
          <w:p>
            <w:pPr>
              <w:pStyle w:val="280"/>
              <w:numPr>
                <w:ilvl w:val="0"/>
                <w:numId w:val="28"/>
              </w:numPr>
              <w:adjustRightInd w:val="0"/>
              <w:snapToGrid w:val="0"/>
              <w:spacing w:line="240" w:lineRule="exact"/>
              <w:ind w:firstLineChars="0"/>
              <w:jc w:val="center"/>
              <w:rPr>
                <w:szCs w:val="21"/>
              </w:rPr>
            </w:pPr>
          </w:p>
        </w:tc>
        <w:tc>
          <w:tcPr>
            <w:tcW w:w="963" w:type="pct"/>
            <w:vAlign w:val="center"/>
          </w:tcPr>
          <w:p>
            <w:pPr>
              <w:shd w:val="clear" w:color="auto" w:fill="auto"/>
              <w:tabs>
                <w:tab w:val="clear" w:pos="426"/>
              </w:tabs>
              <w:spacing w:line="240" w:lineRule="exact"/>
              <w:rPr>
                <w:rFonts w:ascii="Times New Roman" w:hAnsi="Times New Roman" w:cs="Times New Roman"/>
              </w:rPr>
            </w:pPr>
            <w:r>
              <w:rPr>
                <w:rFonts w:ascii="Times New Roman" w:hAnsi="Times New Roman" w:cs="Times New Roman"/>
              </w:rPr>
              <w:t>投标文件份数</w:t>
            </w:r>
          </w:p>
        </w:tc>
        <w:tc>
          <w:tcPr>
            <w:tcW w:w="3758" w:type="pct"/>
            <w:vAlign w:val="center"/>
          </w:tcPr>
          <w:p>
            <w:pPr>
              <w:pStyle w:val="307"/>
              <w:shd w:val="clear" w:color="auto" w:fill="auto"/>
              <w:rPr>
                <w:rFonts w:ascii="Times New Roman" w:hAnsi="Times New Roman" w:cs="Times New Roman"/>
              </w:rPr>
            </w:pPr>
            <w:r>
              <w:rPr>
                <w:rFonts w:ascii="Times New Roman" w:hAnsi="Times New Roman" w:cs="Times New Roman"/>
              </w:rPr>
              <w:t>（1）开标信封一份；</w:t>
            </w:r>
          </w:p>
          <w:p>
            <w:pPr>
              <w:pStyle w:val="307"/>
              <w:shd w:val="clear" w:color="auto" w:fill="auto"/>
              <w:rPr>
                <w:rFonts w:ascii="Times New Roman" w:hAnsi="Times New Roman" w:cs="Times New Roman"/>
              </w:rPr>
            </w:pPr>
            <w:r>
              <w:rPr>
                <w:rFonts w:ascii="Times New Roman" w:hAnsi="Times New Roman" w:cs="Times New Roman"/>
              </w:rPr>
              <w:t>（2）纸质投标文件</w:t>
            </w:r>
            <w:r>
              <w:rPr>
                <w:rFonts w:ascii="Times New Roman" w:hAnsi="Times New Roman" w:cs="Times New Roman"/>
                <w:u w:val="single"/>
              </w:rPr>
              <w:t>一</w:t>
            </w:r>
            <w:r>
              <w:rPr>
                <w:rFonts w:ascii="Times New Roman" w:hAnsi="Times New Roman" w:cs="Times New Roman"/>
              </w:rPr>
              <w:t>正本，</w:t>
            </w:r>
            <w:r>
              <w:rPr>
                <w:rFonts w:ascii="Times New Roman" w:hAnsi="Times New Roman" w:cs="Times New Roman"/>
                <w:u w:val="single"/>
              </w:rPr>
              <w:t>四</w:t>
            </w:r>
            <w:r>
              <w:rPr>
                <w:rFonts w:ascii="Times New Roman" w:hAnsi="Times New Roman" w:cs="Times New Roman"/>
              </w:rPr>
              <w:t>副本，副本可用正本复印件，建议胶装，统一密封在一个外密封包里。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79" w:type="pct"/>
            <w:vAlign w:val="center"/>
          </w:tcPr>
          <w:p>
            <w:pPr>
              <w:pStyle w:val="280"/>
              <w:numPr>
                <w:ilvl w:val="0"/>
                <w:numId w:val="28"/>
              </w:numPr>
              <w:adjustRightInd w:val="0"/>
              <w:snapToGrid w:val="0"/>
              <w:spacing w:line="240" w:lineRule="exact"/>
              <w:ind w:firstLineChars="0"/>
              <w:jc w:val="center"/>
              <w:rPr>
                <w:szCs w:val="21"/>
              </w:rPr>
            </w:pPr>
          </w:p>
        </w:tc>
        <w:tc>
          <w:tcPr>
            <w:tcW w:w="963" w:type="pct"/>
            <w:vAlign w:val="center"/>
          </w:tcPr>
          <w:p>
            <w:pPr>
              <w:shd w:val="clear" w:color="auto" w:fill="auto"/>
              <w:tabs>
                <w:tab w:val="clear" w:pos="426"/>
              </w:tabs>
              <w:spacing w:line="240" w:lineRule="exact"/>
              <w:rPr>
                <w:rFonts w:ascii="Times New Roman" w:hAnsi="Times New Roman" w:cs="Times New Roman"/>
              </w:rPr>
            </w:pPr>
            <w:r>
              <w:rPr>
                <w:rFonts w:ascii="Times New Roman" w:hAnsi="Times New Roman" w:cs="Times New Roman"/>
              </w:rPr>
              <w:t>投标文件电子版</w:t>
            </w:r>
          </w:p>
        </w:tc>
        <w:tc>
          <w:tcPr>
            <w:tcW w:w="3758" w:type="pct"/>
            <w:vAlign w:val="center"/>
          </w:tcPr>
          <w:p>
            <w:pPr>
              <w:pStyle w:val="307"/>
              <w:shd w:val="clear" w:color="auto" w:fill="auto"/>
              <w:rPr>
                <w:rFonts w:ascii="Times New Roman" w:hAnsi="Times New Roman" w:cs="Times New Roman"/>
              </w:rPr>
            </w:pPr>
            <w:r>
              <w:rPr>
                <w:rFonts w:ascii="Times New Roman" w:hAnsi="Times New Roman" w:cs="Times New Roman"/>
              </w:rPr>
              <w:t>光盘/U盘（投标文件正本盖章后的彩色扫描件，PDF格式）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79" w:type="pct"/>
            <w:vAlign w:val="center"/>
          </w:tcPr>
          <w:p>
            <w:pPr>
              <w:pStyle w:val="280"/>
              <w:numPr>
                <w:ilvl w:val="0"/>
                <w:numId w:val="28"/>
              </w:numPr>
              <w:adjustRightInd w:val="0"/>
              <w:snapToGrid w:val="0"/>
              <w:spacing w:line="240" w:lineRule="exact"/>
              <w:ind w:firstLineChars="0"/>
              <w:jc w:val="center"/>
              <w:rPr>
                <w:szCs w:val="21"/>
              </w:rPr>
            </w:pPr>
          </w:p>
        </w:tc>
        <w:tc>
          <w:tcPr>
            <w:tcW w:w="963" w:type="pct"/>
            <w:vAlign w:val="center"/>
          </w:tcPr>
          <w:p>
            <w:pPr>
              <w:shd w:val="clear" w:color="auto" w:fill="auto"/>
              <w:tabs>
                <w:tab w:val="clear" w:pos="426"/>
              </w:tabs>
              <w:spacing w:line="240" w:lineRule="exact"/>
              <w:rPr>
                <w:rFonts w:ascii="Times New Roman" w:hAnsi="Times New Roman" w:cs="Times New Roman"/>
              </w:rPr>
            </w:pPr>
            <w:r>
              <w:rPr>
                <w:rFonts w:ascii="Times New Roman" w:hAnsi="Times New Roman" w:cs="Times New Roman"/>
              </w:rPr>
              <w:t>预算金额</w:t>
            </w:r>
          </w:p>
        </w:tc>
        <w:tc>
          <w:tcPr>
            <w:tcW w:w="3758" w:type="pct"/>
            <w:vAlign w:val="center"/>
          </w:tcPr>
          <w:p>
            <w:pPr>
              <w:pStyle w:val="307"/>
              <w:shd w:val="clear" w:color="auto" w:fill="auto"/>
              <w:rPr>
                <w:rFonts w:ascii="Times New Roman" w:hAnsi="Times New Roman" w:cs="Times New Roman"/>
                <w:color w:val="FF0000"/>
              </w:rPr>
            </w:pPr>
            <w:r>
              <w:rPr>
                <w:rFonts w:ascii="Times New Roman" w:hAnsi="Times New Roman" w:cs="Times New Roman"/>
                <w:b/>
              </w:rPr>
              <w:t>金额：</w:t>
            </w:r>
            <w:r>
              <w:rPr>
                <w:rFonts w:ascii="Times New Roman" w:hAnsi="Times New Roman" w:cs="Times New Roman"/>
                <w:b/>
                <w:u w:val="single"/>
              </w:rPr>
              <w:t>人民币</w:t>
            </w:r>
            <w:r>
              <w:rPr>
                <w:rFonts w:hint="eastAsia" w:ascii="Times New Roman" w:hAnsi="Times New Roman" w:cs="Times New Roman"/>
                <w:b/>
                <w:u w:val="single"/>
              </w:rPr>
              <w:t xml:space="preserve"> 玖拾万元整</w:t>
            </w:r>
            <w:r>
              <w:rPr>
                <w:rFonts w:ascii="Times New Roman" w:hAnsi="Times New Roman" w:cs="Times New Roman"/>
                <w:b/>
                <w:u w:val="single"/>
              </w:rPr>
              <w:t>（</w:t>
            </w:r>
            <w:r>
              <w:rPr>
                <w:rFonts w:ascii="Times New Roman" w:hAnsi="Times New Roman" w:eastAsia="微软雅黑" w:cs="Times New Roman"/>
                <w:b/>
                <w:u w:val="single"/>
              </w:rPr>
              <w:t>¥</w:t>
            </w:r>
            <w:r>
              <w:rPr>
                <w:rFonts w:hint="eastAsia" w:ascii="Times New Roman" w:hAnsi="Times New Roman" w:eastAsia="微软雅黑" w:cs="Times New Roman"/>
                <w:b/>
                <w:u w:val="single"/>
              </w:rPr>
              <w:t xml:space="preserve">900000.00 </w:t>
            </w:r>
            <w:r>
              <w:rPr>
                <w:rFonts w:ascii="Times New Roman" w:hAnsi="Times New Roman" w:cs="Times New Roman"/>
                <w:b/>
                <w:u w:val="single"/>
              </w:rPr>
              <w:t>元），</w:t>
            </w:r>
            <w:r>
              <w:rPr>
                <w:rFonts w:ascii="Times New Roman" w:hAnsi="Times New Roman" w:cs="Times New Roman"/>
              </w:rPr>
              <w:t>超出预算金额的投标文件将导致投标无效。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79" w:type="pct"/>
            <w:vAlign w:val="center"/>
          </w:tcPr>
          <w:p>
            <w:pPr>
              <w:pStyle w:val="280"/>
              <w:numPr>
                <w:ilvl w:val="0"/>
                <w:numId w:val="28"/>
              </w:numPr>
              <w:adjustRightInd w:val="0"/>
              <w:snapToGrid w:val="0"/>
              <w:spacing w:line="240" w:lineRule="exact"/>
              <w:ind w:firstLineChars="0"/>
              <w:jc w:val="center"/>
              <w:rPr>
                <w:szCs w:val="21"/>
              </w:rPr>
            </w:pPr>
          </w:p>
        </w:tc>
        <w:tc>
          <w:tcPr>
            <w:tcW w:w="963" w:type="pct"/>
            <w:vAlign w:val="center"/>
          </w:tcPr>
          <w:p>
            <w:pPr>
              <w:shd w:val="clear" w:color="auto" w:fill="auto"/>
              <w:tabs>
                <w:tab w:val="clear" w:pos="426"/>
              </w:tabs>
              <w:spacing w:line="240" w:lineRule="exact"/>
              <w:rPr>
                <w:rFonts w:ascii="Times New Roman" w:hAnsi="Times New Roman" w:cs="Times New Roman"/>
              </w:rPr>
            </w:pPr>
            <w:r>
              <w:rPr>
                <w:rFonts w:ascii="Times New Roman" w:hAnsi="Times New Roman" w:cs="Times New Roman"/>
              </w:rPr>
              <w:t>最高投标限价</w:t>
            </w:r>
          </w:p>
        </w:tc>
        <w:tc>
          <w:tcPr>
            <w:tcW w:w="3758" w:type="pct"/>
            <w:vAlign w:val="center"/>
          </w:tcPr>
          <w:p>
            <w:pPr>
              <w:pStyle w:val="307"/>
              <w:shd w:val="clear" w:color="auto" w:fill="auto"/>
              <w:rPr>
                <w:rFonts w:ascii="Times New Roman" w:hAnsi="Times New Roman" w:cs="Times New Roman"/>
                <w:b/>
              </w:rPr>
            </w:pPr>
            <w:r>
              <w:rPr>
                <w:rFonts w:ascii="Times New Roman" w:hAnsi="Times New Roman" w:cs="Times New Roman"/>
                <w:b/>
              </w:rPr>
              <w:t>金额：</w:t>
            </w:r>
            <w:r>
              <w:rPr>
                <w:rFonts w:ascii="Times New Roman" w:hAnsi="Times New Roman" w:cs="Times New Roman"/>
                <w:b/>
                <w:u w:val="single"/>
              </w:rPr>
              <w:t>人民币</w:t>
            </w:r>
            <w:r>
              <w:rPr>
                <w:rFonts w:hint="eastAsia" w:ascii="Times New Roman" w:hAnsi="Times New Roman" w:cs="Times New Roman"/>
                <w:b/>
                <w:u w:val="single"/>
              </w:rPr>
              <w:t>玖拾万元整</w:t>
            </w:r>
            <w:r>
              <w:rPr>
                <w:rFonts w:ascii="Times New Roman" w:hAnsi="Times New Roman" w:cs="Times New Roman"/>
                <w:b/>
                <w:u w:val="single"/>
              </w:rPr>
              <w:t>（</w:t>
            </w:r>
            <w:r>
              <w:rPr>
                <w:rFonts w:ascii="Times New Roman" w:hAnsi="Times New Roman" w:eastAsia="微软雅黑" w:cs="Times New Roman"/>
                <w:b/>
                <w:u w:val="single"/>
              </w:rPr>
              <w:t>¥</w:t>
            </w:r>
            <w:r>
              <w:rPr>
                <w:rFonts w:hint="eastAsia" w:ascii="Times New Roman" w:hAnsi="Times New Roman" w:eastAsia="微软雅黑" w:cs="Times New Roman"/>
                <w:b/>
                <w:u w:val="single"/>
              </w:rPr>
              <w:t>900000.00</w:t>
            </w:r>
            <w:r>
              <w:rPr>
                <w:rFonts w:ascii="Times New Roman" w:hAnsi="Times New Roman" w:cs="Times New Roman"/>
                <w:b/>
                <w:u w:val="single"/>
              </w:rPr>
              <w:t>元），</w:t>
            </w:r>
            <w:r>
              <w:rPr>
                <w:rFonts w:ascii="Times New Roman" w:hAnsi="Times New Roman" w:cs="Times New Roman"/>
              </w:rPr>
              <w:t>超出最高投标限价的投标文件将导致投标无效。</w:t>
            </w:r>
          </w:p>
        </w:tc>
      </w:tr>
    </w:tbl>
    <w:p>
      <w:pPr>
        <w:shd w:val="clear" w:color="auto" w:fill="auto"/>
        <w:tabs>
          <w:tab w:val="clear" w:pos="426"/>
        </w:tabs>
        <w:adjustRightInd/>
        <w:snapToGrid/>
        <w:spacing w:line="240" w:lineRule="auto"/>
        <w:ind w:firstLine="420"/>
        <w:jc w:val="left"/>
        <w:rPr>
          <w:rFonts w:ascii="Times New Roman" w:hAnsi="Times New Roman" w:cs="Times New Roman"/>
          <w:kern w:val="2"/>
          <w:szCs w:val="21"/>
        </w:rPr>
      </w:pPr>
      <w:bookmarkStart w:id="22" w:name="_Hlk73714305"/>
      <w:r>
        <w:rPr>
          <w:rFonts w:ascii="Times New Roman" w:hAnsi="Times New Roman" w:cs="Times New Roman"/>
        </w:rPr>
        <w:br w:type="page"/>
      </w:r>
    </w:p>
    <w:bookmarkEnd w:id="22"/>
    <w:p>
      <w:pPr>
        <w:pStyle w:val="309"/>
        <w:pageBreakBefore/>
        <w:shd w:val="clear" w:color="auto" w:fill="auto"/>
        <w:ind w:firstLine="562"/>
        <w:rPr>
          <w:rFonts w:ascii="Times New Roman" w:hAnsi="Times New Roman"/>
        </w:rPr>
      </w:pPr>
      <w:bookmarkStart w:id="23" w:name="_Toc169101011"/>
      <w:bookmarkStart w:id="24" w:name="_Toc398220525"/>
      <w:bookmarkStart w:id="25" w:name="_Toc432592816"/>
      <w:r>
        <w:rPr>
          <w:rFonts w:ascii="Times New Roman" w:hAnsi="Times New Roman"/>
        </w:rPr>
        <w:t>第三章 项目需求</w:t>
      </w:r>
      <w:bookmarkEnd w:id="23"/>
    </w:p>
    <w:p>
      <w:pPr>
        <w:pStyle w:val="319"/>
        <w:numPr>
          <w:ilvl w:val="0"/>
          <w:numId w:val="29"/>
        </w:numPr>
        <w:shd w:val="clear" w:color="auto" w:fill="auto"/>
        <w:ind w:firstLine="482"/>
        <w:rPr>
          <w:rFonts w:ascii="Times New Roman" w:hAnsi="Times New Roman" w:cs="Times New Roman"/>
        </w:rPr>
      </w:pPr>
      <w:r>
        <w:rPr>
          <w:rFonts w:hint="eastAsia" w:ascii="Times New Roman" w:hAnsi="Times New Roman" w:cs="Times New Roman"/>
        </w:rPr>
        <w:t>服务清单一览表</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8"/>
        <w:gridCol w:w="1484"/>
        <w:gridCol w:w="3043"/>
        <w:gridCol w:w="812"/>
        <w:gridCol w:w="652"/>
        <w:gridCol w:w="830"/>
        <w:gridCol w:w="1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43" w:type="pct"/>
            <w:shd w:val="clear" w:color="auto" w:fill="C6D9F1"/>
            <w:vAlign w:val="center"/>
          </w:tcPr>
          <w:p>
            <w:pPr>
              <w:widowControl w:val="0"/>
              <w:shd w:val="clear" w:color="auto" w:fill="auto"/>
              <w:tabs>
                <w:tab w:val="clear" w:pos="426"/>
              </w:tabs>
              <w:wordWrap w:val="0"/>
              <w:spacing w:line="240" w:lineRule="auto"/>
              <w:jc w:val="center"/>
              <w:rPr>
                <w:rFonts w:ascii="Times New Roman" w:hAnsi="Times New Roman" w:cs="Times New Roman"/>
                <w:b/>
                <w:bCs/>
                <w:szCs w:val="21"/>
              </w:rPr>
            </w:pPr>
            <w:r>
              <w:rPr>
                <w:rFonts w:ascii="Times New Roman" w:hAnsi="Times New Roman" w:cs="Times New Roman"/>
                <w:b/>
                <w:bCs/>
                <w:szCs w:val="21"/>
              </w:rPr>
              <w:t>序号</w:t>
            </w:r>
          </w:p>
        </w:tc>
        <w:tc>
          <w:tcPr>
            <w:tcW w:w="824" w:type="pct"/>
            <w:shd w:val="clear" w:color="auto" w:fill="C6D9F1"/>
            <w:vAlign w:val="center"/>
          </w:tcPr>
          <w:p>
            <w:pPr>
              <w:widowControl w:val="0"/>
              <w:shd w:val="clear" w:color="auto" w:fill="auto"/>
              <w:tabs>
                <w:tab w:val="clear" w:pos="426"/>
              </w:tabs>
              <w:wordWrap w:val="0"/>
              <w:spacing w:line="240" w:lineRule="auto"/>
              <w:jc w:val="center"/>
              <w:rPr>
                <w:rFonts w:ascii="Times New Roman" w:hAnsi="Times New Roman" w:cs="Times New Roman"/>
                <w:b/>
                <w:bCs/>
                <w:szCs w:val="21"/>
              </w:rPr>
            </w:pPr>
            <w:r>
              <w:rPr>
                <w:rFonts w:ascii="Times New Roman" w:hAnsi="Times New Roman" w:cs="Times New Roman"/>
                <w:b/>
                <w:bCs/>
                <w:szCs w:val="21"/>
              </w:rPr>
              <w:t>采购计划编号</w:t>
            </w:r>
          </w:p>
        </w:tc>
        <w:tc>
          <w:tcPr>
            <w:tcW w:w="1690" w:type="pct"/>
            <w:shd w:val="clear" w:color="auto" w:fill="C6D9F1"/>
            <w:vAlign w:val="center"/>
          </w:tcPr>
          <w:p>
            <w:pPr>
              <w:widowControl w:val="0"/>
              <w:shd w:val="clear" w:color="auto" w:fill="auto"/>
              <w:tabs>
                <w:tab w:val="clear" w:pos="426"/>
              </w:tabs>
              <w:wordWrap w:val="0"/>
              <w:spacing w:line="240" w:lineRule="auto"/>
              <w:jc w:val="center"/>
              <w:rPr>
                <w:rFonts w:ascii="Times New Roman" w:hAnsi="Times New Roman" w:cs="Times New Roman"/>
                <w:b/>
                <w:bCs/>
                <w:szCs w:val="21"/>
              </w:rPr>
            </w:pPr>
            <w:r>
              <w:rPr>
                <w:rFonts w:hint="eastAsia" w:ascii="Times New Roman" w:hAnsi="Times New Roman" w:cs="Times New Roman"/>
                <w:b/>
                <w:bCs/>
                <w:szCs w:val="21"/>
              </w:rPr>
              <w:t>服务</w:t>
            </w:r>
            <w:r>
              <w:rPr>
                <w:rFonts w:ascii="Times New Roman" w:hAnsi="Times New Roman" w:cs="Times New Roman"/>
                <w:b/>
                <w:bCs/>
                <w:szCs w:val="21"/>
              </w:rPr>
              <w:t>名称</w:t>
            </w:r>
          </w:p>
        </w:tc>
        <w:tc>
          <w:tcPr>
            <w:tcW w:w="451" w:type="pct"/>
            <w:shd w:val="clear" w:color="auto" w:fill="C6D9F1"/>
            <w:vAlign w:val="center"/>
          </w:tcPr>
          <w:p>
            <w:pPr>
              <w:widowControl w:val="0"/>
              <w:shd w:val="clear" w:color="auto" w:fill="auto"/>
              <w:tabs>
                <w:tab w:val="clear" w:pos="426"/>
              </w:tabs>
              <w:wordWrap w:val="0"/>
              <w:spacing w:line="240" w:lineRule="auto"/>
              <w:jc w:val="center"/>
              <w:rPr>
                <w:rFonts w:ascii="Times New Roman" w:hAnsi="Times New Roman" w:cs="Times New Roman"/>
                <w:b/>
                <w:bCs/>
                <w:szCs w:val="21"/>
              </w:rPr>
            </w:pPr>
            <w:r>
              <w:rPr>
                <w:rFonts w:ascii="Times New Roman" w:hAnsi="Times New Roman" w:cs="Times New Roman"/>
                <w:b/>
                <w:bCs/>
                <w:szCs w:val="21"/>
              </w:rPr>
              <w:t>数量</w:t>
            </w:r>
          </w:p>
        </w:tc>
        <w:tc>
          <w:tcPr>
            <w:tcW w:w="362" w:type="pct"/>
            <w:shd w:val="clear" w:color="auto" w:fill="C6D9F1"/>
            <w:vAlign w:val="center"/>
          </w:tcPr>
          <w:p>
            <w:pPr>
              <w:widowControl w:val="0"/>
              <w:shd w:val="clear" w:color="auto" w:fill="auto"/>
              <w:tabs>
                <w:tab w:val="clear" w:pos="426"/>
              </w:tabs>
              <w:wordWrap w:val="0"/>
              <w:spacing w:line="240" w:lineRule="auto"/>
              <w:jc w:val="center"/>
              <w:rPr>
                <w:rFonts w:ascii="Times New Roman" w:hAnsi="Times New Roman" w:cs="Times New Roman"/>
                <w:b/>
                <w:bCs/>
                <w:szCs w:val="21"/>
              </w:rPr>
            </w:pPr>
            <w:r>
              <w:rPr>
                <w:rFonts w:ascii="Times New Roman" w:hAnsi="Times New Roman" w:cs="Times New Roman"/>
                <w:b/>
                <w:bCs/>
                <w:szCs w:val="21"/>
              </w:rPr>
              <w:t>单位</w:t>
            </w:r>
          </w:p>
        </w:tc>
        <w:tc>
          <w:tcPr>
            <w:tcW w:w="461" w:type="pct"/>
            <w:shd w:val="clear" w:color="auto" w:fill="C6D9F1"/>
            <w:vAlign w:val="center"/>
          </w:tcPr>
          <w:p>
            <w:pPr>
              <w:widowControl w:val="0"/>
              <w:shd w:val="clear" w:color="auto" w:fill="auto"/>
              <w:tabs>
                <w:tab w:val="clear" w:pos="426"/>
              </w:tabs>
              <w:wordWrap w:val="0"/>
              <w:spacing w:line="240" w:lineRule="auto"/>
              <w:jc w:val="center"/>
              <w:rPr>
                <w:rFonts w:ascii="Times New Roman" w:hAnsi="Times New Roman" w:cs="Times New Roman"/>
                <w:b/>
                <w:bCs/>
                <w:szCs w:val="21"/>
              </w:rPr>
            </w:pPr>
            <w:r>
              <w:rPr>
                <w:rFonts w:ascii="Times New Roman" w:hAnsi="Times New Roman" w:cs="Times New Roman"/>
                <w:b/>
                <w:bCs/>
                <w:szCs w:val="21"/>
              </w:rPr>
              <w:t>备注</w:t>
            </w:r>
          </w:p>
        </w:tc>
        <w:tc>
          <w:tcPr>
            <w:tcW w:w="869" w:type="pct"/>
            <w:shd w:val="clear" w:color="auto" w:fill="C6D9F1"/>
            <w:vAlign w:val="center"/>
          </w:tcPr>
          <w:p>
            <w:pPr>
              <w:widowControl w:val="0"/>
              <w:shd w:val="clear" w:color="auto" w:fill="auto"/>
              <w:tabs>
                <w:tab w:val="clear" w:pos="426"/>
              </w:tabs>
              <w:wordWrap w:val="0"/>
              <w:spacing w:line="240" w:lineRule="auto"/>
              <w:jc w:val="center"/>
              <w:rPr>
                <w:rFonts w:ascii="Times New Roman" w:hAnsi="Times New Roman" w:cs="Times New Roman"/>
                <w:b/>
                <w:bCs/>
                <w:szCs w:val="21"/>
              </w:rPr>
            </w:pPr>
            <w:r>
              <w:rPr>
                <w:rFonts w:ascii="Times New Roman" w:hAnsi="Times New Roman" w:cs="Times New Roman"/>
                <w:b/>
                <w:bCs/>
                <w:szCs w:val="21"/>
              </w:rPr>
              <w:t>最高投标限价(元)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343" w:type="pct"/>
            <w:vAlign w:val="center"/>
          </w:tcPr>
          <w:p>
            <w:pPr>
              <w:shd w:val="clear" w:color="auto" w:fill="auto"/>
              <w:wordWrap w:val="0"/>
              <w:spacing w:line="240" w:lineRule="auto"/>
              <w:jc w:val="center"/>
              <w:rPr>
                <w:rFonts w:ascii="Times New Roman" w:hAnsi="Times New Roman" w:cs="Times New Roman"/>
                <w:bCs/>
                <w:szCs w:val="21"/>
              </w:rPr>
            </w:pPr>
            <w:r>
              <w:rPr>
                <w:rFonts w:ascii="Times New Roman" w:hAnsi="Times New Roman" w:cs="Times New Roman"/>
                <w:bCs/>
                <w:szCs w:val="21"/>
              </w:rPr>
              <w:t>1</w:t>
            </w:r>
          </w:p>
        </w:tc>
        <w:tc>
          <w:tcPr>
            <w:tcW w:w="824" w:type="pct"/>
            <w:vAlign w:val="center"/>
          </w:tcPr>
          <w:p>
            <w:pPr>
              <w:shd w:val="clear" w:color="auto" w:fill="auto"/>
              <w:wordWrap w:val="0"/>
              <w:spacing w:line="240" w:lineRule="auto"/>
              <w:jc w:val="center"/>
              <w:rPr>
                <w:rFonts w:ascii="Times New Roman" w:hAnsi="Times New Roman" w:cs="Times New Roman"/>
                <w:bCs/>
                <w:szCs w:val="21"/>
              </w:rPr>
            </w:pPr>
            <w:r>
              <w:rPr>
                <w:rFonts w:ascii="Times New Roman" w:hAnsi="Times New Roman" w:cs="Times New Roman"/>
                <w:bCs/>
                <w:szCs w:val="21"/>
              </w:rPr>
              <w:t>/</w:t>
            </w:r>
          </w:p>
        </w:tc>
        <w:tc>
          <w:tcPr>
            <w:tcW w:w="1690" w:type="pct"/>
            <w:vAlign w:val="center"/>
          </w:tcPr>
          <w:p>
            <w:pPr>
              <w:shd w:val="clear" w:color="auto" w:fill="auto"/>
              <w:wordWrap w:val="0"/>
              <w:spacing w:line="240" w:lineRule="auto"/>
              <w:jc w:val="center"/>
              <w:rPr>
                <w:rFonts w:ascii="Times New Roman" w:hAnsi="Times New Roman" w:cs="Times New Roman"/>
                <w:bCs/>
                <w:szCs w:val="21"/>
              </w:rPr>
            </w:pPr>
            <w:r>
              <w:rPr>
                <w:rFonts w:hint="eastAsia" w:ascii="Times New Roman" w:hAnsi="Times New Roman" w:cs="Times New Roman"/>
                <w:bCs/>
                <w:szCs w:val="21"/>
              </w:rPr>
              <w:t>深圳少年儿童图书馆整体搬迁服务</w:t>
            </w:r>
          </w:p>
        </w:tc>
        <w:tc>
          <w:tcPr>
            <w:tcW w:w="451" w:type="pct"/>
            <w:vAlign w:val="center"/>
          </w:tcPr>
          <w:p>
            <w:pPr>
              <w:shd w:val="clear" w:color="auto" w:fill="auto"/>
              <w:wordWrap w:val="0"/>
              <w:spacing w:line="240" w:lineRule="auto"/>
              <w:jc w:val="center"/>
              <w:rPr>
                <w:rFonts w:ascii="Times New Roman" w:hAnsi="Times New Roman" w:cs="Times New Roman"/>
                <w:bCs/>
                <w:szCs w:val="21"/>
              </w:rPr>
            </w:pPr>
            <w:r>
              <w:rPr>
                <w:rFonts w:ascii="Times New Roman" w:hAnsi="Times New Roman" w:cs="Times New Roman"/>
                <w:bCs/>
                <w:szCs w:val="21"/>
              </w:rPr>
              <w:t>1</w:t>
            </w:r>
          </w:p>
        </w:tc>
        <w:tc>
          <w:tcPr>
            <w:tcW w:w="362" w:type="pct"/>
            <w:vAlign w:val="center"/>
          </w:tcPr>
          <w:p>
            <w:pPr>
              <w:shd w:val="clear" w:color="auto" w:fill="auto"/>
              <w:wordWrap w:val="0"/>
              <w:spacing w:line="240" w:lineRule="auto"/>
              <w:jc w:val="center"/>
              <w:rPr>
                <w:rFonts w:ascii="Times New Roman" w:hAnsi="Times New Roman" w:cs="Times New Roman"/>
                <w:bCs/>
                <w:szCs w:val="21"/>
              </w:rPr>
            </w:pPr>
            <w:r>
              <w:rPr>
                <w:rFonts w:hint="eastAsia" w:ascii="Times New Roman" w:hAnsi="Times New Roman" w:cs="Times New Roman"/>
                <w:bCs/>
                <w:szCs w:val="21"/>
              </w:rPr>
              <w:t>项</w:t>
            </w:r>
          </w:p>
        </w:tc>
        <w:tc>
          <w:tcPr>
            <w:tcW w:w="461" w:type="pct"/>
            <w:vAlign w:val="center"/>
          </w:tcPr>
          <w:p>
            <w:pPr>
              <w:shd w:val="clear" w:color="auto" w:fill="auto"/>
              <w:wordWrap w:val="0"/>
              <w:spacing w:line="240" w:lineRule="auto"/>
              <w:jc w:val="center"/>
              <w:rPr>
                <w:rFonts w:ascii="Times New Roman" w:hAnsi="Times New Roman" w:cs="Times New Roman"/>
                <w:bCs/>
                <w:szCs w:val="21"/>
              </w:rPr>
            </w:pPr>
            <w:r>
              <w:rPr>
                <w:rFonts w:ascii="Times New Roman" w:hAnsi="Times New Roman" w:cs="Times New Roman"/>
                <w:bCs/>
                <w:szCs w:val="21"/>
              </w:rPr>
              <w:t>无</w:t>
            </w:r>
          </w:p>
        </w:tc>
        <w:tc>
          <w:tcPr>
            <w:tcW w:w="869" w:type="pct"/>
            <w:vAlign w:val="center"/>
          </w:tcPr>
          <w:p>
            <w:pPr>
              <w:widowControl w:val="0"/>
              <w:shd w:val="clear" w:color="auto" w:fill="auto"/>
              <w:wordWrap w:val="0"/>
              <w:spacing w:line="240" w:lineRule="auto"/>
              <w:jc w:val="center"/>
              <w:rPr>
                <w:rFonts w:ascii="Times New Roman" w:hAnsi="Times New Roman" w:cs="Times New Roman"/>
                <w:szCs w:val="21"/>
              </w:rPr>
            </w:pPr>
            <w:r>
              <w:rPr>
                <w:rFonts w:ascii="Times New Roman" w:hAnsi="Times New Roman" w:eastAsia="微软雅黑" w:cs="Times New Roman"/>
                <w:b/>
              </w:rPr>
              <w:t>¥</w:t>
            </w:r>
            <w:r>
              <w:rPr>
                <w:rFonts w:hint="eastAsia" w:ascii="Times New Roman" w:hAnsi="Times New Roman"/>
              </w:rPr>
              <w:t>900000.00</w:t>
            </w:r>
            <w:r>
              <w:rPr>
                <w:rFonts w:hint="eastAsia" w:ascii="Times New Roman" w:hAnsi="Times New Roman" w:eastAsia="微软雅黑" w:cs="Times New Roman"/>
                <w:b/>
              </w:rPr>
              <w:t xml:space="preserve"> </w:t>
            </w:r>
            <w:r>
              <w:rPr>
                <w:rFonts w:ascii="Times New Roman" w:hAnsi="Times New Roman" w:cs="Times New Roman"/>
                <w:b/>
              </w:rPr>
              <w:t>元</w:t>
            </w:r>
          </w:p>
        </w:tc>
      </w:tr>
    </w:tbl>
    <w:p>
      <w:pPr>
        <w:pStyle w:val="305"/>
        <w:rPr>
          <w:rFonts w:ascii="Times New Roman" w:hAnsi="Times New Roman"/>
        </w:rPr>
      </w:pPr>
    </w:p>
    <w:p>
      <w:pPr>
        <w:pStyle w:val="319"/>
        <w:shd w:val="clear" w:color="auto" w:fill="auto"/>
        <w:ind w:firstLine="482"/>
        <w:rPr>
          <w:rFonts w:ascii="Times New Roman" w:hAnsi="Times New Roman" w:cs="Times New Roman"/>
        </w:rPr>
      </w:pPr>
      <w:r>
        <w:rPr>
          <w:rFonts w:ascii="Times New Roman" w:hAnsi="Times New Roman" w:cs="Times New Roman"/>
        </w:rPr>
        <w:t>实质性响应条款</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2"/>
        <w:gridCol w:w="6276"/>
        <w:gridCol w:w="1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9" w:type="pct"/>
            <w:shd w:val="clear" w:color="auto" w:fill="C6D9F1"/>
            <w:vAlign w:val="center"/>
          </w:tcPr>
          <w:p>
            <w:pPr>
              <w:widowControl w:val="0"/>
              <w:shd w:val="clear" w:color="auto" w:fill="auto"/>
              <w:tabs>
                <w:tab w:val="clear" w:pos="426"/>
              </w:tabs>
              <w:spacing w:line="240" w:lineRule="auto"/>
              <w:jc w:val="center"/>
              <w:rPr>
                <w:rFonts w:ascii="Times New Roman" w:hAnsi="Times New Roman" w:cs="Times New Roman"/>
                <w:b/>
                <w:bCs/>
                <w:szCs w:val="21"/>
              </w:rPr>
            </w:pPr>
            <w:r>
              <w:rPr>
                <w:rFonts w:ascii="Times New Roman" w:hAnsi="Times New Roman" w:cs="Times New Roman"/>
                <w:b/>
                <w:bCs/>
                <w:szCs w:val="21"/>
              </w:rPr>
              <w:t>序号</w:t>
            </w:r>
          </w:p>
        </w:tc>
        <w:tc>
          <w:tcPr>
            <w:tcW w:w="3485" w:type="pct"/>
            <w:shd w:val="clear" w:color="auto" w:fill="C6D9F1"/>
            <w:vAlign w:val="center"/>
          </w:tcPr>
          <w:p>
            <w:pPr>
              <w:widowControl w:val="0"/>
              <w:shd w:val="solid" w:color="C6D9F1" w:fill="auto"/>
              <w:spacing w:line="240" w:lineRule="auto"/>
              <w:jc w:val="center"/>
              <w:rPr>
                <w:rFonts w:ascii="Times New Roman" w:hAnsi="Times New Roman" w:cs="Times New Roman"/>
                <w:b/>
                <w:bCs/>
                <w:szCs w:val="21"/>
              </w:rPr>
            </w:pPr>
            <w:r>
              <w:rPr>
                <w:rFonts w:ascii="Times New Roman" w:hAnsi="Times New Roman" w:cs="Times New Roman"/>
                <w:b/>
                <w:bCs/>
                <w:szCs w:val="21"/>
              </w:rPr>
              <w:t>具体内容</w:t>
            </w:r>
          </w:p>
        </w:tc>
        <w:tc>
          <w:tcPr>
            <w:tcW w:w="986" w:type="pct"/>
            <w:shd w:val="clear" w:color="auto" w:fill="C6D9F1"/>
            <w:vAlign w:val="center"/>
          </w:tcPr>
          <w:p>
            <w:pPr>
              <w:widowControl w:val="0"/>
              <w:shd w:val="clear" w:color="auto" w:fill="auto"/>
              <w:tabs>
                <w:tab w:val="clear" w:pos="426"/>
              </w:tabs>
              <w:spacing w:line="240" w:lineRule="auto"/>
              <w:jc w:val="center"/>
              <w:rPr>
                <w:rFonts w:ascii="Times New Roman" w:hAnsi="Times New Roman" w:cs="Times New Roman"/>
                <w:b/>
                <w:bCs/>
                <w:szCs w:val="21"/>
              </w:rPr>
            </w:pPr>
            <w:r>
              <w:rPr>
                <w:rFonts w:ascii="Times New Roman" w:hAnsi="Times New Roman" w:cs="Times New Roman"/>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9" w:type="pct"/>
            <w:vAlign w:val="center"/>
          </w:tcPr>
          <w:p>
            <w:pPr>
              <w:widowControl w:val="0"/>
              <w:shd w:val="clear" w:color="auto" w:fill="auto"/>
              <w:spacing w:line="240" w:lineRule="auto"/>
              <w:jc w:val="center"/>
              <w:rPr>
                <w:rFonts w:ascii="Times New Roman" w:hAnsi="Times New Roman" w:cs="Times New Roman"/>
                <w:szCs w:val="21"/>
              </w:rPr>
            </w:pPr>
            <w:r>
              <w:rPr>
                <w:rFonts w:ascii="Times New Roman" w:hAnsi="Times New Roman" w:cs="Times New Roman"/>
                <w:szCs w:val="21"/>
              </w:rPr>
              <w:t>1</w:t>
            </w:r>
          </w:p>
        </w:tc>
        <w:tc>
          <w:tcPr>
            <w:tcW w:w="3485" w:type="pct"/>
            <w:vAlign w:val="center"/>
          </w:tcPr>
          <w:p>
            <w:pPr>
              <w:pStyle w:val="307"/>
              <w:shd w:val="clear" w:color="auto" w:fill="auto"/>
              <w:rPr>
                <w:rFonts w:ascii="Times New Roman" w:hAnsi="Times New Roman" w:cs="Times New Roman"/>
              </w:rPr>
            </w:pPr>
            <w:r>
              <w:rPr>
                <w:rFonts w:ascii="Times New Roman" w:hAnsi="Times New Roman" w:cs="Times New Roman"/>
              </w:rPr>
              <w:t>资格、符合性评审条款：凡出现《资格性审查表》及《符合性审查表》中情形之一的，将导致投标无效。以评审现场结论为准。</w:t>
            </w:r>
          </w:p>
        </w:tc>
        <w:tc>
          <w:tcPr>
            <w:tcW w:w="986" w:type="pct"/>
            <w:vAlign w:val="center"/>
          </w:tcPr>
          <w:p>
            <w:pPr>
              <w:pStyle w:val="307"/>
              <w:shd w:val="clear" w:color="auto" w:fill="auto"/>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9" w:type="pct"/>
            <w:vAlign w:val="center"/>
          </w:tcPr>
          <w:p>
            <w:pPr>
              <w:widowControl w:val="0"/>
              <w:shd w:val="clear" w:color="auto" w:fill="auto"/>
              <w:spacing w:line="240" w:lineRule="auto"/>
              <w:jc w:val="center"/>
              <w:rPr>
                <w:rFonts w:ascii="Times New Roman" w:hAnsi="Times New Roman" w:cs="Times New Roman"/>
                <w:szCs w:val="21"/>
              </w:rPr>
            </w:pPr>
            <w:r>
              <w:rPr>
                <w:rFonts w:ascii="Times New Roman" w:hAnsi="Times New Roman" w:cs="Times New Roman"/>
                <w:szCs w:val="21"/>
              </w:rPr>
              <w:t>2</w:t>
            </w:r>
          </w:p>
        </w:tc>
        <w:tc>
          <w:tcPr>
            <w:tcW w:w="3485" w:type="pct"/>
            <w:vAlign w:val="center"/>
          </w:tcPr>
          <w:p>
            <w:pPr>
              <w:pStyle w:val="307"/>
              <w:shd w:val="clear" w:color="auto" w:fill="auto"/>
              <w:rPr>
                <w:rFonts w:ascii="Times New Roman" w:hAnsi="Times New Roman" w:cs="Times New Roman"/>
              </w:rPr>
            </w:pPr>
            <w:r>
              <w:t>实质性要求（以“★”标注）若出现不响应或任何的负偏离，将导致投标无效。</w:t>
            </w:r>
          </w:p>
        </w:tc>
        <w:tc>
          <w:tcPr>
            <w:tcW w:w="986" w:type="pct"/>
            <w:vAlign w:val="center"/>
          </w:tcPr>
          <w:p>
            <w:pPr>
              <w:pStyle w:val="307"/>
              <w:shd w:val="clear" w:color="auto" w:fill="auto"/>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9" w:type="pct"/>
            <w:vAlign w:val="center"/>
          </w:tcPr>
          <w:p>
            <w:pPr>
              <w:widowControl w:val="0"/>
              <w:shd w:val="clear" w:color="auto" w:fill="auto"/>
              <w:spacing w:line="240" w:lineRule="auto"/>
              <w:jc w:val="center"/>
              <w:rPr>
                <w:rFonts w:ascii="Times New Roman" w:hAnsi="Times New Roman" w:cs="Times New Roman"/>
                <w:szCs w:val="21"/>
              </w:rPr>
            </w:pPr>
            <w:r>
              <w:rPr>
                <w:rFonts w:hint="eastAsia" w:ascii="Times New Roman" w:hAnsi="Times New Roman" w:cs="Times New Roman"/>
                <w:szCs w:val="21"/>
              </w:rPr>
              <w:t>3</w:t>
            </w:r>
          </w:p>
        </w:tc>
        <w:tc>
          <w:tcPr>
            <w:tcW w:w="3485" w:type="pct"/>
            <w:vAlign w:val="center"/>
          </w:tcPr>
          <w:p>
            <w:pPr>
              <w:pStyle w:val="307"/>
              <w:shd w:val="clear" w:color="auto" w:fill="auto"/>
              <w:rPr>
                <w:rFonts w:ascii="Times New Roman" w:hAnsi="Times New Roman" w:cs="Times New Roman"/>
              </w:rPr>
            </w:pPr>
            <w:r>
              <w:rPr>
                <w:rFonts w:hint="eastAsia" w:ascii="Times New Roman" w:hAnsi="Times New Roman" w:cs="Times New Roman"/>
              </w:rPr>
              <w:t>完全满足本项目服务期限的要求。</w:t>
            </w:r>
          </w:p>
        </w:tc>
        <w:tc>
          <w:tcPr>
            <w:tcW w:w="986" w:type="pct"/>
            <w:vAlign w:val="center"/>
          </w:tcPr>
          <w:p>
            <w:pPr>
              <w:pStyle w:val="307"/>
              <w:shd w:val="clear" w:color="auto" w:fill="auto"/>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9" w:type="pct"/>
            <w:vAlign w:val="center"/>
          </w:tcPr>
          <w:p>
            <w:pPr>
              <w:widowControl w:val="0"/>
              <w:shd w:val="clear" w:color="auto" w:fill="auto"/>
              <w:spacing w:line="240" w:lineRule="auto"/>
              <w:jc w:val="center"/>
              <w:rPr>
                <w:rFonts w:ascii="Times New Roman" w:hAnsi="Times New Roman" w:cs="Times New Roman"/>
                <w:szCs w:val="21"/>
              </w:rPr>
            </w:pPr>
            <w:r>
              <w:rPr>
                <w:rFonts w:hint="eastAsia" w:ascii="Times New Roman" w:hAnsi="Times New Roman" w:cs="Times New Roman"/>
                <w:szCs w:val="21"/>
              </w:rPr>
              <w:t>4</w:t>
            </w:r>
          </w:p>
        </w:tc>
        <w:tc>
          <w:tcPr>
            <w:tcW w:w="3485" w:type="pct"/>
            <w:vAlign w:val="center"/>
          </w:tcPr>
          <w:p>
            <w:pPr>
              <w:pStyle w:val="307"/>
              <w:shd w:val="clear" w:color="auto" w:fill="auto"/>
              <w:rPr>
                <w:rFonts w:ascii="Times New Roman" w:hAnsi="Times New Roman" w:cs="Times New Roman"/>
              </w:rPr>
            </w:pPr>
            <w:r>
              <w:rPr>
                <w:rFonts w:hint="eastAsia" w:ascii="Times New Roman" w:hAnsi="Times New Roman" w:cs="Times New Roman"/>
              </w:rPr>
              <w:t>本项目《图书馆搬馆明细清单》只做投标人报价参考，实际搬迁数量以现场踏勘为准，搬迁现场部分物资未列入清单的，也包含在本次搬迁范围以内，投标人须对此进行单独书面承诺</w:t>
            </w:r>
            <w:r>
              <w:rPr>
                <w:rFonts w:hint="eastAsia" w:ascii="Times New Roman" w:hAnsi="Times New Roman" w:cs="Times New Roman"/>
                <w:b/>
                <w:bCs/>
                <w:color w:val="FF0000"/>
              </w:rPr>
              <w:t>（格式自拟，加盖投标人公章）</w:t>
            </w:r>
            <w:r>
              <w:rPr>
                <w:rFonts w:hint="eastAsia" w:ascii="Times New Roman" w:hAnsi="Times New Roman" w:cs="Times New Roman"/>
              </w:rPr>
              <w:t>，否则按无效投标处理。</w:t>
            </w:r>
          </w:p>
        </w:tc>
        <w:tc>
          <w:tcPr>
            <w:tcW w:w="986" w:type="pct"/>
            <w:vAlign w:val="center"/>
          </w:tcPr>
          <w:p>
            <w:pPr>
              <w:pStyle w:val="307"/>
              <w:shd w:val="clear" w:color="auto" w:fill="auto"/>
              <w:rPr>
                <w:rFonts w:ascii="Times New Roman" w:hAnsi="Times New Roman" w:cs="Times New Roman"/>
              </w:rPr>
            </w:pPr>
          </w:p>
        </w:tc>
      </w:tr>
    </w:tbl>
    <w:p>
      <w:pPr>
        <w:pStyle w:val="305"/>
        <w:rPr>
          <w:rFonts w:ascii="Times New Roman" w:hAnsi="Times New Roman"/>
        </w:rPr>
      </w:pPr>
    </w:p>
    <w:p>
      <w:pPr>
        <w:pStyle w:val="317"/>
        <w:shd w:val="clear" w:color="auto" w:fill="auto"/>
        <w:rPr>
          <w:rFonts w:ascii="Times New Roman" w:hAnsi="Times New Roman" w:cs="Times New Roman"/>
        </w:rPr>
      </w:pPr>
      <w:r>
        <w:rPr>
          <w:rFonts w:ascii="Times New Roman" w:hAnsi="Times New Roman" w:cs="Times New Roman"/>
        </w:rPr>
        <w:t>备注：</w:t>
      </w:r>
    </w:p>
    <w:p>
      <w:pPr>
        <w:pStyle w:val="317"/>
        <w:shd w:val="clear" w:color="auto" w:fill="auto"/>
        <w:rPr>
          <w:rFonts w:ascii="Times New Roman" w:hAnsi="Times New Roman" w:cs="Times New Roman"/>
        </w:rPr>
      </w:pPr>
      <w:r>
        <w:rPr>
          <w:rFonts w:ascii="Times New Roman" w:hAnsi="Times New Roman" w:cs="Times New Roman"/>
        </w:rPr>
        <w:t>1.本表系招标文件涉及的所有实质性条款的汇总，不需要单独列表响应。请各位投标人仔细核对：确保投标文件已按照招标文件要求，在招标文件规定的投标文件格式中的对应节点进行逐一响应，不允许有任何负偏离，否则将作投标无效处理。</w:t>
      </w:r>
    </w:p>
    <w:p>
      <w:pPr>
        <w:pStyle w:val="319"/>
        <w:shd w:val="clear" w:color="auto" w:fill="auto"/>
        <w:ind w:firstLine="482"/>
        <w:rPr>
          <w:rFonts w:ascii="Times New Roman" w:hAnsi="Times New Roman" w:cs="Times New Roman"/>
        </w:rPr>
      </w:pPr>
      <w:r>
        <w:rPr>
          <w:rFonts w:hint="eastAsia" w:ascii="Times New Roman" w:hAnsi="Times New Roman" w:cs="Times New Roman"/>
        </w:rPr>
        <w:t>技术要求</w:t>
      </w:r>
    </w:p>
    <w:tbl>
      <w:tblPr>
        <w:tblStyle w:val="44"/>
        <w:tblW w:w="91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567" w:hRule="atLeast"/>
          <w:jc w:val="center"/>
        </w:trPr>
        <w:tc>
          <w:tcPr>
            <w:tcW w:w="8702" w:type="dxa"/>
            <w:tcBorders>
              <w:top w:val="nil"/>
              <w:left w:val="nil"/>
              <w:bottom w:val="nil"/>
              <w:right w:val="nil"/>
            </w:tcBorders>
            <w:shd w:val="clear" w:color="auto" w:fill="FFFFFF" w:themeFill="background1"/>
          </w:tcPr>
          <w:p>
            <w:pPr>
              <w:shd w:val="clear" w:color="auto" w:fill="auto"/>
              <w:spacing w:line="240" w:lineRule="auto"/>
              <w:rPr>
                <w:szCs w:val="21"/>
                <w:u w:val="single"/>
              </w:rPr>
            </w:pPr>
            <w:r>
              <w:rPr>
                <w:rFonts w:hint="eastAsia"/>
                <w:szCs w:val="21"/>
              </w:rPr>
              <w:t>1.项目概况及项目目标:</w:t>
            </w:r>
          </w:p>
          <w:p>
            <w:pPr>
              <w:shd w:val="clear" w:color="auto" w:fill="auto"/>
              <w:spacing w:line="240" w:lineRule="auto"/>
              <w:ind w:firstLine="420" w:firstLineChars="200"/>
              <w:rPr>
                <w:szCs w:val="21"/>
              </w:rPr>
            </w:pPr>
            <w:r>
              <w:rPr>
                <w:rFonts w:hint="eastAsia"/>
                <w:szCs w:val="21"/>
              </w:rPr>
              <w:t>深圳少年儿童图书馆拟从深圳市福田区华强北街道红荔路1011号搬迁到福田区、罗湖区、龙岗区等采购人指定地点，现通过公开招标形式择优选用一家搬家公司承担本次图书馆整体搬迁项目。</w:t>
            </w:r>
          </w:p>
          <w:p>
            <w:pPr>
              <w:shd w:val="clear" w:color="auto" w:fill="auto"/>
              <w:spacing w:line="240" w:lineRule="auto"/>
              <w:ind w:firstLine="420" w:firstLineChars="200"/>
              <w:rPr>
                <w:szCs w:val="21"/>
              </w:rPr>
            </w:pPr>
            <w:r>
              <w:rPr>
                <w:rFonts w:hint="eastAsia"/>
                <w:szCs w:val="21"/>
              </w:rPr>
              <w:t>本次搬迁包含图书馆的图书（含在架图书和已打包不在架图书）、书架、阅览台、桌椅、图书馆其他设备设施（详见《图书馆搬馆明细清单》搬迁、拆装、上下架、打包、运输、安装调试等全部工作）。</w:t>
            </w:r>
          </w:p>
          <w:p>
            <w:pPr>
              <w:shd w:val="clear" w:color="auto" w:fill="auto"/>
              <w:spacing w:line="240" w:lineRule="auto"/>
              <w:rPr>
                <w:szCs w:val="21"/>
              </w:rPr>
            </w:pPr>
            <w:r>
              <w:rPr>
                <w:rFonts w:hint="eastAsia"/>
                <w:szCs w:val="21"/>
              </w:rPr>
              <w:t>2.工作内容：</w:t>
            </w:r>
          </w:p>
          <w:p>
            <w:pPr>
              <w:pStyle w:val="280"/>
              <w:spacing w:line="240" w:lineRule="auto"/>
              <w:ind w:firstLine="422"/>
              <w:rPr>
                <w:rStyle w:val="346"/>
                <w:rFonts w:hint="default"/>
                <w:sz w:val="21"/>
                <w:szCs w:val="21"/>
                <w:lang w:bidi="ar"/>
              </w:rPr>
            </w:pPr>
            <w:r>
              <w:rPr>
                <w:rStyle w:val="346"/>
                <w:b/>
                <w:bCs/>
                <w:sz w:val="21"/>
                <w:szCs w:val="21"/>
                <w:lang w:bidi="ar"/>
              </w:rPr>
              <w:t>2.1搬迁内容</w:t>
            </w:r>
            <w:r>
              <w:rPr>
                <w:rStyle w:val="346"/>
                <w:sz w:val="21"/>
                <w:szCs w:val="21"/>
                <w:lang w:bidi="ar"/>
              </w:rPr>
              <w:t xml:space="preserve"> </w:t>
            </w:r>
          </w:p>
          <w:p>
            <w:pPr>
              <w:pStyle w:val="8"/>
              <w:shd w:val="clear" w:color="auto" w:fill="auto"/>
              <w:spacing w:line="240" w:lineRule="auto"/>
              <w:ind w:firstLine="422" w:firstLineChars="200"/>
              <w:rPr>
                <w:rStyle w:val="346"/>
                <w:rFonts w:hint="default"/>
                <w:sz w:val="21"/>
                <w:szCs w:val="21"/>
                <w:lang w:bidi="ar"/>
              </w:rPr>
            </w:pPr>
            <w:r>
              <w:rPr>
                <w:rStyle w:val="346"/>
                <w:sz w:val="21"/>
                <w:szCs w:val="21"/>
                <w:lang w:bidi="ar"/>
              </w:rPr>
              <w:t>中标人将位于深圳市福田区华强北街道红荔路1011号的图书馆的图书、书架、阅览台、桌椅、办公物资设备、图书馆其他设备设施等所有物品，搬迁至</w:t>
            </w:r>
            <w:r>
              <w:rPr>
                <w:rFonts w:hint="eastAsia"/>
                <w:sz w:val="21"/>
                <w:szCs w:val="21"/>
              </w:rPr>
              <w:t>新地点</w:t>
            </w:r>
            <w:r>
              <w:rPr>
                <w:rStyle w:val="346"/>
                <w:sz w:val="21"/>
                <w:szCs w:val="21"/>
                <w:lang w:bidi="ar"/>
              </w:rPr>
              <w:t xml:space="preserve">。 </w:t>
            </w:r>
          </w:p>
          <w:tbl>
            <w:tblPr>
              <w:tblStyle w:val="4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7"/>
              <w:gridCol w:w="2418"/>
              <w:gridCol w:w="5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pct"/>
                </w:tcPr>
                <w:p>
                  <w:pPr>
                    <w:pStyle w:val="8"/>
                    <w:widowControl w:val="0"/>
                    <w:shd w:val="clear" w:color="auto" w:fill="auto"/>
                    <w:spacing w:before="158" w:line="240" w:lineRule="auto"/>
                    <w:ind w:right="107"/>
                    <w:jc w:val="center"/>
                    <w:rPr>
                      <w:rStyle w:val="346"/>
                      <w:rFonts w:hint="default"/>
                      <w:sz w:val="21"/>
                      <w:szCs w:val="21"/>
                      <w:lang w:bidi="ar"/>
                    </w:rPr>
                  </w:pPr>
                  <w:r>
                    <w:rPr>
                      <w:rStyle w:val="346"/>
                      <w:sz w:val="21"/>
                      <w:szCs w:val="21"/>
                      <w:lang w:bidi="ar"/>
                    </w:rPr>
                    <w:t>序 号</w:t>
                  </w:r>
                </w:p>
              </w:tc>
              <w:tc>
                <w:tcPr>
                  <w:tcW w:w="1358" w:type="pct"/>
                </w:tcPr>
                <w:p>
                  <w:pPr>
                    <w:pStyle w:val="8"/>
                    <w:widowControl w:val="0"/>
                    <w:shd w:val="clear" w:color="auto" w:fill="auto"/>
                    <w:spacing w:before="158" w:line="240" w:lineRule="auto"/>
                    <w:ind w:right="107"/>
                    <w:jc w:val="center"/>
                    <w:rPr>
                      <w:rStyle w:val="346"/>
                      <w:rFonts w:hint="default"/>
                      <w:sz w:val="21"/>
                      <w:szCs w:val="21"/>
                      <w:lang w:bidi="ar"/>
                    </w:rPr>
                  </w:pPr>
                  <w:r>
                    <w:rPr>
                      <w:rStyle w:val="346"/>
                      <w:sz w:val="21"/>
                      <w:szCs w:val="21"/>
                      <w:lang w:bidi="ar"/>
                    </w:rPr>
                    <w:t>名 称</w:t>
                  </w:r>
                </w:p>
              </w:tc>
              <w:tc>
                <w:tcPr>
                  <w:tcW w:w="3108" w:type="pct"/>
                </w:tcPr>
                <w:p>
                  <w:pPr>
                    <w:pStyle w:val="8"/>
                    <w:widowControl w:val="0"/>
                    <w:shd w:val="clear" w:color="auto" w:fill="auto"/>
                    <w:spacing w:before="158" w:line="240" w:lineRule="auto"/>
                    <w:ind w:right="107"/>
                    <w:jc w:val="center"/>
                    <w:rPr>
                      <w:rStyle w:val="346"/>
                      <w:rFonts w:hint="default"/>
                      <w:sz w:val="21"/>
                      <w:szCs w:val="21"/>
                      <w:lang w:bidi="ar"/>
                    </w:rPr>
                  </w:pPr>
                  <w:r>
                    <w:rPr>
                      <w:rStyle w:val="346"/>
                      <w:sz w:val="21"/>
                      <w:szCs w:val="21"/>
                      <w:lang w:bidi="ar"/>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pct"/>
                </w:tcPr>
                <w:p>
                  <w:pPr>
                    <w:pStyle w:val="8"/>
                    <w:widowControl w:val="0"/>
                    <w:shd w:val="clear" w:color="auto" w:fill="auto"/>
                    <w:spacing w:before="158" w:line="240" w:lineRule="auto"/>
                    <w:ind w:right="107"/>
                    <w:jc w:val="center"/>
                    <w:rPr>
                      <w:rStyle w:val="346"/>
                      <w:rFonts w:hint="default"/>
                      <w:sz w:val="21"/>
                      <w:szCs w:val="21"/>
                      <w:lang w:bidi="ar"/>
                    </w:rPr>
                  </w:pPr>
                  <w:r>
                    <w:rPr>
                      <w:rStyle w:val="346"/>
                      <w:sz w:val="21"/>
                      <w:szCs w:val="21"/>
                      <w:lang w:bidi="ar"/>
                    </w:rPr>
                    <w:t>1</w:t>
                  </w:r>
                </w:p>
              </w:tc>
              <w:tc>
                <w:tcPr>
                  <w:tcW w:w="1358" w:type="pct"/>
                </w:tcPr>
                <w:p>
                  <w:pPr>
                    <w:pStyle w:val="8"/>
                    <w:widowControl w:val="0"/>
                    <w:shd w:val="clear" w:color="auto" w:fill="auto"/>
                    <w:spacing w:before="158" w:line="240" w:lineRule="auto"/>
                    <w:ind w:right="107"/>
                    <w:rPr>
                      <w:rStyle w:val="346"/>
                      <w:rFonts w:hint="default"/>
                      <w:sz w:val="21"/>
                      <w:szCs w:val="21"/>
                      <w:lang w:bidi="ar"/>
                    </w:rPr>
                  </w:pPr>
                  <w:r>
                    <w:rPr>
                      <w:rStyle w:val="346"/>
                      <w:sz w:val="21"/>
                      <w:szCs w:val="21"/>
                      <w:lang w:bidi="ar"/>
                    </w:rPr>
                    <w:t>图书下架</w:t>
                  </w:r>
                </w:p>
              </w:tc>
              <w:tc>
                <w:tcPr>
                  <w:tcW w:w="3108" w:type="pct"/>
                </w:tcPr>
                <w:p>
                  <w:pPr>
                    <w:pStyle w:val="8"/>
                    <w:widowControl w:val="0"/>
                    <w:shd w:val="clear" w:color="auto" w:fill="auto"/>
                    <w:spacing w:before="158" w:line="240" w:lineRule="auto"/>
                    <w:ind w:right="107"/>
                    <w:rPr>
                      <w:rStyle w:val="346"/>
                      <w:rFonts w:hint="default"/>
                      <w:sz w:val="21"/>
                      <w:szCs w:val="21"/>
                      <w:lang w:bidi="ar"/>
                    </w:rPr>
                  </w:pPr>
                  <w:r>
                    <w:rPr>
                      <w:rStyle w:val="346"/>
                      <w:sz w:val="21"/>
                      <w:szCs w:val="21"/>
                      <w:lang w:bidi="ar"/>
                    </w:rPr>
                    <w:t>图书馆所有在架图书、按编序号下架、打包、并贴上标签。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pct"/>
                </w:tcPr>
                <w:p>
                  <w:pPr>
                    <w:pStyle w:val="8"/>
                    <w:widowControl w:val="0"/>
                    <w:shd w:val="clear" w:color="auto" w:fill="auto"/>
                    <w:spacing w:before="158" w:line="240" w:lineRule="auto"/>
                    <w:ind w:right="107"/>
                    <w:jc w:val="center"/>
                    <w:rPr>
                      <w:rStyle w:val="346"/>
                      <w:rFonts w:hint="default"/>
                      <w:sz w:val="21"/>
                      <w:szCs w:val="21"/>
                      <w:lang w:bidi="ar"/>
                    </w:rPr>
                  </w:pPr>
                  <w:r>
                    <w:rPr>
                      <w:rStyle w:val="346"/>
                      <w:sz w:val="21"/>
                      <w:szCs w:val="21"/>
                      <w:lang w:bidi="ar"/>
                    </w:rPr>
                    <w:t>2</w:t>
                  </w:r>
                </w:p>
              </w:tc>
              <w:tc>
                <w:tcPr>
                  <w:tcW w:w="1358" w:type="pct"/>
                </w:tcPr>
                <w:p>
                  <w:pPr>
                    <w:pStyle w:val="8"/>
                    <w:widowControl w:val="0"/>
                    <w:shd w:val="clear" w:color="auto" w:fill="auto"/>
                    <w:spacing w:before="158" w:line="240" w:lineRule="auto"/>
                    <w:ind w:right="107"/>
                    <w:rPr>
                      <w:rStyle w:val="346"/>
                      <w:rFonts w:hint="default"/>
                      <w:sz w:val="21"/>
                      <w:szCs w:val="21"/>
                      <w:lang w:bidi="ar"/>
                    </w:rPr>
                  </w:pPr>
                  <w:r>
                    <w:rPr>
                      <w:rStyle w:val="346"/>
                      <w:sz w:val="21"/>
                      <w:szCs w:val="21"/>
                      <w:lang w:bidi="ar"/>
                    </w:rPr>
                    <w:t>书架拆卸、安装</w:t>
                  </w:r>
                </w:p>
              </w:tc>
              <w:tc>
                <w:tcPr>
                  <w:tcW w:w="3108" w:type="pct"/>
                </w:tcPr>
                <w:p>
                  <w:pPr>
                    <w:pStyle w:val="8"/>
                    <w:widowControl w:val="0"/>
                    <w:shd w:val="clear" w:color="auto" w:fill="auto"/>
                    <w:spacing w:before="158" w:line="240" w:lineRule="auto"/>
                    <w:ind w:right="107"/>
                    <w:rPr>
                      <w:rStyle w:val="346"/>
                      <w:rFonts w:hint="default"/>
                      <w:sz w:val="21"/>
                      <w:szCs w:val="21"/>
                      <w:lang w:bidi="ar"/>
                    </w:rPr>
                  </w:pPr>
                  <w:r>
                    <w:rPr>
                      <w:rStyle w:val="346"/>
                      <w:sz w:val="21"/>
                      <w:szCs w:val="21"/>
                      <w:lang w:bidi="ar"/>
                    </w:rPr>
                    <w:t>老馆书架拆卸、按照采购人要求进行安装。（采购人不需要拆卸安装的除外）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pct"/>
                </w:tcPr>
                <w:p>
                  <w:pPr>
                    <w:pStyle w:val="8"/>
                    <w:widowControl w:val="0"/>
                    <w:shd w:val="clear" w:color="auto" w:fill="auto"/>
                    <w:spacing w:before="158" w:line="240" w:lineRule="auto"/>
                    <w:ind w:right="107"/>
                    <w:jc w:val="center"/>
                    <w:rPr>
                      <w:rStyle w:val="346"/>
                      <w:rFonts w:hint="default"/>
                      <w:sz w:val="21"/>
                      <w:szCs w:val="21"/>
                      <w:lang w:bidi="ar"/>
                    </w:rPr>
                  </w:pPr>
                  <w:r>
                    <w:rPr>
                      <w:rStyle w:val="346"/>
                      <w:sz w:val="21"/>
                      <w:szCs w:val="21"/>
                      <w:lang w:bidi="ar"/>
                    </w:rPr>
                    <w:t>3</w:t>
                  </w:r>
                </w:p>
              </w:tc>
              <w:tc>
                <w:tcPr>
                  <w:tcW w:w="1358" w:type="pct"/>
                </w:tcPr>
                <w:p>
                  <w:pPr>
                    <w:pStyle w:val="8"/>
                    <w:widowControl w:val="0"/>
                    <w:shd w:val="clear" w:color="auto" w:fill="auto"/>
                    <w:spacing w:before="158" w:line="240" w:lineRule="auto"/>
                    <w:ind w:right="107"/>
                    <w:rPr>
                      <w:rStyle w:val="346"/>
                      <w:rFonts w:hint="default"/>
                      <w:sz w:val="21"/>
                      <w:szCs w:val="21"/>
                      <w:lang w:bidi="ar"/>
                    </w:rPr>
                  </w:pPr>
                  <w:r>
                    <w:rPr>
                      <w:rStyle w:val="346"/>
                      <w:sz w:val="21"/>
                      <w:szCs w:val="21"/>
                      <w:lang w:bidi="ar"/>
                    </w:rPr>
                    <w:t>图书、书架搬运、运输</w:t>
                  </w:r>
                </w:p>
              </w:tc>
              <w:tc>
                <w:tcPr>
                  <w:tcW w:w="3108" w:type="pct"/>
                </w:tcPr>
                <w:p>
                  <w:pPr>
                    <w:pStyle w:val="8"/>
                    <w:widowControl w:val="0"/>
                    <w:shd w:val="clear" w:color="auto" w:fill="auto"/>
                    <w:spacing w:before="158" w:line="240" w:lineRule="auto"/>
                    <w:ind w:right="107"/>
                    <w:rPr>
                      <w:rStyle w:val="346"/>
                      <w:rFonts w:hint="default"/>
                      <w:sz w:val="21"/>
                      <w:szCs w:val="21"/>
                      <w:lang w:bidi="ar"/>
                    </w:rPr>
                  </w:pPr>
                  <w:r>
                    <w:rPr>
                      <w:rStyle w:val="346"/>
                      <w:sz w:val="21"/>
                      <w:szCs w:val="21"/>
                      <w:lang w:bidi="ar"/>
                    </w:rPr>
                    <w:t>老馆图书（含已下架暂存图书）搬运、运输到新图书馆。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pct"/>
                </w:tcPr>
                <w:p>
                  <w:pPr>
                    <w:pStyle w:val="8"/>
                    <w:widowControl w:val="0"/>
                    <w:shd w:val="clear" w:color="auto" w:fill="auto"/>
                    <w:spacing w:before="158" w:line="240" w:lineRule="auto"/>
                    <w:ind w:right="107"/>
                    <w:jc w:val="center"/>
                    <w:rPr>
                      <w:rStyle w:val="346"/>
                      <w:rFonts w:hint="default"/>
                      <w:sz w:val="21"/>
                      <w:szCs w:val="21"/>
                      <w:lang w:bidi="ar"/>
                    </w:rPr>
                  </w:pPr>
                  <w:r>
                    <w:rPr>
                      <w:rStyle w:val="346"/>
                      <w:sz w:val="21"/>
                      <w:szCs w:val="21"/>
                      <w:lang w:bidi="ar"/>
                    </w:rPr>
                    <w:t>4</w:t>
                  </w:r>
                </w:p>
              </w:tc>
              <w:tc>
                <w:tcPr>
                  <w:tcW w:w="1358" w:type="pct"/>
                </w:tcPr>
                <w:p>
                  <w:pPr>
                    <w:pStyle w:val="8"/>
                    <w:widowControl w:val="0"/>
                    <w:shd w:val="clear" w:color="auto" w:fill="auto"/>
                    <w:spacing w:before="158" w:line="240" w:lineRule="auto"/>
                    <w:ind w:right="107"/>
                    <w:rPr>
                      <w:rStyle w:val="346"/>
                      <w:rFonts w:hint="default"/>
                      <w:sz w:val="21"/>
                      <w:szCs w:val="21"/>
                      <w:lang w:bidi="ar"/>
                    </w:rPr>
                  </w:pPr>
                  <w:r>
                    <w:rPr>
                      <w:rStyle w:val="346"/>
                      <w:sz w:val="21"/>
                      <w:szCs w:val="21"/>
                      <w:lang w:bidi="ar"/>
                    </w:rPr>
                    <w:t>图书分类、上架</w:t>
                  </w:r>
                </w:p>
              </w:tc>
              <w:tc>
                <w:tcPr>
                  <w:tcW w:w="3108" w:type="pct"/>
                </w:tcPr>
                <w:p>
                  <w:pPr>
                    <w:pStyle w:val="8"/>
                    <w:widowControl w:val="0"/>
                    <w:shd w:val="clear" w:color="auto" w:fill="auto"/>
                    <w:spacing w:before="158" w:line="240" w:lineRule="auto"/>
                    <w:ind w:right="107"/>
                    <w:rPr>
                      <w:rStyle w:val="346"/>
                      <w:rFonts w:hint="default"/>
                      <w:sz w:val="21"/>
                      <w:szCs w:val="21"/>
                      <w:lang w:bidi="ar"/>
                    </w:rPr>
                  </w:pPr>
                  <w:r>
                    <w:rPr>
                      <w:rStyle w:val="346"/>
                      <w:sz w:val="21"/>
                      <w:szCs w:val="21"/>
                      <w:lang w:bidi="ar"/>
                    </w:rPr>
                    <w:t>到达新馆图书按照中图分类法进行分类上架。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pct"/>
                </w:tcPr>
                <w:p>
                  <w:pPr>
                    <w:pStyle w:val="8"/>
                    <w:widowControl w:val="0"/>
                    <w:shd w:val="clear" w:color="auto" w:fill="auto"/>
                    <w:spacing w:before="158" w:line="240" w:lineRule="auto"/>
                    <w:ind w:right="107"/>
                    <w:jc w:val="center"/>
                    <w:rPr>
                      <w:rStyle w:val="346"/>
                      <w:rFonts w:hint="default"/>
                      <w:sz w:val="21"/>
                      <w:szCs w:val="21"/>
                      <w:lang w:bidi="ar"/>
                    </w:rPr>
                  </w:pPr>
                  <w:r>
                    <w:rPr>
                      <w:rStyle w:val="346"/>
                      <w:sz w:val="21"/>
                      <w:szCs w:val="21"/>
                      <w:lang w:bidi="ar"/>
                    </w:rPr>
                    <w:t>5</w:t>
                  </w:r>
                </w:p>
              </w:tc>
              <w:tc>
                <w:tcPr>
                  <w:tcW w:w="1358" w:type="pct"/>
                </w:tcPr>
                <w:p>
                  <w:pPr>
                    <w:pStyle w:val="8"/>
                    <w:widowControl w:val="0"/>
                    <w:shd w:val="clear" w:color="auto" w:fill="auto"/>
                    <w:spacing w:before="158" w:line="240" w:lineRule="auto"/>
                    <w:ind w:right="107"/>
                    <w:rPr>
                      <w:rStyle w:val="346"/>
                      <w:rFonts w:hint="default"/>
                      <w:sz w:val="21"/>
                      <w:szCs w:val="21"/>
                      <w:lang w:bidi="ar"/>
                    </w:rPr>
                  </w:pPr>
                  <w:r>
                    <w:rPr>
                      <w:rStyle w:val="346"/>
                      <w:sz w:val="21"/>
                      <w:szCs w:val="21"/>
                      <w:lang w:bidi="ar"/>
                    </w:rPr>
                    <w:t>设备设施拆装搬运</w:t>
                  </w:r>
                </w:p>
              </w:tc>
              <w:tc>
                <w:tcPr>
                  <w:tcW w:w="3108" w:type="pct"/>
                </w:tcPr>
                <w:p>
                  <w:pPr>
                    <w:pStyle w:val="8"/>
                    <w:widowControl w:val="0"/>
                    <w:shd w:val="clear" w:color="auto" w:fill="auto"/>
                    <w:spacing w:before="158" w:line="240" w:lineRule="auto"/>
                    <w:ind w:right="107"/>
                    <w:rPr>
                      <w:rStyle w:val="346"/>
                      <w:rFonts w:hint="default"/>
                      <w:sz w:val="21"/>
                      <w:szCs w:val="21"/>
                      <w:lang w:bidi="ar"/>
                    </w:rPr>
                  </w:pPr>
                  <w:r>
                    <w:rPr>
                      <w:rStyle w:val="346"/>
                      <w:sz w:val="21"/>
                      <w:szCs w:val="21"/>
                      <w:lang w:bidi="ar"/>
                    </w:rPr>
                    <w:t>老馆的设备设施（风扇、宣传字画、电脑打印机等）搬运拆装。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pct"/>
                </w:tcPr>
                <w:p>
                  <w:pPr>
                    <w:pStyle w:val="8"/>
                    <w:widowControl w:val="0"/>
                    <w:shd w:val="clear" w:color="auto" w:fill="auto"/>
                    <w:spacing w:before="158" w:line="240" w:lineRule="auto"/>
                    <w:ind w:right="107"/>
                    <w:jc w:val="center"/>
                    <w:rPr>
                      <w:rStyle w:val="346"/>
                      <w:rFonts w:hint="default"/>
                      <w:sz w:val="21"/>
                      <w:szCs w:val="21"/>
                      <w:lang w:bidi="ar"/>
                    </w:rPr>
                  </w:pPr>
                  <w:r>
                    <w:rPr>
                      <w:rStyle w:val="346"/>
                      <w:sz w:val="21"/>
                      <w:szCs w:val="21"/>
                      <w:lang w:bidi="ar"/>
                    </w:rPr>
                    <w:t>6</w:t>
                  </w:r>
                </w:p>
              </w:tc>
              <w:tc>
                <w:tcPr>
                  <w:tcW w:w="1358" w:type="pct"/>
                </w:tcPr>
                <w:p>
                  <w:pPr>
                    <w:pStyle w:val="8"/>
                    <w:widowControl w:val="0"/>
                    <w:shd w:val="clear" w:color="auto" w:fill="auto"/>
                    <w:spacing w:before="158" w:line="240" w:lineRule="auto"/>
                    <w:ind w:right="107"/>
                    <w:rPr>
                      <w:rStyle w:val="346"/>
                      <w:rFonts w:hint="default"/>
                      <w:sz w:val="21"/>
                      <w:szCs w:val="21"/>
                      <w:lang w:bidi="ar"/>
                    </w:rPr>
                  </w:pPr>
                  <w:r>
                    <w:rPr>
                      <w:rStyle w:val="346"/>
                      <w:sz w:val="21"/>
                      <w:szCs w:val="21"/>
                      <w:lang w:bidi="ar"/>
                    </w:rPr>
                    <w:t>机房设置拆装搬运</w:t>
                  </w:r>
                </w:p>
              </w:tc>
              <w:tc>
                <w:tcPr>
                  <w:tcW w:w="3108" w:type="pct"/>
                </w:tcPr>
                <w:p>
                  <w:pPr>
                    <w:pStyle w:val="8"/>
                    <w:widowControl w:val="0"/>
                    <w:shd w:val="clear" w:color="auto" w:fill="auto"/>
                    <w:spacing w:before="158" w:line="240" w:lineRule="auto"/>
                    <w:ind w:right="107"/>
                    <w:rPr>
                      <w:rStyle w:val="346"/>
                      <w:rFonts w:hint="default"/>
                      <w:sz w:val="21"/>
                      <w:szCs w:val="21"/>
                      <w:lang w:bidi="ar"/>
                    </w:rPr>
                  </w:pPr>
                  <w:r>
                    <w:rPr>
                      <w:rStyle w:val="346"/>
                      <w:sz w:val="21"/>
                      <w:szCs w:val="21"/>
                      <w:lang w:bidi="ar"/>
                    </w:rPr>
                    <w:t>老馆机房的所有设备以及UPS等设施设备。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pct"/>
                </w:tcPr>
                <w:p>
                  <w:pPr>
                    <w:pStyle w:val="8"/>
                    <w:widowControl w:val="0"/>
                    <w:shd w:val="clear" w:color="auto" w:fill="auto"/>
                    <w:spacing w:before="158" w:line="240" w:lineRule="auto"/>
                    <w:ind w:right="107"/>
                    <w:jc w:val="center"/>
                    <w:rPr>
                      <w:rStyle w:val="346"/>
                      <w:rFonts w:hint="default"/>
                      <w:sz w:val="21"/>
                      <w:szCs w:val="21"/>
                      <w:lang w:bidi="ar"/>
                    </w:rPr>
                  </w:pPr>
                  <w:r>
                    <w:rPr>
                      <w:rStyle w:val="346"/>
                      <w:sz w:val="21"/>
                      <w:szCs w:val="21"/>
                      <w:lang w:bidi="ar"/>
                    </w:rPr>
                    <w:t>7</w:t>
                  </w:r>
                </w:p>
              </w:tc>
              <w:tc>
                <w:tcPr>
                  <w:tcW w:w="1358" w:type="pct"/>
                </w:tcPr>
                <w:p>
                  <w:pPr>
                    <w:pStyle w:val="8"/>
                    <w:widowControl w:val="0"/>
                    <w:shd w:val="clear" w:color="auto" w:fill="auto"/>
                    <w:spacing w:before="158" w:line="240" w:lineRule="auto"/>
                    <w:ind w:right="107"/>
                    <w:rPr>
                      <w:rStyle w:val="346"/>
                      <w:rFonts w:hint="default"/>
                      <w:sz w:val="21"/>
                      <w:szCs w:val="21"/>
                      <w:lang w:bidi="ar"/>
                    </w:rPr>
                  </w:pPr>
                  <w:r>
                    <w:rPr>
                      <w:rStyle w:val="346"/>
                      <w:sz w:val="21"/>
                      <w:szCs w:val="21"/>
                      <w:lang w:bidi="ar"/>
                    </w:rPr>
                    <w:t>图书馆其他物资设备搬运运输</w:t>
                  </w:r>
                </w:p>
              </w:tc>
              <w:tc>
                <w:tcPr>
                  <w:tcW w:w="3108" w:type="pct"/>
                </w:tcPr>
                <w:p>
                  <w:pPr>
                    <w:pStyle w:val="8"/>
                    <w:widowControl w:val="0"/>
                    <w:shd w:val="clear" w:color="auto" w:fill="auto"/>
                    <w:spacing w:before="158" w:line="240" w:lineRule="auto"/>
                    <w:ind w:right="107"/>
                    <w:rPr>
                      <w:rStyle w:val="346"/>
                      <w:rFonts w:hint="default"/>
                      <w:sz w:val="21"/>
                      <w:szCs w:val="21"/>
                      <w:lang w:bidi="ar"/>
                    </w:rPr>
                  </w:pPr>
                  <w:r>
                    <w:rPr>
                      <w:rStyle w:val="346"/>
                      <w:sz w:val="21"/>
                      <w:szCs w:val="21"/>
                      <w:lang w:bidi="ar"/>
                    </w:rPr>
                    <w:t>老馆桌椅、柜子、展板、等其他物资。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pct"/>
                </w:tcPr>
                <w:p>
                  <w:pPr>
                    <w:pStyle w:val="8"/>
                    <w:widowControl w:val="0"/>
                    <w:shd w:val="clear" w:color="auto" w:fill="auto"/>
                    <w:spacing w:before="158" w:line="240" w:lineRule="auto"/>
                    <w:ind w:right="107"/>
                    <w:jc w:val="center"/>
                    <w:rPr>
                      <w:rStyle w:val="346"/>
                      <w:rFonts w:hint="default"/>
                      <w:sz w:val="21"/>
                      <w:szCs w:val="21"/>
                      <w:lang w:bidi="ar"/>
                    </w:rPr>
                  </w:pPr>
                  <w:r>
                    <w:rPr>
                      <w:rStyle w:val="346"/>
                      <w:sz w:val="21"/>
                      <w:szCs w:val="21"/>
                      <w:lang w:bidi="ar"/>
                    </w:rPr>
                    <w:t>8</w:t>
                  </w:r>
                </w:p>
              </w:tc>
              <w:tc>
                <w:tcPr>
                  <w:tcW w:w="1358" w:type="pct"/>
                </w:tcPr>
                <w:p>
                  <w:pPr>
                    <w:pStyle w:val="8"/>
                    <w:widowControl w:val="0"/>
                    <w:shd w:val="clear" w:color="auto" w:fill="auto"/>
                    <w:spacing w:before="158" w:line="240" w:lineRule="auto"/>
                    <w:ind w:right="107"/>
                    <w:rPr>
                      <w:rStyle w:val="346"/>
                      <w:rFonts w:hint="default"/>
                      <w:sz w:val="21"/>
                      <w:szCs w:val="21"/>
                      <w:lang w:bidi="ar"/>
                    </w:rPr>
                  </w:pPr>
                  <w:r>
                    <w:rPr>
                      <w:rStyle w:val="346"/>
                      <w:sz w:val="21"/>
                      <w:szCs w:val="21"/>
                      <w:lang w:bidi="ar"/>
                    </w:rPr>
                    <w:t>行政办公物资、后勤物资</w:t>
                  </w:r>
                </w:p>
              </w:tc>
              <w:tc>
                <w:tcPr>
                  <w:tcW w:w="3108" w:type="pct"/>
                </w:tcPr>
                <w:p>
                  <w:pPr>
                    <w:pStyle w:val="8"/>
                    <w:widowControl w:val="0"/>
                    <w:shd w:val="clear" w:color="auto" w:fill="auto"/>
                    <w:spacing w:before="158" w:line="240" w:lineRule="auto"/>
                    <w:ind w:right="107"/>
                    <w:rPr>
                      <w:rStyle w:val="346"/>
                      <w:rFonts w:hint="default"/>
                      <w:sz w:val="21"/>
                      <w:szCs w:val="21"/>
                      <w:lang w:bidi="ar"/>
                    </w:rPr>
                  </w:pPr>
                  <w:r>
                    <w:rPr>
                      <w:rStyle w:val="346"/>
                      <w:sz w:val="21"/>
                      <w:szCs w:val="21"/>
                      <w:lang w:bidi="ar"/>
                    </w:rPr>
                    <w:t>老馆行政办公物资设备、文档资料、后勤物资设备等搬迁到新馆，并按要求复原到正常使用</w:t>
                  </w:r>
                </w:p>
              </w:tc>
            </w:tr>
          </w:tbl>
          <w:p>
            <w:pPr>
              <w:pStyle w:val="8"/>
              <w:shd w:val="clear" w:color="auto" w:fill="auto"/>
              <w:spacing w:line="240" w:lineRule="auto"/>
              <w:ind w:firstLine="422" w:firstLineChars="200"/>
              <w:rPr>
                <w:sz w:val="21"/>
                <w:szCs w:val="21"/>
              </w:rPr>
            </w:pPr>
            <w:r>
              <w:rPr>
                <w:rStyle w:val="346"/>
                <w:sz w:val="21"/>
                <w:szCs w:val="21"/>
                <w:lang w:bidi="ar"/>
              </w:rPr>
              <w:t>附：《图书馆搬馆明细清单》</w:t>
            </w:r>
          </w:p>
          <w:p>
            <w:pPr>
              <w:pStyle w:val="24"/>
              <w:shd w:val="clear" w:color="auto" w:fill="auto"/>
              <w:spacing w:line="240" w:lineRule="auto"/>
              <w:jc w:val="center"/>
              <w:rPr>
                <w:rStyle w:val="346"/>
                <w:rFonts w:hint="default"/>
                <w:b/>
                <w:bCs/>
                <w:sz w:val="21"/>
                <w:szCs w:val="21"/>
                <w:lang w:bidi="ar"/>
              </w:rPr>
            </w:pPr>
            <w:r>
              <w:rPr>
                <w:rStyle w:val="346"/>
                <w:b/>
                <w:bCs/>
                <w:sz w:val="21"/>
                <w:szCs w:val="21"/>
                <w:lang w:bidi="ar"/>
              </w:rPr>
              <w:t>《图书馆搬馆明细清单》</w:t>
            </w:r>
          </w:p>
          <w:tbl>
            <w:tblPr>
              <w:tblStyle w:val="45"/>
              <w:tblW w:w="8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9"/>
              <w:gridCol w:w="1500"/>
              <w:gridCol w:w="816"/>
              <w:gridCol w:w="864"/>
              <w:gridCol w:w="2832"/>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widowControl w:val="0"/>
                    <w:shd w:val="clear" w:color="auto" w:fill="auto"/>
                    <w:spacing w:line="240" w:lineRule="auto"/>
                    <w:jc w:val="center"/>
                    <w:rPr>
                      <w:szCs w:val="21"/>
                    </w:rPr>
                  </w:pPr>
                  <w:r>
                    <w:rPr>
                      <w:rFonts w:hint="eastAsia"/>
                      <w:szCs w:val="21"/>
                    </w:rPr>
                    <w:t>序号</w:t>
                  </w:r>
                </w:p>
              </w:tc>
              <w:tc>
                <w:tcPr>
                  <w:tcW w:w="1500" w:type="dxa"/>
                  <w:vAlign w:val="center"/>
                </w:tcPr>
                <w:p>
                  <w:pPr>
                    <w:widowControl w:val="0"/>
                    <w:shd w:val="clear" w:color="auto" w:fill="auto"/>
                    <w:spacing w:line="240" w:lineRule="auto"/>
                    <w:jc w:val="center"/>
                    <w:rPr>
                      <w:szCs w:val="21"/>
                    </w:rPr>
                  </w:pPr>
                  <w:r>
                    <w:rPr>
                      <w:rFonts w:hint="eastAsia"/>
                      <w:szCs w:val="21"/>
                    </w:rPr>
                    <w:t>物品名称</w:t>
                  </w:r>
                </w:p>
              </w:tc>
              <w:tc>
                <w:tcPr>
                  <w:tcW w:w="816" w:type="dxa"/>
                  <w:vAlign w:val="center"/>
                </w:tcPr>
                <w:p>
                  <w:pPr>
                    <w:widowControl w:val="0"/>
                    <w:shd w:val="clear" w:color="auto" w:fill="auto"/>
                    <w:spacing w:line="240" w:lineRule="auto"/>
                    <w:jc w:val="center"/>
                    <w:rPr>
                      <w:szCs w:val="21"/>
                    </w:rPr>
                  </w:pPr>
                  <w:r>
                    <w:rPr>
                      <w:rFonts w:hint="eastAsia"/>
                      <w:szCs w:val="21"/>
                    </w:rPr>
                    <w:t>单位</w:t>
                  </w:r>
                </w:p>
              </w:tc>
              <w:tc>
                <w:tcPr>
                  <w:tcW w:w="864" w:type="dxa"/>
                  <w:vAlign w:val="center"/>
                </w:tcPr>
                <w:p>
                  <w:pPr>
                    <w:widowControl w:val="0"/>
                    <w:shd w:val="clear" w:color="auto" w:fill="auto"/>
                    <w:spacing w:line="240" w:lineRule="auto"/>
                    <w:jc w:val="center"/>
                    <w:rPr>
                      <w:szCs w:val="21"/>
                    </w:rPr>
                  </w:pPr>
                  <w:r>
                    <w:rPr>
                      <w:rFonts w:hint="eastAsia"/>
                      <w:szCs w:val="21"/>
                    </w:rPr>
                    <w:t>数量</w:t>
                  </w:r>
                </w:p>
              </w:tc>
              <w:tc>
                <w:tcPr>
                  <w:tcW w:w="2832" w:type="dxa"/>
                  <w:vAlign w:val="center"/>
                </w:tcPr>
                <w:p>
                  <w:pPr>
                    <w:widowControl w:val="0"/>
                    <w:shd w:val="clear" w:color="auto" w:fill="auto"/>
                    <w:spacing w:line="240" w:lineRule="auto"/>
                    <w:jc w:val="center"/>
                    <w:rPr>
                      <w:szCs w:val="21"/>
                    </w:rPr>
                  </w:pPr>
                  <w:r>
                    <w:rPr>
                      <w:rFonts w:hint="eastAsia"/>
                      <w:szCs w:val="21"/>
                    </w:rPr>
                    <w:t>服务要求</w:t>
                  </w:r>
                </w:p>
              </w:tc>
              <w:tc>
                <w:tcPr>
                  <w:tcW w:w="1715" w:type="dxa"/>
                  <w:vAlign w:val="center"/>
                </w:tcPr>
                <w:p>
                  <w:pPr>
                    <w:widowControl w:val="0"/>
                    <w:shd w:val="clear" w:color="auto" w:fill="auto"/>
                    <w:spacing w:line="240" w:lineRule="auto"/>
                    <w:jc w:val="center"/>
                    <w:rPr>
                      <w:szCs w:val="21"/>
                    </w:rPr>
                  </w:pPr>
                  <w:r>
                    <w:rPr>
                      <w:rFonts w:hint="eastAsia"/>
                      <w:szCs w:val="21"/>
                    </w:rPr>
                    <w:t>放置位置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tcPr>
                <w:p>
                  <w:pPr>
                    <w:widowControl w:val="0"/>
                    <w:shd w:val="clear" w:color="auto" w:fill="auto"/>
                    <w:spacing w:line="240" w:lineRule="auto"/>
                    <w:jc w:val="center"/>
                    <w:rPr>
                      <w:szCs w:val="21"/>
                    </w:rPr>
                  </w:pPr>
                  <w:r>
                    <w:rPr>
                      <w:rFonts w:hint="eastAsia"/>
                      <w:szCs w:val="21"/>
                    </w:rPr>
                    <w:t>1</w:t>
                  </w:r>
                </w:p>
              </w:tc>
              <w:tc>
                <w:tcPr>
                  <w:tcW w:w="1500" w:type="dxa"/>
                </w:tcPr>
                <w:p>
                  <w:pPr>
                    <w:widowControl w:val="0"/>
                    <w:shd w:val="clear" w:color="auto" w:fill="auto"/>
                    <w:spacing w:line="240" w:lineRule="auto"/>
                    <w:jc w:val="center"/>
                    <w:rPr>
                      <w:szCs w:val="21"/>
                    </w:rPr>
                  </w:pPr>
                  <w:r>
                    <w:rPr>
                      <w:rFonts w:hint="eastAsia"/>
                      <w:szCs w:val="21"/>
                    </w:rPr>
                    <w:t>矮书架</w:t>
                  </w:r>
                </w:p>
              </w:tc>
              <w:tc>
                <w:tcPr>
                  <w:tcW w:w="816" w:type="dxa"/>
                </w:tcPr>
                <w:p>
                  <w:pPr>
                    <w:widowControl w:val="0"/>
                    <w:shd w:val="clear" w:color="auto" w:fill="auto"/>
                    <w:spacing w:line="240" w:lineRule="auto"/>
                    <w:jc w:val="center"/>
                    <w:rPr>
                      <w:szCs w:val="21"/>
                    </w:rPr>
                  </w:pPr>
                  <w:r>
                    <w:rPr>
                      <w:rFonts w:hint="eastAsia"/>
                      <w:szCs w:val="21"/>
                    </w:rPr>
                    <w:t>个</w:t>
                  </w:r>
                </w:p>
              </w:tc>
              <w:tc>
                <w:tcPr>
                  <w:tcW w:w="864" w:type="dxa"/>
                </w:tcPr>
                <w:p>
                  <w:pPr>
                    <w:widowControl w:val="0"/>
                    <w:shd w:val="clear" w:color="auto" w:fill="auto"/>
                    <w:spacing w:line="240" w:lineRule="auto"/>
                    <w:jc w:val="center"/>
                    <w:rPr>
                      <w:szCs w:val="21"/>
                    </w:rPr>
                  </w:pPr>
                  <w:r>
                    <w:rPr>
                      <w:rFonts w:hint="eastAsia"/>
                      <w:szCs w:val="21"/>
                    </w:rPr>
                    <w:t>59</w:t>
                  </w:r>
                </w:p>
              </w:tc>
              <w:tc>
                <w:tcPr>
                  <w:tcW w:w="2832" w:type="dxa"/>
                </w:tcPr>
                <w:p>
                  <w:pPr>
                    <w:widowControl w:val="0"/>
                    <w:shd w:val="clear" w:color="auto" w:fill="auto"/>
                    <w:spacing w:line="240" w:lineRule="auto"/>
                    <w:jc w:val="center"/>
                    <w:rPr>
                      <w:szCs w:val="21"/>
                    </w:rPr>
                  </w:pPr>
                  <w:r>
                    <w:rPr>
                      <w:rFonts w:hint="eastAsia"/>
                      <w:szCs w:val="21"/>
                    </w:rPr>
                    <w:t>拆装、打包、搬运、安放</w:t>
                  </w:r>
                </w:p>
              </w:tc>
              <w:tc>
                <w:tcPr>
                  <w:tcW w:w="1715" w:type="dxa"/>
                </w:tcPr>
                <w:p>
                  <w:pPr>
                    <w:widowControl w:val="0"/>
                    <w:shd w:val="clear" w:color="auto" w:fill="auto"/>
                    <w:spacing w:line="240" w:lineRule="auto"/>
                    <w:jc w:val="center"/>
                    <w:rPr>
                      <w:szCs w:val="21"/>
                    </w:rPr>
                  </w:pPr>
                  <w:r>
                    <w:rPr>
                      <w:rFonts w:hint="eastAsia"/>
                      <w:szCs w:val="21"/>
                    </w:rPr>
                    <w:t>光明少儿图书馆及其他采购人指定地点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tcPr>
                <w:p>
                  <w:pPr>
                    <w:widowControl w:val="0"/>
                    <w:shd w:val="clear" w:color="auto" w:fill="auto"/>
                    <w:spacing w:line="240" w:lineRule="auto"/>
                    <w:jc w:val="center"/>
                    <w:rPr>
                      <w:szCs w:val="21"/>
                    </w:rPr>
                  </w:pPr>
                  <w:r>
                    <w:rPr>
                      <w:rFonts w:hint="eastAsia"/>
                      <w:szCs w:val="21"/>
                    </w:rPr>
                    <w:t>2</w:t>
                  </w:r>
                </w:p>
              </w:tc>
              <w:tc>
                <w:tcPr>
                  <w:tcW w:w="1500" w:type="dxa"/>
                </w:tcPr>
                <w:p>
                  <w:pPr>
                    <w:widowControl w:val="0"/>
                    <w:shd w:val="clear" w:color="auto" w:fill="auto"/>
                    <w:spacing w:line="240" w:lineRule="auto"/>
                    <w:jc w:val="center"/>
                    <w:rPr>
                      <w:szCs w:val="21"/>
                    </w:rPr>
                  </w:pPr>
                  <w:r>
                    <w:rPr>
                      <w:rFonts w:hint="eastAsia"/>
                      <w:szCs w:val="21"/>
                    </w:rPr>
                    <w:t>卡通书架</w:t>
                  </w:r>
                </w:p>
              </w:tc>
              <w:tc>
                <w:tcPr>
                  <w:tcW w:w="816" w:type="dxa"/>
                </w:tcPr>
                <w:p>
                  <w:pPr>
                    <w:widowControl w:val="0"/>
                    <w:shd w:val="clear" w:color="auto" w:fill="auto"/>
                    <w:spacing w:line="240" w:lineRule="auto"/>
                    <w:jc w:val="center"/>
                    <w:rPr>
                      <w:szCs w:val="21"/>
                    </w:rPr>
                  </w:pPr>
                  <w:r>
                    <w:rPr>
                      <w:rFonts w:hint="eastAsia"/>
                      <w:szCs w:val="21"/>
                    </w:rPr>
                    <w:t>个</w:t>
                  </w:r>
                </w:p>
              </w:tc>
              <w:tc>
                <w:tcPr>
                  <w:tcW w:w="864" w:type="dxa"/>
                </w:tcPr>
                <w:p>
                  <w:pPr>
                    <w:widowControl w:val="0"/>
                    <w:shd w:val="clear" w:color="auto" w:fill="auto"/>
                    <w:spacing w:line="240" w:lineRule="auto"/>
                    <w:jc w:val="center"/>
                    <w:rPr>
                      <w:szCs w:val="21"/>
                    </w:rPr>
                  </w:pPr>
                  <w:r>
                    <w:rPr>
                      <w:rFonts w:hint="eastAsia"/>
                      <w:szCs w:val="21"/>
                    </w:rPr>
                    <w:t>2</w:t>
                  </w:r>
                </w:p>
              </w:tc>
              <w:tc>
                <w:tcPr>
                  <w:tcW w:w="2832" w:type="dxa"/>
                </w:tcPr>
                <w:p>
                  <w:pPr>
                    <w:widowControl w:val="0"/>
                    <w:shd w:val="clear" w:color="auto" w:fill="auto"/>
                    <w:spacing w:line="240" w:lineRule="auto"/>
                    <w:jc w:val="center"/>
                    <w:rPr>
                      <w:szCs w:val="21"/>
                    </w:rPr>
                  </w:pPr>
                  <w:r>
                    <w:rPr>
                      <w:rFonts w:hint="eastAsia"/>
                      <w:szCs w:val="21"/>
                    </w:rPr>
                    <w:t>拆装、打包、搬运、安放</w:t>
                  </w:r>
                </w:p>
              </w:tc>
              <w:tc>
                <w:tcPr>
                  <w:tcW w:w="1715" w:type="dxa"/>
                </w:tcPr>
                <w:p>
                  <w:pPr>
                    <w:widowControl w:val="0"/>
                    <w:shd w:val="clear" w:color="auto" w:fill="auto"/>
                    <w:spacing w:line="240" w:lineRule="auto"/>
                    <w:jc w:val="center"/>
                    <w:rPr>
                      <w:szCs w:val="21"/>
                    </w:rPr>
                  </w:pPr>
                  <w:r>
                    <w:rPr>
                      <w:rFonts w:hint="eastAsia"/>
                      <w:szCs w:val="21"/>
                    </w:rPr>
                    <w:t>光明少儿图书馆及其他采购人指定地点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99" w:type="dxa"/>
                </w:tcPr>
                <w:p>
                  <w:pPr>
                    <w:widowControl w:val="0"/>
                    <w:shd w:val="clear" w:color="auto" w:fill="auto"/>
                    <w:spacing w:line="240" w:lineRule="auto"/>
                    <w:jc w:val="center"/>
                    <w:rPr>
                      <w:szCs w:val="21"/>
                    </w:rPr>
                  </w:pPr>
                  <w:r>
                    <w:rPr>
                      <w:rFonts w:hint="eastAsia"/>
                      <w:szCs w:val="21"/>
                    </w:rPr>
                    <w:t>3</w:t>
                  </w:r>
                </w:p>
              </w:tc>
              <w:tc>
                <w:tcPr>
                  <w:tcW w:w="1500" w:type="dxa"/>
                </w:tcPr>
                <w:p>
                  <w:pPr>
                    <w:widowControl w:val="0"/>
                    <w:shd w:val="clear" w:color="auto" w:fill="auto"/>
                    <w:spacing w:line="240" w:lineRule="auto"/>
                    <w:jc w:val="center"/>
                    <w:rPr>
                      <w:szCs w:val="21"/>
                    </w:rPr>
                  </w:pPr>
                  <w:r>
                    <w:rPr>
                      <w:rFonts w:hint="eastAsia"/>
                      <w:szCs w:val="21"/>
                    </w:rPr>
                    <w:t>八层挂报架</w:t>
                  </w:r>
                </w:p>
              </w:tc>
              <w:tc>
                <w:tcPr>
                  <w:tcW w:w="816" w:type="dxa"/>
                </w:tcPr>
                <w:p>
                  <w:pPr>
                    <w:widowControl w:val="0"/>
                    <w:shd w:val="clear" w:color="auto" w:fill="auto"/>
                    <w:spacing w:line="240" w:lineRule="auto"/>
                    <w:jc w:val="center"/>
                    <w:rPr>
                      <w:szCs w:val="21"/>
                    </w:rPr>
                  </w:pPr>
                  <w:r>
                    <w:rPr>
                      <w:rFonts w:hint="eastAsia"/>
                      <w:szCs w:val="21"/>
                    </w:rPr>
                    <w:t>个</w:t>
                  </w:r>
                </w:p>
              </w:tc>
              <w:tc>
                <w:tcPr>
                  <w:tcW w:w="864" w:type="dxa"/>
                </w:tcPr>
                <w:p>
                  <w:pPr>
                    <w:widowControl w:val="0"/>
                    <w:shd w:val="clear" w:color="auto" w:fill="auto"/>
                    <w:spacing w:line="240" w:lineRule="auto"/>
                    <w:jc w:val="center"/>
                    <w:rPr>
                      <w:szCs w:val="21"/>
                    </w:rPr>
                  </w:pPr>
                  <w:r>
                    <w:rPr>
                      <w:rFonts w:hint="eastAsia"/>
                      <w:szCs w:val="21"/>
                    </w:rPr>
                    <w:t>10</w:t>
                  </w:r>
                </w:p>
              </w:tc>
              <w:tc>
                <w:tcPr>
                  <w:tcW w:w="2832" w:type="dxa"/>
                </w:tcPr>
                <w:p>
                  <w:pPr>
                    <w:widowControl w:val="0"/>
                    <w:shd w:val="clear" w:color="auto" w:fill="auto"/>
                    <w:spacing w:line="240" w:lineRule="auto"/>
                    <w:jc w:val="center"/>
                    <w:rPr>
                      <w:szCs w:val="21"/>
                    </w:rPr>
                  </w:pPr>
                  <w:r>
                    <w:rPr>
                      <w:rFonts w:hint="eastAsia"/>
                      <w:szCs w:val="21"/>
                    </w:rPr>
                    <w:t>拆装、打包、搬运、安放</w:t>
                  </w:r>
                </w:p>
              </w:tc>
              <w:tc>
                <w:tcPr>
                  <w:tcW w:w="1715" w:type="dxa"/>
                </w:tcPr>
                <w:p>
                  <w:pPr>
                    <w:widowControl w:val="0"/>
                    <w:shd w:val="clear" w:color="auto" w:fill="auto"/>
                    <w:spacing w:line="240" w:lineRule="auto"/>
                    <w:jc w:val="center"/>
                    <w:rPr>
                      <w:szCs w:val="21"/>
                    </w:rPr>
                  </w:pPr>
                  <w:r>
                    <w:rPr>
                      <w:rFonts w:hint="eastAsia"/>
                      <w:szCs w:val="21"/>
                    </w:rPr>
                    <w:t>光明少儿图书馆及其他采购人指定地点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tcPr>
                <w:p>
                  <w:pPr>
                    <w:widowControl w:val="0"/>
                    <w:shd w:val="clear" w:color="auto" w:fill="auto"/>
                    <w:spacing w:line="240" w:lineRule="auto"/>
                    <w:jc w:val="center"/>
                    <w:rPr>
                      <w:szCs w:val="21"/>
                    </w:rPr>
                  </w:pPr>
                  <w:r>
                    <w:rPr>
                      <w:rFonts w:hint="eastAsia"/>
                      <w:szCs w:val="21"/>
                    </w:rPr>
                    <w:t>4</w:t>
                  </w:r>
                </w:p>
              </w:tc>
              <w:tc>
                <w:tcPr>
                  <w:tcW w:w="1500" w:type="dxa"/>
                </w:tcPr>
                <w:p>
                  <w:pPr>
                    <w:widowControl w:val="0"/>
                    <w:shd w:val="clear" w:color="auto" w:fill="auto"/>
                    <w:spacing w:line="240" w:lineRule="auto"/>
                    <w:jc w:val="center"/>
                    <w:rPr>
                      <w:szCs w:val="21"/>
                    </w:rPr>
                  </w:pPr>
                  <w:r>
                    <w:rPr>
                      <w:rFonts w:hint="eastAsia"/>
                      <w:szCs w:val="21"/>
                    </w:rPr>
                    <w:t>五联密集书架</w:t>
                  </w:r>
                </w:p>
              </w:tc>
              <w:tc>
                <w:tcPr>
                  <w:tcW w:w="816" w:type="dxa"/>
                </w:tcPr>
                <w:p>
                  <w:pPr>
                    <w:widowControl w:val="0"/>
                    <w:shd w:val="clear" w:color="auto" w:fill="auto"/>
                    <w:spacing w:line="240" w:lineRule="auto"/>
                    <w:jc w:val="center"/>
                    <w:rPr>
                      <w:szCs w:val="21"/>
                    </w:rPr>
                  </w:pPr>
                  <w:r>
                    <w:rPr>
                      <w:rFonts w:hint="eastAsia"/>
                      <w:szCs w:val="21"/>
                    </w:rPr>
                    <w:t>个</w:t>
                  </w:r>
                </w:p>
              </w:tc>
              <w:tc>
                <w:tcPr>
                  <w:tcW w:w="864" w:type="dxa"/>
                </w:tcPr>
                <w:p>
                  <w:pPr>
                    <w:widowControl w:val="0"/>
                    <w:shd w:val="clear" w:color="auto" w:fill="auto"/>
                    <w:spacing w:line="240" w:lineRule="auto"/>
                    <w:jc w:val="center"/>
                    <w:rPr>
                      <w:szCs w:val="21"/>
                    </w:rPr>
                  </w:pPr>
                  <w:r>
                    <w:rPr>
                      <w:rFonts w:hint="eastAsia"/>
                      <w:szCs w:val="21"/>
                    </w:rPr>
                    <w:t>95</w:t>
                  </w:r>
                </w:p>
              </w:tc>
              <w:tc>
                <w:tcPr>
                  <w:tcW w:w="2832" w:type="dxa"/>
                </w:tcPr>
                <w:p>
                  <w:pPr>
                    <w:widowControl w:val="0"/>
                    <w:shd w:val="clear" w:color="auto" w:fill="auto"/>
                    <w:spacing w:line="240" w:lineRule="auto"/>
                    <w:jc w:val="center"/>
                    <w:rPr>
                      <w:szCs w:val="21"/>
                    </w:rPr>
                  </w:pPr>
                  <w:r>
                    <w:rPr>
                      <w:rFonts w:hint="eastAsia"/>
                      <w:szCs w:val="21"/>
                    </w:rPr>
                    <w:t>拆装、打包、搬运、安放</w:t>
                  </w:r>
                </w:p>
              </w:tc>
              <w:tc>
                <w:tcPr>
                  <w:tcW w:w="1715" w:type="dxa"/>
                </w:tcPr>
                <w:p>
                  <w:pPr>
                    <w:widowControl w:val="0"/>
                    <w:shd w:val="clear" w:color="auto" w:fill="auto"/>
                    <w:spacing w:line="240" w:lineRule="auto"/>
                    <w:jc w:val="center"/>
                    <w:rPr>
                      <w:szCs w:val="21"/>
                    </w:rPr>
                  </w:pPr>
                  <w:r>
                    <w:rPr>
                      <w:rFonts w:hint="eastAsia"/>
                      <w:szCs w:val="21"/>
                    </w:rPr>
                    <w:t>光明少儿图书馆及其他采购人指定地点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tcPr>
                <w:p>
                  <w:pPr>
                    <w:widowControl w:val="0"/>
                    <w:shd w:val="clear" w:color="auto" w:fill="auto"/>
                    <w:spacing w:line="240" w:lineRule="auto"/>
                    <w:jc w:val="center"/>
                    <w:rPr>
                      <w:szCs w:val="21"/>
                    </w:rPr>
                  </w:pPr>
                  <w:r>
                    <w:rPr>
                      <w:rFonts w:hint="eastAsia"/>
                      <w:szCs w:val="21"/>
                    </w:rPr>
                    <w:t>5</w:t>
                  </w:r>
                </w:p>
              </w:tc>
              <w:tc>
                <w:tcPr>
                  <w:tcW w:w="1500" w:type="dxa"/>
                </w:tcPr>
                <w:p>
                  <w:pPr>
                    <w:widowControl w:val="0"/>
                    <w:shd w:val="clear" w:color="auto" w:fill="auto"/>
                    <w:spacing w:line="240" w:lineRule="auto"/>
                    <w:jc w:val="center"/>
                    <w:rPr>
                      <w:szCs w:val="21"/>
                    </w:rPr>
                  </w:pPr>
                  <w:r>
                    <w:rPr>
                      <w:rFonts w:hint="eastAsia"/>
                      <w:szCs w:val="21"/>
                    </w:rPr>
                    <w:t>六层书架</w:t>
                  </w:r>
                </w:p>
              </w:tc>
              <w:tc>
                <w:tcPr>
                  <w:tcW w:w="816" w:type="dxa"/>
                </w:tcPr>
                <w:p>
                  <w:pPr>
                    <w:widowControl w:val="0"/>
                    <w:shd w:val="clear" w:color="auto" w:fill="auto"/>
                    <w:spacing w:line="240" w:lineRule="auto"/>
                    <w:jc w:val="center"/>
                    <w:rPr>
                      <w:szCs w:val="21"/>
                    </w:rPr>
                  </w:pPr>
                  <w:r>
                    <w:rPr>
                      <w:rFonts w:hint="eastAsia"/>
                      <w:szCs w:val="21"/>
                    </w:rPr>
                    <w:t>个</w:t>
                  </w:r>
                </w:p>
              </w:tc>
              <w:tc>
                <w:tcPr>
                  <w:tcW w:w="864" w:type="dxa"/>
                </w:tcPr>
                <w:p>
                  <w:pPr>
                    <w:widowControl w:val="0"/>
                    <w:shd w:val="clear" w:color="auto" w:fill="auto"/>
                    <w:spacing w:line="240" w:lineRule="auto"/>
                    <w:jc w:val="center"/>
                    <w:rPr>
                      <w:szCs w:val="21"/>
                    </w:rPr>
                  </w:pPr>
                  <w:r>
                    <w:rPr>
                      <w:rFonts w:hint="eastAsia"/>
                      <w:szCs w:val="21"/>
                    </w:rPr>
                    <w:t>35</w:t>
                  </w:r>
                </w:p>
              </w:tc>
              <w:tc>
                <w:tcPr>
                  <w:tcW w:w="2832" w:type="dxa"/>
                </w:tcPr>
                <w:p>
                  <w:pPr>
                    <w:widowControl w:val="0"/>
                    <w:shd w:val="clear" w:color="auto" w:fill="auto"/>
                    <w:spacing w:line="240" w:lineRule="auto"/>
                    <w:jc w:val="center"/>
                    <w:rPr>
                      <w:szCs w:val="21"/>
                    </w:rPr>
                  </w:pPr>
                  <w:r>
                    <w:rPr>
                      <w:rFonts w:hint="eastAsia"/>
                      <w:szCs w:val="21"/>
                    </w:rPr>
                    <w:t>拆装、打包、搬运、安放</w:t>
                  </w:r>
                </w:p>
              </w:tc>
              <w:tc>
                <w:tcPr>
                  <w:tcW w:w="1715" w:type="dxa"/>
                </w:tcPr>
                <w:p>
                  <w:pPr>
                    <w:widowControl w:val="0"/>
                    <w:shd w:val="clear" w:color="auto" w:fill="auto"/>
                    <w:spacing w:line="240" w:lineRule="auto"/>
                    <w:jc w:val="center"/>
                    <w:rPr>
                      <w:szCs w:val="21"/>
                    </w:rPr>
                  </w:pPr>
                  <w:r>
                    <w:rPr>
                      <w:rFonts w:hint="eastAsia"/>
                      <w:szCs w:val="21"/>
                    </w:rPr>
                    <w:t>光明少儿图书馆及其他采购人指定地点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tcPr>
                <w:p>
                  <w:pPr>
                    <w:widowControl w:val="0"/>
                    <w:shd w:val="clear" w:color="auto" w:fill="auto"/>
                    <w:spacing w:line="240" w:lineRule="auto"/>
                    <w:jc w:val="center"/>
                    <w:rPr>
                      <w:szCs w:val="21"/>
                    </w:rPr>
                  </w:pPr>
                  <w:r>
                    <w:rPr>
                      <w:rFonts w:hint="eastAsia"/>
                      <w:szCs w:val="21"/>
                    </w:rPr>
                    <w:t>6</w:t>
                  </w:r>
                </w:p>
              </w:tc>
              <w:tc>
                <w:tcPr>
                  <w:tcW w:w="1500" w:type="dxa"/>
                </w:tcPr>
                <w:p>
                  <w:pPr>
                    <w:widowControl w:val="0"/>
                    <w:shd w:val="clear" w:color="auto" w:fill="auto"/>
                    <w:spacing w:line="240" w:lineRule="auto"/>
                    <w:jc w:val="center"/>
                    <w:rPr>
                      <w:szCs w:val="21"/>
                    </w:rPr>
                  </w:pPr>
                  <w:r>
                    <w:rPr>
                      <w:rFonts w:hint="eastAsia"/>
                      <w:szCs w:val="21"/>
                    </w:rPr>
                    <w:t>七层书架</w:t>
                  </w:r>
                </w:p>
              </w:tc>
              <w:tc>
                <w:tcPr>
                  <w:tcW w:w="816" w:type="dxa"/>
                </w:tcPr>
                <w:p>
                  <w:pPr>
                    <w:widowControl w:val="0"/>
                    <w:shd w:val="clear" w:color="auto" w:fill="auto"/>
                    <w:spacing w:line="240" w:lineRule="auto"/>
                    <w:jc w:val="center"/>
                    <w:rPr>
                      <w:szCs w:val="21"/>
                    </w:rPr>
                  </w:pPr>
                  <w:r>
                    <w:rPr>
                      <w:rFonts w:hint="eastAsia"/>
                      <w:szCs w:val="21"/>
                    </w:rPr>
                    <w:t>个</w:t>
                  </w:r>
                </w:p>
              </w:tc>
              <w:tc>
                <w:tcPr>
                  <w:tcW w:w="864" w:type="dxa"/>
                </w:tcPr>
                <w:p>
                  <w:pPr>
                    <w:widowControl w:val="0"/>
                    <w:shd w:val="clear" w:color="auto" w:fill="auto"/>
                    <w:spacing w:line="240" w:lineRule="auto"/>
                    <w:jc w:val="center"/>
                    <w:rPr>
                      <w:szCs w:val="21"/>
                    </w:rPr>
                  </w:pPr>
                  <w:r>
                    <w:rPr>
                      <w:rFonts w:hint="eastAsia"/>
                      <w:szCs w:val="21"/>
                    </w:rPr>
                    <w:t>48</w:t>
                  </w:r>
                </w:p>
              </w:tc>
              <w:tc>
                <w:tcPr>
                  <w:tcW w:w="2832" w:type="dxa"/>
                </w:tcPr>
                <w:p>
                  <w:pPr>
                    <w:widowControl w:val="0"/>
                    <w:shd w:val="clear" w:color="auto" w:fill="auto"/>
                    <w:spacing w:line="240" w:lineRule="auto"/>
                    <w:jc w:val="center"/>
                    <w:rPr>
                      <w:szCs w:val="21"/>
                    </w:rPr>
                  </w:pPr>
                  <w:r>
                    <w:rPr>
                      <w:rFonts w:hint="eastAsia"/>
                      <w:szCs w:val="21"/>
                    </w:rPr>
                    <w:t>拆装、打包、搬运、安放</w:t>
                  </w:r>
                </w:p>
              </w:tc>
              <w:tc>
                <w:tcPr>
                  <w:tcW w:w="1715" w:type="dxa"/>
                </w:tcPr>
                <w:p>
                  <w:pPr>
                    <w:widowControl w:val="0"/>
                    <w:shd w:val="clear" w:color="auto" w:fill="auto"/>
                    <w:spacing w:line="240" w:lineRule="auto"/>
                    <w:jc w:val="center"/>
                    <w:rPr>
                      <w:szCs w:val="21"/>
                    </w:rPr>
                  </w:pPr>
                  <w:r>
                    <w:rPr>
                      <w:rFonts w:hint="eastAsia"/>
                      <w:szCs w:val="21"/>
                    </w:rPr>
                    <w:t>光明少儿图书馆及其他采购人指定地点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tcPr>
                <w:p>
                  <w:pPr>
                    <w:widowControl w:val="0"/>
                    <w:shd w:val="clear" w:color="auto" w:fill="auto"/>
                    <w:spacing w:line="240" w:lineRule="auto"/>
                    <w:jc w:val="center"/>
                    <w:rPr>
                      <w:szCs w:val="21"/>
                    </w:rPr>
                  </w:pPr>
                  <w:r>
                    <w:rPr>
                      <w:rFonts w:hint="eastAsia"/>
                      <w:szCs w:val="21"/>
                    </w:rPr>
                    <w:t>7</w:t>
                  </w:r>
                </w:p>
              </w:tc>
              <w:tc>
                <w:tcPr>
                  <w:tcW w:w="1500" w:type="dxa"/>
                </w:tcPr>
                <w:p>
                  <w:pPr>
                    <w:widowControl w:val="0"/>
                    <w:shd w:val="clear" w:color="auto" w:fill="auto"/>
                    <w:spacing w:line="240" w:lineRule="auto"/>
                    <w:jc w:val="center"/>
                    <w:rPr>
                      <w:szCs w:val="21"/>
                    </w:rPr>
                  </w:pPr>
                  <w:r>
                    <w:rPr>
                      <w:rFonts w:hint="eastAsia"/>
                      <w:szCs w:val="21"/>
                    </w:rPr>
                    <w:t>五层书架</w:t>
                  </w:r>
                </w:p>
              </w:tc>
              <w:tc>
                <w:tcPr>
                  <w:tcW w:w="816" w:type="dxa"/>
                </w:tcPr>
                <w:p>
                  <w:pPr>
                    <w:widowControl w:val="0"/>
                    <w:shd w:val="clear" w:color="auto" w:fill="auto"/>
                    <w:spacing w:line="240" w:lineRule="auto"/>
                    <w:jc w:val="center"/>
                    <w:rPr>
                      <w:szCs w:val="21"/>
                    </w:rPr>
                  </w:pPr>
                  <w:r>
                    <w:rPr>
                      <w:rFonts w:hint="eastAsia"/>
                      <w:szCs w:val="21"/>
                    </w:rPr>
                    <w:t>个</w:t>
                  </w:r>
                </w:p>
              </w:tc>
              <w:tc>
                <w:tcPr>
                  <w:tcW w:w="864" w:type="dxa"/>
                </w:tcPr>
                <w:p>
                  <w:pPr>
                    <w:widowControl w:val="0"/>
                    <w:shd w:val="clear" w:color="auto" w:fill="auto"/>
                    <w:spacing w:line="240" w:lineRule="auto"/>
                    <w:jc w:val="center"/>
                    <w:rPr>
                      <w:szCs w:val="21"/>
                    </w:rPr>
                  </w:pPr>
                  <w:r>
                    <w:rPr>
                      <w:rFonts w:hint="eastAsia"/>
                      <w:szCs w:val="21"/>
                    </w:rPr>
                    <w:t>28</w:t>
                  </w:r>
                </w:p>
              </w:tc>
              <w:tc>
                <w:tcPr>
                  <w:tcW w:w="2832" w:type="dxa"/>
                </w:tcPr>
                <w:p>
                  <w:pPr>
                    <w:widowControl w:val="0"/>
                    <w:shd w:val="clear" w:color="auto" w:fill="auto"/>
                    <w:spacing w:line="240" w:lineRule="auto"/>
                    <w:jc w:val="center"/>
                    <w:rPr>
                      <w:szCs w:val="21"/>
                    </w:rPr>
                  </w:pPr>
                  <w:r>
                    <w:rPr>
                      <w:rFonts w:hint="eastAsia"/>
                      <w:szCs w:val="21"/>
                    </w:rPr>
                    <w:t>拆装、打包、搬运、安放</w:t>
                  </w:r>
                </w:p>
              </w:tc>
              <w:tc>
                <w:tcPr>
                  <w:tcW w:w="1715" w:type="dxa"/>
                </w:tcPr>
                <w:p>
                  <w:pPr>
                    <w:widowControl w:val="0"/>
                    <w:shd w:val="clear" w:color="auto" w:fill="auto"/>
                    <w:spacing w:line="240" w:lineRule="auto"/>
                    <w:jc w:val="center"/>
                    <w:rPr>
                      <w:szCs w:val="21"/>
                    </w:rPr>
                  </w:pPr>
                  <w:r>
                    <w:rPr>
                      <w:rFonts w:hint="eastAsia"/>
                      <w:szCs w:val="21"/>
                    </w:rPr>
                    <w:t>光明少儿图书馆及其他采购人指定地点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tcPr>
                <w:p>
                  <w:pPr>
                    <w:widowControl w:val="0"/>
                    <w:shd w:val="clear" w:color="auto" w:fill="auto"/>
                    <w:spacing w:line="240" w:lineRule="auto"/>
                    <w:jc w:val="center"/>
                    <w:rPr>
                      <w:szCs w:val="21"/>
                    </w:rPr>
                  </w:pPr>
                  <w:r>
                    <w:rPr>
                      <w:rFonts w:hint="eastAsia"/>
                      <w:szCs w:val="21"/>
                    </w:rPr>
                    <w:t>8</w:t>
                  </w:r>
                </w:p>
              </w:tc>
              <w:tc>
                <w:tcPr>
                  <w:tcW w:w="1500" w:type="dxa"/>
                </w:tcPr>
                <w:p>
                  <w:pPr>
                    <w:widowControl w:val="0"/>
                    <w:shd w:val="clear" w:color="auto" w:fill="auto"/>
                    <w:spacing w:line="240" w:lineRule="auto"/>
                    <w:jc w:val="center"/>
                    <w:rPr>
                      <w:szCs w:val="21"/>
                    </w:rPr>
                  </w:pPr>
                  <w:r>
                    <w:rPr>
                      <w:rFonts w:hint="eastAsia"/>
                      <w:szCs w:val="21"/>
                    </w:rPr>
                    <w:t>实木书架</w:t>
                  </w:r>
                </w:p>
              </w:tc>
              <w:tc>
                <w:tcPr>
                  <w:tcW w:w="816" w:type="dxa"/>
                </w:tcPr>
                <w:p>
                  <w:pPr>
                    <w:widowControl w:val="0"/>
                    <w:shd w:val="clear" w:color="auto" w:fill="auto"/>
                    <w:spacing w:line="240" w:lineRule="auto"/>
                    <w:jc w:val="center"/>
                    <w:rPr>
                      <w:szCs w:val="21"/>
                    </w:rPr>
                  </w:pPr>
                  <w:r>
                    <w:rPr>
                      <w:rFonts w:hint="eastAsia"/>
                      <w:szCs w:val="21"/>
                    </w:rPr>
                    <w:t>个</w:t>
                  </w:r>
                </w:p>
              </w:tc>
              <w:tc>
                <w:tcPr>
                  <w:tcW w:w="864" w:type="dxa"/>
                </w:tcPr>
                <w:p>
                  <w:pPr>
                    <w:widowControl w:val="0"/>
                    <w:shd w:val="clear" w:color="auto" w:fill="auto"/>
                    <w:spacing w:line="240" w:lineRule="auto"/>
                    <w:jc w:val="center"/>
                    <w:rPr>
                      <w:szCs w:val="21"/>
                    </w:rPr>
                  </w:pPr>
                  <w:r>
                    <w:rPr>
                      <w:rFonts w:hint="eastAsia"/>
                      <w:szCs w:val="21"/>
                    </w:rPr>
                    <w:t>69</w:t>
                  </w:r>
                </w:p>
              </w:tc>
              <w:tc>
                <w:tcPr>
                  <w:tcW w:w="2832" w:type="dxa"/>
                </w:tcPr>
                <w:p>
                  <w:pPr>
                    <w:widowControl w:val="0"/>
                    <w:shd w:val="clear" w:color="auto" w:fill="auto"/>
                    <w:spacing w:line="240" w:lineRule="auto"/>
                    <w:jc w:val="center"/>
                    <w:rPr>
                      <w:szCs w:val="21"/>
                    </w:rPr>
                  </w:pPr>
                  <w:r>
                    <w:rPr>
                      <w:rFonts w:hint="eastAsia"/>
                      <w:szCs w:val="21"/>
                    </w:rPr>
                    <w:t>拆装、打包、搬运、安放</w:t>
                  </w:r>
                </w:p>
              </w:tc>
              <w:tc>
                <w:tcPr>
                  <w:tcW w:w="1715" w:type="dxa"/>
                </w:tcPr>
                <w:p>
                  <w:pPr>
                    <w:widowControl w:val="0"/>
                    <w:shd w:val="clear" w:color="auto" w:fill="auto"/>
                    <w:spacing w:line="240" w:lineRule="auto"/>
                    <w:jc w:val="center"/>
                    <w:rPr>
                      <w:szCs w:val="21"/>
                    </w:rPr>
                  </w:pPr>
                  <w:r>
                    <w:rPr>
                      <w:rFonts w:hint="eastAsia"/>
                      <w:szCs w:val="21"/>
                    </w:rPr>
                    <w:t>光明少儿图书馆及其他采购人指定地点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tcPr>
                <w:p>
                  <w:pPr>
                    <w:widowControl w:val="0"/>
                    <w:shd w:val="clear" w:color="auto" w:fill="auto"/>
                    <w:spacing w:line="240" w:lineRule="auto"/>
                    <w:jc w:val="center"/>
                    <w:rPr>
                      <w:szCs w:val="21"/>
                    </w:rPr>
                  </w:pPr>
                  <w:r>
                    <w:rPr>
                      <w:rFonts w:hint="eastAsia"/>
                      <w:szCs w:val="21"/>
                    </w:rPr>
                    <w:t>9</w:t>
                  </w:r>
                </w:p>
              </w:tc>
              <w:tc>
                <w:tcPr>
                  <w:tcW w:w="1500" w:type="dxa"/>
                </w:tcPr>
                <w:p>
                  <w:pPr>
                    <w:widowControl w:val="0"/>
                    <w:shd w:val="clear" w:color="auto" w:fill="auto"/>
                    <w:spacing w:line="240" w:lineRule="auto"/>
                    <w:jc w:val="center"/>
                    <w:rPr>
                      <w:szCs w:val="21"/>
                    </w:rPr>
                  </w:pPr>
                  <w:r>
                    <w:rPr>
                      <w:rFonts w:hint="eastAsia"/>
                      <w:szCs w:val="21"/>
                    </w:rPr>
                    <w:t>壁柜</w:t>
                  </w:r>
                </w:p>
              </w:tc>
              <w:tc>
                <w:tcPr>
                  <w:tcW w:w="816" w:type="dxa"/>
                </w:tcPr>
                <w:p>
                  <w:pPr>
                    <w:widowControl w:val="0"/>
                    <w:shd w:val="clear" w:color="auto" w:fill="auto"/>
                    <w:spacing w:line="240" w:lineRule="auto"/>
                    <w:jc w:val="center"/>
                    <w:rPr>
                      <w:szCs w:val="21"/>
                    </w:rPr>
                  </w:pPr>
                  <w:r>
                    <w:rPr>
                      <w:rFonts w:hint="eastAsia"/>
                      <w:szCs w:val="21"/>
                    </w:rPr>
                    <w:t>个</w:t>
                  </w:r>
                </w:p>
              </w:tc>
              <w:tc>
                <w:tcPr>
                  <w:tcW w:w="864" w:type="dxa"/>
                </w:tcPr>
                <w:p>
                  <w:pPr>
                    <w:widowControl w:val="0"/>
                    <w:shd w:val="clear" w:color="auto" w:fill="auto"/>
                    <w:spacing w:line="240" w:lineRule="auto"/>
                    <w:jc w:val="center"/>
                    <w:rPr>
                      <w:szCs w:val="21"/>
                    </w:rPr>
                  </w:pPr>
                  <w:r>
                    <w:rPr>
                      <w:rFonts w:hint="eastAsia"/>
                      <w:szCs w:val="21"/>
                    </w:rPr>
                    <w:t>5</w:t>
                  </w:r>
                </w:p>
              </w:tc>
              <w:tc>
                <w:tcPr>
                  <w:tcW w:w="2832" w:type="dxa"/>
                </w:tcPr>
                <w:p>
                  <w:pPr>
                    <w:widowControl w:val="0"/>
                    <w:shd w:val="clear" w:color="auto" w:fill="auto"/>
                    <w:spacing w:line="240" w:lineRule="auto"/>
                    <w:jc w:val="center"/>
                    <w:rPr>
                      <w:szCs w:val="21"/>
                    </w:rPr>
                  </w:pPr>
                  <w:r>
                    <w:rPr>
                      <w:rFonts w:hint="eastAsia"/>
                      <w:szCs w:val="21"/>
                    </w:rPr>
                    <w:t>拆装、打包、搬运、安放</w:t>
                  </w:r>
                </w:p>
              </w:tc>
              <w:tc>
                <w:tcPr>
                  <w:tcW w:w="1715" w:type="dxa"/>
                </w:tcPr>
                <w:p>
                  <w:pPr>
                    <w:widowControl w:val="0"/>
                    <w:shd w:val="clear" w:color="auto" w:fill="auto"/>
                    <w:spacing w:line="240" w:lineRule="auto"/>
                    <w:jc w:val="center"/>
                    <w:rPr>
                      <w:szCs w:val="21"/>
                    </w:rPr>
                  </w:pPr>
                  <w:r>
                    <w:rPr>
                      <w:rFonts w:hint="eastAsia"/>
                      <w:szCs w:val="21"/>
                    </w:rPr>
                    <w:t>光明少儿图书馆及其他采购人指定地点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tcPr>
                <w:p>
                  <w:pPr>
                    <w:widowControl w:val="0"/>
                    <w:shd w:val="clear" w:color="auto" w:fill="auto"/>
                    <w:spacing w:line="240" w:lineRule="auto"/>
                    <w:jc w:val="center"/>
                    <w:rPr>
                      <w:szCs w:val="21"/>
                    </w:rPr>
                  </w:pPr>
                  <w:r>
                    <w:rPr>
                      <w:rFonts w:hint="eastAsia"/>
                      <w:szCs w:val="21"/>
                    </w:rPr>
                    <w:t>10</w:t>
                  </w:r>
                </w:p>
              </w:tc>
              <w:tc>
                <w:tcPr>
                  <w:tcW w:w="1500" w:type="dxa"/>
                </w:tcPr>
                <w:p>
                  <w:pPr>
                    <w:widowControl w:val="0"/>
                    <w:shd w:val="clear" w:color="auto" w:fill="auto"/>
                    <w:spacing w:line="240" w:lineRule="auto"/>
                    <w:jc w:val="center"/>
                    <w:rPr>
                      <w:szCs w:val="21"/>
                    </w:rPr>
                  </w:pPr>
                  <w:r>
                    <w:rPr>
                      <w:rFonts w:hint="eastAsia"/>
                      <w:szCs w:val="21"/>
                    </w:rPr>
                    <w:t>书柜</w:t>
                  </w:r>
                </w:p>
              </w:tc>
              <w:tc>
                <w:tcPr>
                  <w:tcW w:w="816" w:type="dxa"/>
                </w:tcPr>
                <w:p>
                  <w:pPr>
                    <w:widowControl w:val="0"/>
                    <w:shd w:val="clear" w:color="auto" w:fill="auto"/>
                    <w:spacing w:line="240" w:lineRule="auto"/>
                    <w:jc w:val="center"/>
                    <w:rPr>
                      <w:szCs w:val="21"/>
                    </w:rPr>
                  </w:pPr>
                  <w:r>
                    <w:rPr>
                      <w:rFonts w:hint="eastAsia"/>
                      <w:szCs w:val="21"/>
                    </w:rPr>
                    <w:t>个</w:t>
                  </w:r>
                </w:p>
              </w:tc>
              <w:tc>
                <w:tcPr>
                  <w:tcW w:w="864" w:type="dxa"/>
                </w:tcPr>
                <w:p>
                  <w:pPr>
                    <w:widowControl w:val="0"/>
                    <w:shd w:val="clear" w:color="auto" w:fill="auto"/>
                    <w:spacing w:line="240" w:lineRule="auto"/>
                    <w:jc w:val="center"/>
                    <w:rPr>
                      <w:szCs w:val="21"/>
                    </w:rPr>
                  </w:pPr>
                  <w:r>
                    <w:rPr>
                      <w:rFonts w:hint="eastAsia"/>
                      <w:szCs w:val="21"/>
                    </w:rPr>
                    <w:t>43</w:t>
                  </w:r>
                </w:p>
              </w:tc>
              <w:tc>
                <w:tcPr>
                  <w:tcW w:w="2832" w:type="dxa"/>
                </w:tcPr>
                <w:p>
                  <w:pPr>
                    <w:widowControl w:val="0"/>
                    <w:shd w:val="clear" w:color="auto" w:fill="auto"/>
                    <w:spacing w:line="240" w:lineRule="auto"/>
                    <w:jc w:val="center"/>
                    <w:rPr>
                      <w:szCs w:val="21"/>
                    </w:rPr>
                  </w:pPr>
                  <w:r>
                    <w:rPr>
                      <w:rFonts w:hint="eastAsia"/>
                      <w:szCs w:val="21"/>
                    </w:rPr>
                    <w:t>拆装、打包、搬运、安放</w:t>
                  </w:r>
                </w:p>
              </w:tc>
              <w:tc>
                <w:tcPr>
                  <w:tcW w:w="1715" w:type="dxa"/>
                </w:tcPr>
                <w:p>
                  <w:pPr>
                    <w:widowControl w:val="0"/>
                    <w:shd w:val="clear" w:color="auto" w:fill="auto"/>
                    <w:spacing w:line="240" w:lineRule="auto"/>
                    <w:jc w:val="center"/>
                    <w:rPr>
                      <w:szCs w:val="21"/>
                    </w:rPr>
                  </w:pPr>
                  <w:r>
                    <w:rPr>
                      <w:rFonts w:hint="eastAsia"/>
                      <w:szCs w:val="21"/>
                    </w:rPr>
                    <w:t>光明少儿图书馆及其他采购人指定地点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tcPr>
                <w:p>
                  <w:pPr>
                    <w:widowControl w:val="0"/>
                    <w:shd w:val="clear" w:color="auto" w:fill="auto"/>
                    <w:spacing w:line="240" w:lineRule="auto"/>
                    <w:jc w:val="center"/>
                    <w:rPr>
                      <w:szCs w:val="21"/>
                    </w:rPr>
                  </w:pPr>
                  <w:r>
                    <w:rPr>
                      <w:rFonts w:hint="eastAsia"/>
                      <w:szCs w:val="21"/>
                    </w:rPr>
                    <w:t>11</w:t>
                  </w:r>
                </w:p>
              </w:tc>
              <w:tc>
                <w:tcPr>
                  <w:tcW w:w="1500" w:type="dxa"/>
                </w:tcPr>
                <w:p>
                  <w:pPr>
                    <w:widowControl w:val="0"/>
                    <w:shd w:val="clear" w:color="auto" w:fill="auto"/>
                    <w:spacing w:line="240" w:lineRule="auto"/>
                    <w:jc w:val="center"/>
                    <w:rPr>
                      <w:szCs w:val="21"/>
                    </w:rPr>
                  </w:pPr>
                  <w:r>
                    <w:rPr>
                      <w:rFonts w:hint="eastAsia"/>
                      <w:szCs w:val="21"/>
                    </w:rPr>
                    <w:t>实木柜</w:t>
                  </w:r>
                </w:p>
              </w:tc>
              <w:tc>
                <w:tcPr>
                  <w:tcW w:w="816" w:type="dxa"/>
                </w:tcPr>
                <w:p>
                  <w:pPr>
                    <w:widowControl w:val="0"/>
                    <w:shd w:val="clear" w:color="auto" w:fill="auto"/>
                    <w:spacing w:line="240" w:lineRule="auto"/>
                    <w:jc w:val="center"/>
                    <w:rPr>
                      <w:szCs w:val="21"/>
                    </w:rPr>
                  </w:pPr>
                  <w:r>
                    <w:rPr>
                      <w:rFonts w:hint="eastAsia"/>
                      <w:szCs w:val="21"/>
                    </w:rPr>
                    <w:t>个</w:t>
                  </w:r>
                </w:p>
              </w:tc>
              <w:tc>
                <w:tcPr>
                  <w:tcW w:w="864" w:type="dxa"/>
                </w:tcPr>
                <w:p>
                  <w:pPr>
                    <w:widowControl w:val="0"/>
                    <w:shd w:val="clear" w:color="auto" w:fill="auto"/>
                    <w:spacing w:line="240" w:lineRule="auto"/>
                    <w:jc w:val="center"/>
                    <w:rPr>
                      <w:szCs w:val="21"/>
                    </w:rPr>
                  </w:pPr>
                  <w:r>
                    <w:rPr>
                      <w:rFonts w:hint="eastAsia"/>
                      <w:szCs w:val="21"/>
                    </w:rPr>
                    <w:t>4</w:t>
                  </w:r>
                </w:p>
              </w:tc>
              <w:tc>
                <w:tcPr>
                  <w:tcW w:w="2832" w:type="dxa"/>
                </w:tcPr>
                <w:p>
                  <w:pPr>
                    <w:widowControl w:val="0"/>
                    <w:shd w:val="clear" w:color="auto" w:fill="auto"/>
                    <w:spacing w:line="240" w:lineRule="auto"/>
                    <w:jc w:val="center"/>
                    <w:rPr>
                      <w:szCs w:val="21"/>
                    </w:rPr>
                  </w:pPr>
                  <w:r>
                    <w:rPr>
                      <w:rFonts w:hint="eastAsia"/>
                      <w:szCs w:val="21"/>
                    </w:rPr>
                    <w:t>拆装、打包、搬运、安放</w:t>
                  </w:r>
                </w:p>
              </w:tc>
              <w:tc>
                <w:tcPr>
                  <w:tcW w:w="1715" w:type="dxa"/>
                </w:tcPr>
                <w:p>
                  <w:pPr>
                    <w:widowControl w:val="0"/>
                    <w:shd w:val="clear" w:color="auto" w:fill="auto"/>
                    <w:spacing w:line="240" w:lineRule="auto"/>
                    <w:jc w:val="center"/>
                    <w:rPr>
                      <w:szCs w:val="21"/>
                    </w:rPr>
                  </w:pPr>
                  <w:r>
                    <w:rPr>
                      <w:rFonts w:hint="eastAsia"/>
                      <w:szCs w:val="21"/>
                    </w:rPr>
                    <w:t>光明少儿图书馆及其他采购人指定地点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tcPr>
                <w:p>
                  <w:pPr>
                    <w:widowControl w:val="0"/>
                    <w:shd w:val="clear" w:color="auto" w:fill="auto"/>
                    <w:spacing w:line="240" w:lineRule="auto"/>
                    <w:jc w:val="center"/>
                    <w:rPr>
                      <w:szCs w:val="21"/>
                    </w:rPr>
                  </w:pPr>
                  <w:r>
                    <w:rPr>
                      <w:rFonts w:hint="eastAsia"/>
                      <w:szCs w:val="21"/>
                    </w:rPr>
                    <w:t>12</w:t>
                  </w:r>
                </w:p>
              </w:tc>
              <w:tc>
                <w:tcPr>
                  <w:tcW w:w="1500" w:type="dxa"/>
                </w:tcPr>
                <w:p>
                  <w:pPr>
                    <w:widowControl w:val="0"/>
                    <w:shd w:val="clear" w:color="auto" w:fill="auto"/>
                    <w:spacing w:line="240" w:lineRule="auto"/>
                    <w:jc w:val="center"/>
                    <w:rPr>
                      <w:szCs w:val="21"/>
                    </w:rPr>
                  </w:pPr>
                  <w:r>
                    <w:rPr>
                      <w:rFonts w:hint="eastAsia"/>
                      <w:szCs w:val="21"/>
                    </w:rPr>
                    <w:t>红色实木架</w:t>
                  </w:r>
                </w:p>
              </w:tc>
              <w:tc>
                <w:tcPr>
                  <w:tcW w:w="816" w:type="dxa"/>
                </w:tcPr>
                <w:p>
                  <w:pPr>
                    <w:widowControl w:val="0"/>
                    <w:shd w:val="clear" w:color="auto" w:fill="auto"/>
                    <w:spacing w:line="240" w:lineRule="auto"/>
                    <w:jc w:val="center"/>
                    <w:rPr>
                      <w:szCs w:val="21"/>
                    </w:rPr>
                  </w:pPr>
                  <w:r>
                    <w:rPr>
                      <w:rFonts w:hint="eastAsia"/>
                      <w:szCs w:val="21"/>
                    </w:rPr>
                    <w:t>个</w:t>
                  </w:r>
                </w:p>
              </w:tc>
              <w:tc>
                <w:tcPr>
                  <w:tcW w:w="864" w:type="dxa"/>
                </w:tcPr>
                <w:p>
                  <w:pPr>
                    <w:widowControl w:val="0"/>
                    <w:shd w:val="clear" w:color="auto" w:fill="auto"/>
                    <w:spacing w:line="240" w:lineRule="auto"/>
                    <w:jc w:val="center"/>
                    <w:rPr>
                      <w:szCs w:val="21"/>
                    </w:rPr>
                  </w:pPr>
                  <w:r>
                    <w:rPr>
                      <w:rFonts w:hint="eastAsia"/>
                      <w:szCs w:val="21"/>
                    </w:rPr>
                    <w:t>44</w:t>
                  </w:r>
                </w:p>
              </w:tc>
              <w:tc>
                <w:tcPr>
                  <w:tcW w:w="2832" w:type="dxa"/>
                </w:tcPr>
                <w:p>
                  <w:pPr>
                    <w:widowControl w:val="0"/>
                    <w:shd w:val="clear" w:color="auto" w:fill="auto"/>
                    <w:spacing w:line="240" w:lineRule="auto"/>
                    <w:jc w:val="center"/>
                    <w:rPr>
                      <w:szCs w:val="21"/>
                    </w:rPr>
                  </w:pPr>
                  <w:r>
                    <w:rPr>
                      <w:rFonts w:hint="eastAsia"/>
                      <w:szCs w:val="21"/>
                    </w:rPr>
                    <w:t>拆装、打包、搬运、安放</w:t>
                  </w:r>
                </w:p>
              </w:tc>
              <w:tc>
                <w:tcPr>
                  <w:tcW w:w="1715" w:type="dxa"/>
                </w:tcPr>
                <w:p>
                  <w:pPr>
                    <w:widowControl w:val="0"/>
                    <w:shd w:val="clear" w:color="auto" w:fill="auto"/>
                    <w:spacing w:line="240" w:lineRule="auto"/>
                    <w:jc w:val="center"/>
                    <w:rPr>
                      <w:szCs w:val="21"/>
                    </w:rPr>
                  </w:pPr>
                  <w:r>
                    <w:rPr>
                      <w:rFonts w:hint="eastAsia"/>
                      <w:szCs w:val="21"/>
                    </w:rPr>
                    <w:t>光明少儿图书馆及其他采购人指定地点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tcPr>
                <w:p>
                  <w:pPr>
                    <w:widowControl w:val="0"/>
                    <w:shd w:val="clear" w:color="auto" w:fill="auto"/>
                    <w:spacing w:line="240" w:lineRule="auto"/>
                    <w:jc w:val="center"/>
                    <w:rPr>
                      <w:szCs w:val="21"/>
                    </w:rPr>
                  </w:pPr>
                  <w:r>
                    <w:rPr>
                      <w:rFonts w:hint="eastAsia"/>
                      <w:szCs w:val="21"/>
                    </w:rPr>
                    <w:t>13</w:t>
                  </w:r>
                </w:p>
              </w:tc>
              <w:tc>
                <w:tcPr>
                  <w:tcW w:w="1500" w:type="dxa"/>
                </w:tcPr>
                <w:p>
                  <w:pPr>
                    <w:widowControl w:val="0"/>
                    <w:shd w:val="clear" w:color="auto" w:fill="auto"/>
                    <w:spacing w:line="240" w:lineRule="auto"/>
                    <w:jc w:val="center"/>
                    <w:rPr>
                      <w:szCs w:val="21"/>
                    </w:rPr>
                  </w:pPr>
                  <w:r>
                    <w:rPr>
                      <w:rFonts w:hint="eastAsia"/>
                      <w:szCs w:val="21"/>
                    </w:rPr>
                    <w:t>书报架</w:t>
                  </w:r>
                </w:p>
              </w:tc>
              <w:tc>
                <w:tcPr>
                  <w:tcW w:w="816" w:type="dxa"/>
                </w:tcPr>
                <w:p>
                  <w:pPr>
                    <w:widowControl w:val="0"/>
                    <w:shd w:val="clear" w:color="auto" w:fill="auto"/>
                    <w:spacing w:line="240" w:lineRule="auto"/>
                    <w:jc w:val="center"/>
                    <w:rPr>
                      <w:szCs w:val="21"/>
                    </w:rPr>
                  </w:pPr>
                  <w:r>
                    <w:rPr>
                      <w:rFonts w:hint="eastAsia"/>
                      <w:szCs w:val="21"/>
                    </w:rPr>
                    <w:t>个</w:t>
                  </w:r>
                </w:p>
              </w:tc>
              <w:tc>
                <w:tcPr>
                  <w:tcW w:w="864" w:type="dxa"/>
                </w:tcPr>
                <w:p>
                  <w:pPr>
                    <w:widowControl w:val="0"/>
                    <w:shd w:val="clear" w:color="auto" w:fill="auto"/>
                    <w:spacing w:line="240" w:lineRule="auto"/>
                    <w:jc w:val="center"/>
                    <w:rPr>
                      <w:szCs w:val="21"/>
                    </w:rPr>
                  </w:pPr>
                  <w:r>
                    <w:rPr>
                      <w:rFonts w:hint="eastAsia"/>
                      <w:szCs w:val="21"/>
                    </w:rPr>
                    <w:t>4</w:t>
                  </w:r>
                </w:p>
              </w:tc>
              <w:tc>
                <w:tcPr>
                  <w:tcW w:w="2832" w:type="dxa"/>
                </w:tcPr>
                <w:p>
                  <w:pPr>
                    <w:widowControl w:val="0"/>
                    <w:shd w:val="clear" w:color="auto" w:fill="auto"/>
                    <w:spacing w:line="240" w:lineRule="auto"/>
                    <w:jc w:val="center"/>
                    <w:rPr>
                      <w:szCs w:val="21"/>
                    </w:rPr>
                  </w:pPr>
                  <w:r>
                    <w:rPr>
                      <w:rFonts w:hint="eastAsia"/>
                      <w:szCs w:val="21"/>
                    </w:rPr>
                    <w:t>拆装、打包、搬运、安放</w:t>
                  </w:r>
                </w:p>
              </w:tc>
              <w:tc>
                <w:tcPr>
                  <w:tcW w:w="1715" w:type="dxa"/>
                </w:tcPr>
                <w:p>
                  <w:pPr>
                    <w:widowControl w:val="0"/>
                    <w:shd w:val="clear" w:color="auto" w:fill="auto"/>
                    <w:spacing w:line="240" w:lineRule="auto"/>
                    <w:jc w:val="center"/>
                    <w:rPr>
                      <w:szCs w:val="21"/>
                    </w:rPr>
                  </w:pPr>
                  <w:r>
                    <w:rPr>
                      <w:rFonts w:hint="eastAsia"/>
                      <w:szCs w:val="21"/>
                    </w:rPr>
                    <w:t>光明少儿图书馆及其他采购人指定地点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tcPr>
                <w:p>
                  <w:pPr>
                    <w:widowControl w:val="0"/>
                    <w:shd w:val="clear" w:color="auto" w:fill="auto"/>
                    <w:spacing w:line="240" w:lineRule="auto"/>
                    <w:jc w:val="center"/>
                    <w:rPr>
                      <w:szCs w:val="21"/>
                    </w:rPr>
                  </w:pPr>
                  <w:r>
                    <w:rPr>
                      <w:rFonts w:hint="eastAsia"/>
                      <w:szCs w:val="21"/>
                    </w:rPr>
                    <w:t>14</w:t>
                  </w:r>
                </w:p>
              </w:tc>
              <w:tc>
                <w:tcPr>
                  <w:tcW w:w="1500" w:type="dxa"/>
                </w:tcPr>
                <w:p>
                  <w:pPr>
                    <w:widowControl w:val="0"/>
                    <w:shd w:val="clear" w:color="auto" w:fill="auto"/>
                    <w:spacing w:line="240" w:lineRule="auto"/>
                    <w:jc w:val="center"/>
                    <w:rPr>
                      <w:szCs w:val="21"/>
                    </w:rPr>
                  </w:pPr>
                  <w:r>
                    <w:rPr>
                      <w:rFonts w:hint="eastAsia"/>
                      <w:szCs w:val="21"/>
                    </w:rPr>
                    <w:t>四层期刊架</w:t>
                  </w:r>
                </w:p>
              </w:tc>
              <w:tc>
                <w:tcPr>
                  <w:tcW w:w="816" w:type="dxa"/>
                </w:tcPr>
                <w:p>
                  <w:pPr>
                    <w:widowControl w:val="0"/>
                    <w:shd w:val="clear" w:color="auto" w:fill="auto"/>
                    <w:spacing w:line="240" w:lineRule="auto"/>
                    <w:jc w:val="center"/>
                    <w:rPr>
                      <w:szCs w:val="21"/>
                    </w:rPr>
                  </w:pPr>
                  <w:r>
                    <w:rPr>
                      <w:rFonts w:hint="eastAsia"/>
                      <w:szCs w:val="21"/>
                    </w:rPr>
                    <w:t>个</w:t>
                  </w:r>
                </w:p>
              </w:tc>
              <w:tc>
                <w:tcPr>
                  <w:tcW w:w="864" w:type="dxa"/>
                </w:tcPr>
                <w:p>
                  <w:pPr>
                    <w:widowControl w:val="0"/>
                    <w:shd w:val="clear" w:color="auto" w:fill="auto"/>
                    <w:spacing w:line="240" w:lineRule="auto"/>
                    <w:jc w:val="center"/>
                    <w:rPr>
                      <w:szCs w:val="21"/>
                    </w:rPr>
                  </w:pPr>
                  <w:r>
                    <w:rPr>
                      <w:rFonts w:hint="eastAsia"/>
                      <w:szCs w:val="21"/>
                    </w:rPr>
                    <w:t>77</w:t>
                  </w:r>
                </w:p>
              </w:tc>
              <w:tc>
                <w:tcPr>
                  <w:tcW w:w="2832" w:type="dxa"/>
                </w:tcPr>
                <w:p>
                  <w:pPr>
                    <w:widowControl w:val="0"/>
                    <w:shd w:val="clear" w:color="auto" w:fill="auto"/>
                    <w:spacing w:line="240" w:lineRule="auto"/>
                    <w:jc w:val="center"/>
                    <w:rPr>
                      <w:szCs w:val="21"/>
                    </w:rPr>
                  </w:pPr>
                  <w:r>
                    <w:rPr>
                      <w:rFonts w:hint="eastAsia"/>
                      <w:szCs w:val="21"/>
                    </w:rPr>
                    <w:t>拆装、打包、搬运、安放</w:t>
                  </w:r>
                </w:p>
              </w:tc>
              <w:tc>
                <w:tcPr>
                  <w:tcW w:w="1715" w:type="dxa"/>
                </w:tcPr>
                <w:p>
                  <w:pPr>
                    <w:widowControl w:val="0"/>
                    <w:shd w:val="clear" w:color="auto" w:fill="auto"/>
                    <w:spacing w:line="240" w:lineRule="auto"/>
                    <w:jc w:val="center"/>
                    <w:rPr>
                      <w:szCs w:val="21"/>
                    </w:rPr>
                  </w:pPr>
                  <w:r>
                    <w:rPr>
                      <w:rFonts w:hint="eastAsia"/>
                      <w:szCs w:val="21"/>
                    </w:rPr>
                    <w:t>光明少儿图书馆及其他采购人指定地点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tcPr>
                <w:p>
                  <w:pPr>
                    <w:widowControl w:val="0"/>
                    <w:shd w:val="clear" w:color="auto" w:fill="auto"/>
                    <w:spacing w:line="240" w:lineRule="auto"/>
                    <w:jc w:val="center"/>
                    <w:rPr>
                      <w:szCs w:val="21"/>
                    </w:rPr>
                  </w:pPr>
                  <w:r>
                    <w:rPr>
                      <w:rFonts w:hint="eastAsia"/>
                      <w:szCs w:val="21"/>
                    </w:rPr>
                    <w:t>15</w:t>
                  </w:r>
                </w:p>
              </w:tc>
              <w:tc>
                <w:tcPr>
                  <w:tcW w:w="1500" w:type="dxa"/>
                </w:tcPr>
                <w:p>
                  <w:pPr>
                    <w:widowControl w:val="0"/>
                    <w:shd w:val="clear" w:color="auto" w:fill="auto"/>
                    <w:spacing w:line="240" w:lineRule="auto"/>
                    <w:jc w:val="center"/>
                    <w:rPr>
                      <w:szCs w:val="21"/>
                    </w:rPr>
                  </w:pPr>
                  <w:r>
                    <w:rPr>
                      <w:rFonts w:hint="eastAsia"/>
                      <w:szCs w:val="21"/>
                    </w:rPr>
                    <w:t>五层期刊架</w:t>
                  </w:r>
                </w:p>
              </w:tc>
              <w:tc>
                <w:tcPr>
                  <w:tcW w:w="816" w:type="dxa"/>
                </w:tcPr>
                <w:p>
                  <w:pPr>
                    <w:widowControl w:val="0"/>
                    <w:shd w:val="clear" w:color="auto" w:fill="auto"/>
                    <w:spacing w:line="240" w:lineRule="auto"/>
                    <w:jc w:val="center"/>
                    <w:rPr>
                      <w:szCs w:val="21"/>
                    </w:rPr>
                  </w:pPr>
                  <w:r>
                    <w:rPr>
                      <w:rFonts w:hint="eastAsia"/>
                      <w:szCs w:val="21"/>
                    </w:rPr>
                    <w:t>个</w:t>
                  </w:r>
                </w:p>
              </w:tc>
              <w:tc>
                <w:tcPr>
                  <w:tcW w:w="864" w:type="dxa"/>
                </w:tcPr>
                <w:p>
                  <w:pPr>
                    <w:widowControl w:val="0"/>
                    <w:shd w:val="clear" w:color="auto" w:fill="auto"/>
                    <w:spacing w:line="240" w:lineRule="auto"/>
                    <w:jc w:val="center"/>
                    <w:rPr>
                      <w:szCs w:val="21"/>
                    </w:rPr>
                  </w:pPr>
                  <w:r>
                    <w:rPr>
                      <w:rFonts w:hint="eastAsia"/>
                      <w:szCs w:val="21"/>
                    </w:rPr>
                    <w:t>7</w:t>
                  </w:r>
                </w:p>
              </w:tc>
              <w:tc>
                <w:tcPr>
                  <w:tcW w:w="2832" w:type="dxa"/>
                </w:tcPr>
                <w:p>
                  <w:pPr>
                    <w:widowControl w:val="0"/>
                    <w:shd w:val="clear" w:color="auto" w:fill="auto"/>
                    <w:spacing w:line="240" w:lineRule="auto"/>
                    <w:jc w:val="center"/>
                    <w:rPr>
                      <w:szCs w:val="21"/>
                    </w:rPr>
                  </w:pPr>
                  <w:r>
                    <w:rPr>
                      <w:rFonts w:hint="eastAsia"/>
                      <w:szCs w:val="21"/>
                    </w:rPr>
                    <w:t>拆装、打包、搬运、安放</w:t>
                  </w:r>
                </w:p>
              </w:tc>
              <w:tc>
                <w:tcPr>
                  <w:tcW w:w="1715" w:type="dxa"/>
                </w:tcPr>
                <w:p>
                  <w:pPr>
                    <w:widowControl w:val="0"/>
                    <w:shd w:val="clear" w:color="auto" w:fill="auto"/>
                    <w:spacing w:line="240" w:lineRule="auto"/>
                    <w:jc w:val="center"/>
                    <w:rPr>
                      <w:szCs w:val="21"/>
                    </w:rPr>
                  </w:pPr>
                  <w:r>
                    <w:rPr>
                      <w:rFonts w:hint="eastAsia"/>
                      <w:szCs w:val="21"/>
                    </w:rPr>
                    <w:t>光明少儿图书馆及其他采购人指定地点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tcPr>
                <w:p>
                  <w:pPr>
                    <w:widowControl w:val="0"/>
                    <w:shd w:val="clear" w:color="auto" w:fill="auto"/>
                    <w:spacing w:line="240" w:lineRule="auto"/>
                    <w:jc w:val="center"/>
                    <w:rPr>
                      <w:szCs w:val="21"/>
                    </w:rPr>
                  </w:pPr>
                  <w:r>
                    <w:rPr>
                      <w:rFonts w:hint="eastAsia"/>
                      <w:szCs w:val="21"/>
                    </w:rPr>
                    <w:t>16</w:t>
                  </w:r>
                </w:p>
              </w:tc>
              <w:tc>
                <w:tcPr>
                  <w:tcW w:w="1500" w:type="dxa"/>
                </w:tcPr>
                <w:p>
                  <w:pPr>
                    <w:widowControl w:val="0"/>
                    <w:shd w:val="clear" w:color="auto" w:fill="auto"/>
                    <w:spacing w:line="240" w:lineRule="auto"/>
                    <w:jc w:val="center"/>
                    <w:rPr>
                      <w:szCs w:val="21"/>
                    </w:rPr>
                  </w:pPr>
                  <w:r>
                    <w:rPr>
                      <w:rFonts w:hint="eastAsia"/>
                      <w:szCs w:val="21"/>
                    </w:rPr>
                    <w:t>五层货架</w:t>
                  </w:r>
                </w:p>
              </w:tc>
              <w:tc>
                <w:tcPr>
                  <w:tcW w:w="816" w:type="dxa"/>
                </w:tcPr>
                <w:p>
                  <w:pPr>
                    <w:widowControl w:val="0"/>
                    <w:shd w:val="clear" w:color="auto" w:fill="auto"/>
                    <w:spacing w:line="240" w:lineRule="auto"/>
                    <w:jc w:val="center"/>
                    <w:rPr>
                      <w:szCs w:val="21"/>
                    </w:rPr>
                  </w:pPr>
                  <w:r>
                    <w:rPr>
                      <w:rFonts w:hint="eastAsia"/>
                      <w:szCs w:val="21"/>
                    </w:rPr>
                    <w:t>个</w:t>
                  </w:r>
                </w:p>
              </w:tc>
              <w:tc>
                <w:tcPr>
                  <w:tcW w:w="864" w:type="dxa"/>
                </w:tcPr>
                <w:p>
                  <w:pPr>
                    <w:widowControl w:val="0"/>
                    <w:shd w:val="clear" w:color="auto" w:fill="auto"/>
                    <w:spacing w:line="240" w:lineRule="auto"/>
                    <w:jc w:val="center"/>
                    <w:rPr>
                      <w:szCs w:val="21"/>
                    </w:rPr>
                  </w:pPr>
                  <w:r>
                    <w:rPr>
                      <w:rFonts w:hint="eastAsia"/>
                      <w:szCs w:val="21"/>
                    </w:rPr>
                    <w:t>11</w:t>
                  </w:r>
                </w:p>
              </w:tc>
              <w:tc>
                <w:tcPr>
                  <w:tcW w:w="2832" w:type="dxa"/>
                </w:tcPr>
                <w:p>
                  <w:pPr>
                    <w:widowControl w:val="0"/>
                    <w:shd w:val="clear" w:color="auto" w:fill="auto"/>
                    <w:spacing w:line="240" w:lineRule="auto"/>
                    <w:jc w:val="center"/>
                    <w:rPr>
                      <w:szCs w:val="21"/>
                    </w:rPr>
                  </w:pPr>
                  <w:r>
                    <w:rPr>
                      <w:rFonts w:hint="eastAsia"/>
                      <w:szCs w:val="21"/>
                    </w:rPr>
                    <w:t>拆装、打包、搬运、安放</w:t>
                  </w:r>
                </w:p>
              </w:tc>
              <w:tc>
                <w:tcPr>
                  <w:tcW w:w="1715" w:type="dxa"/>
                </w:tcPr>
                <w:p>
                  <w:pPr>
                    <w:widowControl w:val="0"/>
                    <w:shd w:val="clear" w:color="auto" w:fill="auto"/>
                    <w:spacing w:line="240" w:lineRule="auto"/>
                    <w:jc w:val="center"/>
                    <w:rPr>
                      <w:szCs w:val="21"/>
                    </w:rPr>
                  </w:pPr>
                  <w:r>
                    <w:rPr>
                      <w:rFonts w:hint="eastAsia"/>
                      <w:szCs w:val="21"/>
                    </w:rPr>
                    <w:t>光明少儿图书馆及其他采购人指定地点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tcPr>
                <w:p>
                  <w:pPr>
                    <w:widowControl w:val="0"/>
                    <w:shd w:val="clear" w:color="auto" w:fill="auto"/>
                    <w:spacing w:line="240" w:lineRule="auto"/>
                    <w:jc w:val="center"/>
                    <w:rPr>
                      <w:szCs w:val="21"/>
                    </w:rPr>
                  </w:pPr>
                  <w:r>
                    <w:rPr>
                      <w:rFonts w:hint="eastAsia"/>
                      <w:szCs w:val="21"/>
                    </w:rPr>
                    <w:t>17</w:t>
                  </w:r>
                </w:p>
              </w:tc>
              <w:tc>
                <w:tcPr>
                  <w:tcW w:w="1500" w:type="dxa"/>
                </w:tcPr>
                <w:p>
                  <w:pPr>
                    <w:widowControl w:val="0"/>
                    <w:shd w:val="clear" w:color="auto" w:fill="auto"/>
                    <w:spacing w:line="240" w:lineRule="auto"/>
                    <w:jc w:val="center"/>
                    <w:rPr>
                      <w:szCs w:val="21"/>
                    </w:rPr>
                  </w:pPr>
                  <w:r>
                    <w:rPr>
                      <w:rFonts w:hint="eastAsia"/>
                      <w:szCs w:val="21"/>
                    </w:rPr>
                    <w:t>档案柜</w:t>
                  </w:r>
                </w:p>
              </w:tc>
              <w:tc>
                <w:tcPr>
                  <w:tcW w:w="816" w:type="dxa"/>
                </w:tcPr>
                <w:p>
                  <w:pPr>
                    <w:widowControl w:val="0"/>
                    <w:shd w:val="clear" w:color="auto" w:fill="auto"/>
                    <w:spacing w:line="240" w:lineRule="auto"/>
                    <w:jc w:val="center"/>
                    <w:rPr>
                      <w:szCs w:val="21"/>
                    </w:rPr>
                  </w:pPr>
                  <w:r>
                    <w:rPr>
                      <w:rFonts w:hint="eastAsia"/>
                      <w:szCs w:val="21"/>
                    </w:rPr>
                    <w:t>个</w:t>
                  </w:r>
                </w:p>
              </w:tc>
              <w:tc>
                <w:tcPr>
                  <w:tcW w:w="864" w:type="dxa"/>
                </w:tcPr>
                <w:p>
                  <w:pPr>
                    <w:widowControl w:val="0"/>
                    <w:shd w:val="clear" w:color="auto" w:fill="auto"/>
                    <w:spacing w:line="240" w:lineRule="auto"/>
                    <w:jc w:val="center"/>
                    <w:rPr>
                      <w:szCs w:val="21"/>
                    </w:rPr>
                  </w:pPr>
                  <w:r>
                    <w:rPr>
                      <w:rFonts w:hint="eastAsia"/>
                      <w:szCs w:val="21"/>
                    </w:rPr>
                    <w:t>85</w:t>
                  </w:r>
                </w:p>
              </w:tc>
              <w:tc>
                <w:tcPr>
                  <w:tcW w:w="2832" w:type="dxa"/>
                </w:tcPr>
                <w:p>
                  <w:pPr>
                    <w:widowControl w:val="0"/>
                    <w:shd w:val="clear" w:color="auto" w:fill="auto"/>
                    <w:spacing w:line="240" w:lineRule="auto"/>
                    <w:jc w:val="center"/>
                    <w:rPr>
                      <w:szCs w:val="21"/>
                    </w:rPr>
                  </w:pPr>
                  <w:r>
                    <w:rPr>
                      <w:rFonts w:hint="eastAsia"/>
                      <w:szCs w:val="21"/>
                    </w:rPr>
                    <w:t>拆装、打包、搬运、安放</w:t>
                  </w:r>
                </w:p>
              </w:tc>
              <w:tc>
                <w:tcPr>
                  <w:tcW w:w="1715" w:type="dxa"/>
                </w:tcPr>
                <w:p>
                  <w:pPr>
                    <w:widowControl w:val="0"/>
                    <w:shd w:val="clear" w:color="auto" w:fill="auto"/>
                    <w:spacing w:line="240" w:lineRule="auto"/>
                    <w:jc w:val="center"/>
                    <w:rPr>
                      <w:szCs w:val="21"/>
                    </w:rPr>
                  </w:pPr>
                  <w:r>
                    <w:rPr>
                      <w:rFonts w:hint="eastAsia"/>
                      <w:szCs w:val="21"/>
                    </w:rPr>
                    <w:t>光明少儿图书馆及其他采购人指定地点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tcPr>
                <w:p>
                  <w:pPr>
                    <w:widowControl w:val="0"/>
                    <w:shd w:val="clear" w:color="auto" w:fill="auto"/>
                    <w:spacing w:line="240" w:lineRule="auto"/>
                    <w:jc w:val="center"/>
                    <w:rPr>
                      <w:szCs w:val="21"/>
                    </w:rPr>
                  </w:pPr>
                  <w:r>
                    <w:rPr>
                      <w:rFonts w:hint="eastAsia"/>
                      <w:szCs w:val="21"/>
                    </w:rPr>
                    <w:t>18</w:t>
                  </w:r>
                </w:p>
              </w:tc>
              <w:tc>
                <w:tcPr>
                  <w:tcW w:w="1500" w:type="dxa"/>
                </w:tcPr>
                <w:p>
                  <w:pPr>
                    <w:widowControl w:val="0"/>
                    <w:shd w:val="clear" w:color="auto" w:fill="auto"/>
                    <w:spacing w:line="240" w:lineRule="auto"/>
                    <w:jc w:val="center"/>
                    <w:rPr>
                      <w:szCs w:val="21"/>
                    </w:rPr>
                  </w:pPr>
                  <w:r>
                    <w:rPr>
                      <w:rFonts w:hint="eastAsia"/>
                      <w:szCs w:val="21"/>
                    </w:rPr>
                    <w:t>储物柜</w:t>
                  </w:r>
                </w:p>
              </w:tc>
              <w:tc>
                <w:tcPr>
                  <w:tcW w:w="816" w:type="dxa"/>
                </w:tcPr>
                <w:p>
                  <w:pPr>
                    <w:widowControl w:val="0"/>
                    <w:shd w:val="clear" w:color="auto" w:fill="auto"/>
                    <w:spacing w:line="240" w:lineRule="auto"/>
                    <w:jc w:val="center"/>
                    <w:rPr>
                      <w:szCs w:val="21"/>
                    </w:rPr>
                  </w:pPr>
                  <w:r>
                    <w:rPr>
                      <w:rFonts w:hint="eastAsia"/>
                      <w:szCs w:val="21"/>
                    </w:rPr>
                    <w:t>个</w:t>
                  </w:r>
                </w:p>
              </w:tc>
              <w:tc>
                <w:tcPr>
                  <w:tcW w:w="864" w:type="dxa"/>
                </w:tcPr>
                <w:p>
                  <w:pPr>
                    <w:widowControl w:val="0"/>
                    <w:shd w:val="clear" w:color="auto" w:fill="auto"/>
                    <w:spacing w:line="240" w:lineRule="auto"/>
                    <w:jc w:val="center"/>
                    <w:rPr>
                      <w:szCs w:val="21"/>
                    </w:rPr>
                  </w:pPr>
                  <w:r>
                    <w:rPr>
                      <w:rFonts w:hint="eastAsia"/>
                      <w:szCs w:val="21"/>
                    </w:rPr>
                    <w:t>11</w:t>
                  </w:r>
                </w:p>
              </w:tc>
              <w:tc>
                <w:tcPr>
                  <w:tcW w:w="2832" w:type="dxa"/>
                </w:tcPr>
                <w:p>
                  <w:pPr>
                    <w:widowControl w:val="0"/>
                    <w:shd w:val="clear" w:color="auto" w:fill="auto"/>
                    <w:spacing w:line="240" w:lineRule="auto"/>
                    <w:jc w:val="center"/>
                    <w:rPr>
                      <w:szCs w:val="21"/>
                    </w:rPr>
                  </w:pPr>
                  <w:r>
                    <w:rPr>
                      <w:rFonts w:hint="eastAsia"/>
                      <w:szCs w:val="21"/>
                    </w:rPr>
                    <w:t>拆装、打包、搬运、安放</w:t>
                  </w:r>
                </w:p>
              </w:tc>
              <w:tc>
                <w:tcPr>
                  <w:tcW w:w="1715" w:type="dxa"/>
                </w:tcPr>
                <w:p>
                  <w:pPr>
                    <w:widowControl w:val="0"/>
                    <w:shd w:val="clear" w:color="auto" w:fill="auto"/>
                    <w:spacing w:line="240" w:lineRule="auto"/>
                    <w:jc w:val="center"/>
                    <w:rPr>
                      <w:szCs w:val="21"/>
                    </w:rPr>
                  </w:pPr>
                  <w:r>
                    <w:rPr>
                      <w:rFonts w:hint="eastAsia"/>
                      <w:szCs w:val="21"/>
                    </w:rPr>
                    <w:t>光明少儿图书馆及其他采购人指定地点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tcPr>
                <w:p>
                  <w:pPr>
                    <w:widowControl w:val="0"/>
                    <w:shd w:val="clear" w:color="auto" w:fill="auto"/>
                    <w:spacing w:line="240" w:lineRule="auto"/>
                    <w:jc w:val="center"/>
                    <w:rPr>
                      <w:szCs w:val="21"/>
                    </w:rPr>
                  </w:pPr>
                  <w:r>
                    <w:rPr>
                      <w:rFonts w:hint="eastAsia"/>
                      <w:szCs w:val="21"/>
                    </w:rPr>
                    <w:t>19</w:t>
                  </w:r>
                </w:p>
              </w:tc>
              <w:tc>
                <w:tcPr>
                  <w:tcW w:w="1500" w:type="dxa"/>
                </w:tcPr>
                <w:p>
                  <w:pPr>
                    <w:widowControl w:val="0"/>
                    <w:shd w:val="clear" w:color="auto" w:fill="auto"/>
                    <w:spacing w:line="240" w:lineRule="auto"/>
                    <w:jc w:val="center"/>
                    <w:rPr>
                      <w:szCs w:val="21"/>
                    </w:rPr>
                  </w:pPr>
                  <w:r>
                    <w:rPr>
                      <w:rFonts w:hint="eastAsia"/>
                      <w:szCs w:val="21"/>
                    </w:rPr>
                    <w:t>波浪形书架</w:t>
                  </w:r>
                </w:p>
              </w:tc>
              <w:tc>
                <w:tcPr>
                  <w:tcW w:w="816" w:type="dxa"/>
                </w:tcPr>
                <w:p>
                  <w:pPr>
                    <w:widowControl w:val="0"/>
                    <w:shd w:val="clear" w:color="auto" w:fill="auto"/>
                    <w:spacing w:line="240" w:lineRule="auto"/>
                    <w:jc w:val="center"/>
                    <w:rPr>
                      <w:szCs w:val="21"/>
                    </w:rPr>
                  </w:pPr>
                  <w:r>
                    <w:rPr>
                      <w:rFonts w:hint="eastAsia"/>
                      <w:szCs w:val="21"/>
                    </w:rPr>
                    <w:t>个</w:t>
                  </w:r>
                </w:p>
              </w:tc>
              <w:tc>
                <w:tcPr>
                  <w:tcW w:w="864" w:type="dxa"/>
                </w:tcPr>
                <w:p>
                  <w:pPr>
                    <w:widowControl w:val="0"/>
                    <w:shd w:val="clear" w:color="auto" w:fill="auto"/>
                    <w:spacing w:line="240" w:lineRule="auto"/>
                    <w:jc w:val="center"/>
                    <w:rPr>
                      <w:szCs w:val="21"/>
                    </w:rPr>
                  </w:pPr>
                  <w:r>
                    <w:rPr>
                      <w:rFonts w:hint="eastAsia"/>
                      <w:szCs w:val="21"/>
                    </w:rPr>
                    <w:t>10</w:t>
                  </w:r>
                </w:p>
              </w:tc>
              <w:tc>
                <w:tcPr>
                  <w:tcW w:w="2832" w:type="dxa"/>
                </w:tcPr>
                <w:p>
                  <w:pPr>
                    <w:widowControl w:val="0"/>
                    <w:shd w:val="clear" w:color="auto" w:fill="auto"/>
                    <w:spacing w:line="240" w:lineRule="auto"/>
                    <w:jc w:val="center"/>
                    <w:rPr>
                      <w:szCs w:val="21"/>
                    </w:rPr>
                  </w:pPr>
                  <w:r>
                    <w:rPr>
                      <w:rFonts w:hint="eastAsia"/>
                      <w:szCs w:val="21"/>
                    </w:rPr>
                    <w:t>拆装、打包、搬运、安放</w:t>
                  </w:r>
                </w:p>
              </w:tc>
              <w:tc>
                <w:tcPr>
                  <w:tcW w:w="1715" w:type="dxa"/>
                </w:tcPr>
                <w:p>
                  <w:pPr>
                    <w:widowControl w:val="0"/>
                    <w:shd w:val="clear" w:color="auto" w:fill="auto"/>
                    <w:spacing w:line="240" w:lineRule="auto"/>
                    <w:jc w:val="center"/>
                    <w:rPr>
                      <w:szCs w:val="21"/>
                    </w:rPr>
                  </w:pPr>
                  <w:r>
                    <w:rPr>
                      <w:rFonts w:hint="eastAsia"/>
                      <w:szCs w:val="21"/>
                    </w:rPr>
                    <w:t>光明少儿图书馆及其他采购人指定地点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tcPr>
                <w:p>
                  <w:pPr>
                    <w:widowControl w:val="0"/>
                    <w:shd w:val="clear" w:color="auto" w:fill="auto"/>
                    <w:spacing w:line="240" w:lineRule="auto"/>
                    <w:jc w:val="center"/>
                    <w:rPr>
                      <w:szCs w:val="21"/>
                    </w:rPr>
                  </w:pPr>
                  <w:r>
                    <w:rPr>
                      <w:rFonts w:hint="eastAsia"/>
                      <w:szCs w:val="21"/>
                    </w:rPr>
                    <w:t>20</w:t>
                  </w:r>
                </w:p>
              </w:tc>
              <w:tc>
                <w:tcPr>
                  <w:tcW w:w="1500" w:type="dxa"/>
                </w:tcPr>
                <w:p>
                  <w:pPr>
                    <w:widowControl w:val="0"/>
                    <w:shd w:val="clear" w:color="auto" w:fill="auto"/>
                    <w:spacing w:line="240" w:lineRule="auto"/>
                    <w:jc w:val="center"/>
                    <w:rPr>
                      <w:szCs w:val="21"/>
                    </w:rPr>
                  </w:pPr>
                  <w:r>
                    <w:rPr>
                      <w:rFonts w:hint="eastAsia"/>
                      <w:szCs w:val="21"/>
                    </w:rPr>
                    <w:t>书梯</w:t>
                  </w:r>
                </w:p>
              </w:tc>
              <w:tc>
                <w:tcPr>
                  <w:tcW w:w="816" w:type="dxa"/>
                </w:tcPr>
                <w:p>
                  <w:pPr>
                    <w:widowControl w:val="0"/>
                    <w:shd w:val="clear" w:color="auto" w:fill="auto"/>
                    <w:spacing w:line="240" w:lineRule="auto"/>
                    <w:jc w:val="center"/>
                    <w:rPr>
                      <w:szCs w:val="21"/>
                    </w:rPr>
                  </w:pPr>
                  <w:r>
                    <w:rPr>
                      <w:rFonts w:hint="eastAsia"/>
                      <w:szCs w:val="21"/>
                    </w:rPr>
                    <w:t>个</w:t>
                  </w:r>
                </w:p>
              </w:tc>
              <w:tc>
                <w:tcPr>
                  <w:tcW w:w="864" w:type="dxa"/>
                </w:tcPr>
                <w:p>
                  <w:pPr>
                    <w:widowControl w:val="0"/>
                    <w:shd w:val="clear" w:color="auto" w:fill="auto"/>
                    <w:spacing w:line="240" w:lineRule="auto"/>
                    <w:jc w:val="center"/>
                    <w:rPr>
                      <w:szCs w:val="21"/>
                    </w:rPr>
                  </w:pPr>
                  <w:r>
                    <w:rPr>
                      <w:rFonts w:hint="eastAsia"/>
                      <w:szCs w:val="21"/>
                    </w:rPr>
                    <w:t>16</w:t>
                  </w:r>
                </w:p>
              </w:tc>
              <w:tc>
                <w:tcPr>
                  <w:tcW w:w="2832" w:type="dxa"/>
                </w:tcPr>
                <w:p>
                  <w:pPr>
                    <w:widowControl w:val="0"/>
                    <w:shd w:val="clear" w:color="auto" w:fill="auto"/>
                    <w:spacing w:line="240" w:lineRule="auto"/>
                    <w:jc w:val="center"/>
                    <w:rPr>
                      <w:szCs w:val="21"/>
                    </w:rPr>
                  </w:pPr>
                  <w:r>
                    <w:rPr>
                      <w:rFonts w:hint="eastAsia"/>
                      <w:szCs w:val="21"/>
                    </w:rPr>
                    <w:t>搬迁运输、按要求放置到指定位置</w:t>
                  </w:r>
                </w:p>
              </w:tc>
              <w:tc>
                <w:tcPr>
                  <w:tcW w:w="1715" w:type="dxa"/>
                </w:tcPr>
                <w:p>
                  <w:pPr>
                    <w:widowControl w:val="0"/>
                    <w:shd w:val="clear" w:color="auto" w:fill="auto"/>
                    <w:spacing w:line="240" w:lineRule="auto"/>
                    <w:jc w:val="center"/>
                    <w:rPr>
                      <w:szCs w:val="21"/>
                    </w:rPr>
                  </w:pPr>
                  <w:r>
                    <w:rPr>
                      <w:rFonts w:hint="eastAsia"/>
                      <w:szCs w:val="21"/>
                    </w:rPr>
                    <w:t>光明少儿图书馆及其他采购人指定地点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tcPr>
                <w:p>
                  <w:pPr>
                    <w:widowControl w:val="0"/>
                    <w:shd w:val="clear" w:color="auto" w:fill="auto"/>
                    <w:spacing w:line="240" w:lineRule="auto"/>
                    <w:jc w:val="center"/>
                    <w:rPr>
                      <w:szCs w:val="21"/>
                    </w:rPr>
                  </w:pPr>
                  <w:r>
                    <w:rPr>
                      <w:rFonts w:hint="eastAsia"/>
                      <w:szCs w:val="21"/>
                    </w:rPr>
                    <w:t>21</w:t>
                  </w:r>
                </w:p>
              </w:tc>
              <w:tc>
                <w:tcPr>
                  <w:tcW w:w="1500" w:type="dxa"/>
                </w:tcPr>
                <w:p>
                  <w:pPr>
                    <w:widowControl w:val="0"/>
                    <w:shd w:val="clear" w:color="auto" w:fill="auto"/>
                    <w:spacing w:line="240" w:lineRule="auto"/>
                    <w:jc w:val="center"/>
                    <w:rPr>
                      <w:szCs w:val="21"/>
                    </w:rPr>
                  </w:pPr>
                  <w:r>
                    <w:rPr>
                      <w:rFonts w:hint="eastAsia"/>
                      <w:szCs w:val="21"/>
                    </w:rPr>
                    <w:t>宣传架</w:t>
                  </w:r>
                </w:p>
              </w:tc>
              <w:tc>
                <w:tcPr>
                  <w:tcW w:w="816" w:type="dxa"/>
                </w:tcPr>
                <w:p>
                  <w:pPr>
                    <w:widowControl w:val="0"/>
                    <w:shd w:val="clear" w:color="auto" w:fill="auto"/>
                    <w:spacing w:line="240" w:lineRule="auto"/>
                    <w:jc w:val="center"/>
                    <w:rPr>
                      <w:szCs w:val="21"/>
                    </w:rPr>
                  </w:pPr>
                  <w:r>
                    <w:rPr>
                      <w:rFonts w:hint="eastAsia"/>
                      <w:szCs w:val="21"/>
                    </w:rPr>
                    <w:t>个</w:t>
                  </w:r>
                </w:p>
              </w:tc>
              <w:tc>
                <w:tcPr>
                  <w:tcW w:w="864" w:type="dxa"/>
                </w:tcPr>
                <w:p>
                  <w:pPr>
                    <w:widowControl w:val="0"/>
                    <w:shd w:val="clear" w:color="auto" w:fill="auto"/>
                    <w:spacing w:line="240" w:lineRule="auto"/>
                    <w:jc w:val="center"/>
                    <w:rPr>
                      <w:szCs w:val="21"/>
                    </w:rPr>
                  </w:pPr>
                  <w:r>
                    <w:rPr>
                      <w:rFonts w:hint="eastAsia"/>
                      <w:szCs w:val="21"/>
                    </w:rPr>
                    <w:t>12</w:t>
                  </w:r>
                </w:p>
              </w:tc>
              <w:tc>
                <w:tcPr>
                  <w:tcW w:w="2832" w:type="dxa"/>
                </w:tcPr>
                <w:p>
                  <w:pPr>
                    <w:widowControl w:val="0"/>
                    <w:shd w:val="clear" w:color="auto" w:fill="auto"/>
                    <w:spacing w:line="240" w:lineRule="auto"/>
                    <w:jc w:val="center"/>
                    <w:rPr>
                      <w:szCs w:val="21"/>
                    </w:rPr>
                  </w:pPr>
                  <w:r>
                    <w:rPr>
                      <w:rFonts w:hint="eastAsia"/>
                      <w:szCs w:val="21"/>
                    </w:rPr>
                    <w:t>拆装、打包、搬运、安放</w:t>
                  </w:r>
                </w:p>
              </w:tc>
              <w:tc>
                <w:tcPr>
                  <w:tcW w:w="1715" w:type="dxa"/>
                </w:tcPr>
                <w:p>
                  <w:pPr>
                    <w:widowControl w:val="0"/>
                    <w:shd w:val="clear" w:color="auto" w:fill="auto"/>
                    <w:spacing w:line="240" w:lineRule="auto"/>
                    <w:jc w:val="center"/>
                    <w:rPr>
                      <w:szCs w:val="21"/>
                    </w:rPr>
                  </w:pPr>
                  <w:r>
                    <w:rPr>
                      <w:rFonts w:hint="eastAsia"/>
                      <w:szCs w:val="21"/>
                    </w:rPr>
                    <w:t>光明少儿图书馆及其他采购人指定地点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tcPr>
                <w:p>
                  <w:pPr>
                    <w:widowControl w:val="0"/>
                    <w:shd w:val="clear" w:color="auto" w:fill="auto"/>
                    <w:spacing w:line="240" w:lineRule="auto"/>
                    <w:jc w:val="center"/>
                    <w:rPr>
                      <w:szCs w:val="21"/>
                    </w:rPr>
                  </w:pPr>
                  <w:r>
                    <w:rPr>
                      <w:rFonts w:hint="eastAsia"/>
                      <w:szCs w:val="21"/>
                    </w:rPr>
                    <w:t>22</w:t>
                  </w:r>
                </w:p>
              </w:tc>
              <w:tc>
                <w:tcPr>
                  <w:tcW w:w="1500" w:type="dxa"/>
                </w:tcPr>
                <w:p>
                  <w:pPr>
                    <w:widowControl w:val="0"/>
                    <w:shd w:val="clear" w:color="auto" w:fill="auto"/>
                    <w:spacing w:line="240" w:lineRule="auto"/>
                    <w:jc w:val="center"/>
                    <w:rPr>
                      <w:szCs w:val="21"/>
                    </w:rPr>
                  </w:pPr>
                  <w:r>
                    <w:rPr>
                      <w:rFonts w:hint="eastAsia"/>
                      <w:szCs w:val="21"/>
                    </w:rPr>
                    <w:t>茶几</w:t>
                  </w:r>
                </w:p>
              </w:tc>
              <w:tc>
                <w:tcPr>
                  <w:tcW w:w="816" w:type="dxa"/>
                </w:tcPr>
                <w:p>
                  <w:pPr>
                    <w:widowControl w:val="0"/>
                    <w:shd w:val="clear" w:color="auto" w:fill="auto"/>
                    <w:spacing w:line="240" w:lineRule="auto"/>
                    <w:jc w:val="center"/>
                    <w:rPr>
                      <w:szCs w:val="21"/>
                    </w:rPr>
                  </w:pPr>
                  <w:r>
                    <w:rPr>
                      <w:rFonts w:hint="eastAsia"/>
                      <w:szCs w:val="21"/>
                    </w:rPr>
                    <w:t>个</w:t>
                  </w:r>
                </w:p>
              </w:tc>
              <w:tc>
                <w:tcPr>
                  <w:tcW w:w="864" w:type="dxa"/>
                </w:tcPr>
                <w:p>
                  <w:pPr>
                    <w:widowControl w:val="0"/>
                    <w:shd w:val="clear" w:color="auto" w:fill="auto"/>
                    <w:spacing w:line="240" w:lineRule="auto"/>
                    <w:jc w:val="center"/>
                    <w:rPr>
                      <w:szCs w:val="21"/>
                    </w:rPr>
                  </w:pPr>
                  <w:r>
                    <w:rPr>
                      <w:rFonts w:hint="eastAsia"/>
                      <w:szCs w:val="21"/>
                    </w:rPr>
                    <w:t>39</w:t>
                  </w:r>
                </w:p>
              </w:tc>
              <w:tc>
                <w:tcPr>
                  <w:tcW w:w="2832" w:type="dxa"/>
                </w:tcPr>
                <w:p>
                  <w:pPr>
                    <w:widowControl w:val="0"/>
                    <w:shd w:val="clear" w:color="auto" w:fill="auto"/>
                    <w:spacing w:line="240" w:lineRule="auto"/>
                    <w:jc w:val="center"/>
                    <w:rPr>
                      <w:szCs w:val="21"/>
                    </w:rPr>
                  </w:pPr>
                  <w:r>
                    <w:rPr>
                      <w:rFonts w:hint="eastAsia"/>
                      <w:szCs w:val="21"/>
                    </w:rPr>
                    <w:t>搬迁运输、按要求放置到指定位置</w:t>
                  </w:r>
                </w:p>
              </w:tc>
              <w:tc>
                <w:tcPr>
                  <w:tcW w:w="1715" w:type="dxa"/>
                </w:tcPr>
                <w:p>
                  <w:pPr>
                    <w:widowControl w:val="0"/>
                    <w:shd w:val="clear" w:color="auto" w:fill="auto"/>
                    <w:spacing w:line="240" w:lineRule="auto"/>
                    <w:jc w:val="center"/>
                    <w:rPr>
                      <w:szCs w:val="21"/>
                    </w:rPr>
                  </w:pPr>
                  <w:r>
                    <w:rPr>
                      <w:rFonts w:hint="eastAsia"/>
                      <w:szCs w:val="21"/>
                    </w:rPr>
                    <w:t>太平洋商贸大厦A区及其他采购人指定地点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tcPr>
                <w:p>
                  <w:pPr>
                    <w:widowControl w:val="0"/>
                    <w:shd w:val="clear" w:color="auto" w:fill="auto"/>
                    <w:spacing w:line="240" w:lineRule="auto"/>
                    <w:jc w:val="center"/>
                    <w:rPr>
                      <w:szCs w:val="21"/>
                    </w:rPr>
                  </w:pPr>
                  <w:r>
                    <w:rPr>
                      <w:rFonts w:hint="eastAsia"/>
                      <w:szCs w:val="21"/>
                    </w:rPr>
                    <w:t>23</w:t>
                  </w:r>
                </w:p>
              </w:tc>
              <w:tc>
                <w:tcPr>
                  <w:tcW w:w="1500" w:type="dxa"/>
                </w:tcPr>
                <w:p>
                  <w:pPr>
                    <w:widowControl w:val="0"/>
                    <w:shd w:val="clear" w:color="auto" w:fill="auto"/>
                    <w:spacing w:line="240" w:lineRule="auto"/>
                    <w:jc w:val="center"/>
                    <w:rPr>
                      <w:szCs w:val="21"/>
                    </w:rPr>
                  </w:pPr>
                  <w:r>
                    <w:rPr>
                      <w:rFonts w:hint="eastAsia"/>
                      <w:szCs w:val="21"/>
                    </w:rPr>
                    <w:t>大班台</w:t>
                  </w:r>
                </w:p>
              </w:tc>
              <w:tc>
                <w:tcPr>
                  <w:tcW w:w="816" w:type="dxa"/>
                </w:tcPr>
                <w:p>
                  <w:pPr>
                    <w:widowControl w:val="0"/>
                    <w:shd w:val="clear" w:color="auto" w:fill="auto"/>
                    <w:spacing w:line="240" w:lineRule="auto"/>
                    <w:jc w:val="center"/>
                    <w:rPr>
                      <w:szCs w:val="21"/>
                    </w:rPr>
                  </w:pPr>
                  <w:r>
                    <w:rPr>
                      <w:rFonts w:hint="eastAsia"/>
                      <w:szCs w:val="21"/>
                    </w:rPr>
                    <w:t>张</w:t>
                  </w:r>
                </w:p>
              </w:tc>
              <w:tc>
                <w:tcPr>
                  <w:tcW w:w="864" w:type="dxa"/>
                </w:tcPr>
                <w:p>
                  <w:pPr>
                    <w:widowControl w:val="0"/>
                    <w:shd w:val="clear" w:color="auto" w:fill="auto"/>
                    <w:spacing w:line="240" w:lineRule="auto"/>
                    <w:jc w:val="center"/>
                    <w:rPr>
                      <w:szCs w:val="21"/>
                    </w:rPr>
                  </w:pPr>
                  <w:r>
                    <w:rPr>
                      <w:rFonts w:hint="eastAsia"/>
                      <w:szCs w:val="21"/>
                    </w:rPr>
                    <w:t>14</w:t>
                  </w:r>
                </w:p>
              </w:tc>
              <w:tc>
                <w:tcPr>
                  <w:tcW w:w="2832" w:type="dxa"/>
                </w:tcPr>
                <w:p>
                  <w:pPr>
                    <w:widowControl w:val="0"/>
                    <w:shd w:val="clear" w:color="auto" w:fill="auto"/>
                    <w:spacing w:line="240" w:lineRule="auto"/>
                    <w:jc w:val="center"/>
                    <w:rPr>
                      <w:szCs w:val="21"/>
                    </w:rPr>
                  </w:pPr>
                  <w:r>
                    <w:rPr>
                      <w:rFonts w:hint="eastAsia"/>
                      <w:szCs w:val="21"/>
                    </w:rPr>
                    <w:t>拆装、打包、搬运、安放</w:t>
                  </w:r>
                </w:p>
              </w:tc>
              <w:tc>
                <w:tcPr>
                  <w:tcW w:w="1715" w:type="dxa"/>
                </w:tcPr>
                <w:p>
                  <w:pPr>
                    <w:widowControl w:val="0"/>
                    <w:shd w:val="clear" w:color="auto" w:fill="auto"/>
                    <w:spacing w:line="240" w:lineRule="auto"/>
                    <w:jc w:val="center"/>
                    <w:rPr>
                      <w:szCs w:val="21"/>
                    </w:rPr>
                  </w:pPr>
                  <w:r>
                    <w:rPr>
                      <w:rFonts w:hint="eastAsia"/>
                      <w:szCs w:val="21"/>
                    </w:rPr>
                    <w:t>太平洋商贸大厦A区及其他采购人指定地点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tcPr>
                <w:p>
                  <w:pPr>
                    <w:widowControl w:val="0"/>
                    <w:shd w:val="clear" w:color="auto" w:fill="auto"/>
                    <w:spacing w:line="240" w:lineRule="auto"/>
                    <w:jc w:val="center"/>
                    <w:rPr>
                      <w:szCs w:val="21"/>
                    </w:rPr>
                  </w:pPr>
                  <w:r>
                    <w:rPr>
                      <w:rFonts w:hint="eastAsia"/>
                      <w:szCs w:val="21"/>
                    </w:rPr>
                    <w:t>24</w:t>
                  </w:r>
                </w:p>
              </w:tc>
              <w:tc>
                <w:tcPr>
                  <w:tcW w:w="1500" w:type="dxa"/>
                </w:tcPr>
                <w:p>
                  <w:pPr>
                    <w:widowControl w:val="0"/>
                    <w:shd w:val="clear" w:color="auto" w:fill="auto"/>
                    <w:spacing w:line="240" w:lineRule="auto"/>
                    <w:jc w:val="center"/>
                    <w:rPr>
                      <w:szCs w:val="21"/>
                    </w:rPr>
                  </w:pPr>
                  <w:r>
                    <w:rPr>
                      <w:rFonts w:hint="eastAsia"/>
                      <w:szCs w:val="21"/>
                    </w:rPr>
                    <w:t>写字台</w:t>
                  </w:r>
                </w:p>
              </w:tc>
              <w:tc>
                <w:tcPr>
                  <w:tcW w:w="816" w:type="dxa"/>
                </w:tcPr>
                <w:p>
                  <w:pPr>
                    <w:widowControl w:val="0"/>
                    <w:shd w:val="clear" w:color="auto" w:fill="auto"/>
                    <w:spacing w:line="240" w:lineRule="auto"/>
                    <w:jc w:val="center"/>
                    <w:rPr>
                      <w:szCs w:val="21"/>
                    </w:rPr>
                  </w:pPr>
                  <w:r>
                    <w:rPr>
                      <w:rFonts w:hint="eastAsia"/>
                      <w:szCs w:val="21"/>
                    </w:rPr>
                    <w:t>张</w:t>
                  </w:r>
                </w:p>
              </w:tc>
              <w:tc>
                <w:tcPr>
                  <w:tcW w:w="864" w:type="dxa"/>
                </w:tcPr>
                <w:p>
                  <w:pPr>
                    <w:widowControl w:val="0"/>
                    <w:shd w:val="clear" w:color="auto" w:fill="auto"/>
                    <w:spacing w:line="240" w:lineRule="auto"/>
                    <w:jc w:val="center"/>
                    <w:rPr>
                      <w:szCs w:val="21"/>
                    </w:rPr>
                  </w:pPr>
                  <w:r>
                    <w:rPr>
                      <w:rFonts w:hint="eastAsia"/>
                      <w:szCs w:val="21"/>
                    </w:rPr>
                    <w:t>53</w:t>
                  </w:r>
                </w:p>
              </w:tc>
              <w:tc>
                <w:tcPr>
                  <w:tcW w:w="2832" w:type="dxa"/>
                </w:tcPr>
                <w:p>
                  <w:pPr>
                    <w:widowControl w:val="0"/>
                    <w:shd w:val="clear" w:color="auto" w:fill="auto"/>
                    <w:spacing w:line="240" w:lineRule="auto"/>
                    <w:jc w:val="center"/>
                    <w:rPr>
                      <w:szCs w:val="21"/>
                    </w:rPr>
                  </w:pPr>
                  <w:r>
                    <w:rPr>
                      <w:rFonts w:hint="eastAsia"/>
                      <w:szCs w:val="21"/>
                    </w:rPr>
                    <w:t>拆装、打包、搬运、安放</w:t>
                  </w:r>
                </w:p>
              </w:tc>
              <w:tc>
                <w:tcPr>
                  <w:tcW w:w="1715" w:type="dxa"/>
                </w:tcPr>
                <w:p>
                  <w:pPr>
                    <w:widowControl w:val="0"/>
                    <w:shd w:val="clear" w:color="auto" w:fill="auto"/>
                    <w:spacing w:line="240" w:lineRule="auto"/>
                    <w:jc w:val="center"/>
                    <w:rPr>
                      <w:szCs w:val="21"/>
                    </w:rPr>
                  </w:pPr>
                  <w:r>
                    <w:rPr>
                      <w:rFonts w:hint="eastAsia"/>
                      <w:szCs w:val="21"/>
                    </w:rPr>
                    <w:t>太平洋商贸大厦A区及其他采购人指定地点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tcPr>
                <w:p>
                  <w:pPr>
                    <w:widowControl w:val="0"/>
                    <w:shd w:val="clear" w:color="auto" w:fill="auto"/>
                    <w:spacing w:line="240" w:lineRule="auto"/>
                    <w:jc w:val="center"/>
                    <w:rPr>
                      <w:szCs w:val="21"/>
                    </w:rPr>
                  </w:pPr>
                  <w:r>
                    <w:rPr>
                      <w:rFonts w:hint="eastAsia"/>
                      <w:szCs w:val="21"/>
                    </w:rPr>
                    <w:t>25</w:t>
                  </w:r>
                </w:p>
              </w:tc>
              <w:tc>
                <w:tcPr>
                  <w:tcW w:w="1500" w:type="dxa"/>
                </w:tcPr>
                <w:p>
                  <w:pPr>
                    <w:widowControl w:val="0"/>
                    <w:shd w:val="clear" w:color="auto" w:fill="auto"/>
                    <w:spacing w:line="240" w:lineRule="auto"/>
                    <w:jc w:val="center"/>
                    <w:rPr>
                      <w:szCs w:val="21"/>
                    </w:rPr>
                  </w:pPr>
                  <w:r>
                    <w:rPr>
                      <w:rFonts w:hint="eastAsia"/>
                      <w:szCs w:val="21"/>
                    </w:rPr>
                    <w:t>员工卡桌</w:t>
                  </w:r>
                </w:p>
              </w:tc>
              <w:tc>
                <w:tcPr>
                  <w:tcW w:w="816" w:type="dxa"/>
                </w:tcPr>
                <w:p>
                  <w:pPr>
                    <w:widowControl w:val="0"/>
                    <w:shd w:val="clear" w:color="auto" w:fill="auto"/>
                    <w:spacing w:line="240" w:lineRule="auto"/>
                    <w:jc w:val="center"/>
                    <w:rPr>
                      <w:szCs w:val="21"/>
                    </w:rPr>
                  </w:pPr>
                  <w:r>
                    <w:rPr>
                      <w:rFonts w:hint="eastAsia"/>
                      <w:szCs w:val="21"/>
                    </w:rPr>
                    <w:t>张</w:t>
                  </w:r>
                </w:p>
              </w:tc>
              <w:tc>
                <w:tcPr>
                  <w:tcW w:w="864" w:type="dxa"/>
                </w:tcPr>
                <w:p>
                  <w:pPr>
                    <w:widowControl w:val="0"/>
                    <w:shd w:val="clear" w:color="auto" w:fill="auto"/>
                    <w:spacing w:line="240" w:lineRule="auto"/>
                    <w:jc w:val="center"/>
                    <w:rPr>
                      <w:szCs w:val="21"/>
                    </w:rPr>
                  </w:pPr>
                  <w:r>
                    <w:rPr>
                      <w:rFonts w:hint="eastAsia"/>
                      <w:szCs w:val="21"/>
                    </w:rPr>
                    <w:t>71</w:t>
                  </w:r>
                </w:p>
              </w:tc>
              <w:tc>
                <w:tcPr>
                  <w:tcW w:w="2832" w:type="dxa"/>
                </w:tcPr>
                <w:p>
                  <w:pPr>
                    <w:widowControl w:val="0"/>
                    <w:shd w:val="clear" w:color="auto" w:fill="auto"/>
                    <w:spacing w:line="240" w:lineRule="auto"/>
                    <w:jc w:val="center"/>
                    <w:rPr>
                      <w:szCs w:val="21"/>
                    </w:rPr>
                  </w:pPr>
                  <w:r>
                    <w:rPr>
                      <w:rFonts w:hint="eastAsia"/>
                      <w:szCs w:val="21"/>
                    </w:rPr>
                    <w:t>拆装、打包、搬运、安放</w:t>
                  </w:r>
                </w:p>
              </w:tc>
              <w:tc>
                <w:tcPr>
                  <w:tcW w:w="1715" w:type="dxa"/>
                </w:tcPr>
                <w:p>
                  <w:pPr>
                    <w:widowControl w:val="0"/>
                    <w:shd w:val="clear" w:color="auto" w:fill="auto"/>
                    <w:spacing w:line="240" w:lineRule="auto"/>
                    <w:jc w:val="center"/>
                    <w:rPr>
                      <w:szCs w:val="21"/>
                    </w:rPr>
                  </w:pPr>
                  <w:r>
                    <w:rPr>
                      <w:rFonts w:hint="eastAsia"/>
                      <w:szCs w:val="21"/>
                    </w:rPr>
                    <w:t>太平洋商贸大厦A区及其他采购人指定地点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tcPr>
                <w:p>
                  <w:pPr>
                    <w:widowControl w:val="0"/>
                    <w:shd w:val="clear" w:color="auto" w:fill="auto"/>
                    <w:spacing w:line="240" w:lineRule="auto"/>
                    <w:jc w:val="center"/>
                    <w:rPr>
                      <w:szCs w:val="21"/>
                    </w:rPr>
                  </w:pPr>
                  <w:r>
                    <w:rPr>
                      <w:rFonts w:hint="eastAsia"/>
                      <w:szCs w:val="21"/>
                    </w:rPr>
                    <w:t>26</w:t>
                  </w:r>
                </w:p>
              </w:tc>
              <w:tc>
                <w:tcPr>
                  <w:tcW w:w="1500" w:type="dxa"/>
                </w:tcPr>
                <w:p>
                  <w:pPr>
                    <w:widowControl w:val="0"/>
                    <w:shd w:val="clear" w:color="auto" w:fill="auto"/>
                    <w:spacing w:line="240" w:lineRule="auto"/>
                    <w:jc w:val="center"/>
                    <w:rPr>
                      <w:szCs w:val="21"/>
                    </w:rPr>
                  </w:pPr>
                  <w:r>
                    <w:rPr>
                      <w:rFonts w:hint="eastAsia"/>
                      <w:szCs w:val="21"/>
                    </w:rPr>
                    <w:t>花案</w:t>
                  </w:r>
                </w:p>
              </w:tc>
              <w:tc>
                <w:tcPr>
                  <w:tcW w:w="816" w:type="dxa"/>
                </w:tcPr>
                <w:p>
                  <w:pPr>
                    <w:widowControl w:val="0"/>
                    <w:shd w:val="clear" w:color="auto" w:fill="auto"/>
                    <w:spacing w:line="240" w:lineRule="auto"/>
                    <w:jc w:val="center"/>
                    <w:rPr>
                      <w:szCs w:val="21"/>
                    </w:rPr>
                  </w:pPr>
                  <w:r>
                    <w:rPr>
                      <w:rFonts w:hint="eastAsia"/>
                      <w:szCs w:val="21"/>
                    </w:rPr>
                    <w:t>张</w:t>
                  </w:r>
                </w:p>
              </w:tc>
              <w:tc>
                <w:tcPr>
                  <w:tcW w:w="864" w:type="dxa"/>
                </w:tcPr>
                <w:p>
                  <w:pPr>
                    <w:widowControl w:val="0"/>
                    <w:shd w:val="clear" w:color="auto" w:fill="auto"/>
                    <w:spacing w:line="240" w:lineRule="auto"/>
                    <w:jc w:val="center"/>
                    <w:rPr>
                      <w:szCs w:val="21"/>
                    </w:rPr>
                  </w:pPr>
                  <w:r>
                    <w:rPr>
                      <w:rFonts w:hint="eastAsia"/>
                      <w:szCs w:val="21"/>
                    </w:rPr>
                    <w:t>6</w:t>
                  </w:r>
                </w:p>
              </w:tc>
              <w:tc>
                <w:tcPr>
                  <w:tcW w:w="2832" w:type="dxa"/>
                </w:tcPr>
                <w:p>
                  <w:pPr>
                    <w:widowControl w:val="0"/>
                    <w:shd w:val="clear" w:color="auto" w:fill="auto"/>
                    <w:spacing w:line="240" w:lineRule="auto"/>
                    <w:jc w:val="center"/>
                    <w:rPr>
                      <w:szCs w:val="21"/>
                    </w:rPr>
                  </w:pPr>
                  <w:r>
                    <w:rPr>
                      <w:rFonts w:hint="eastAsia"/>
                      <w:szCs w:val="21"/>
                    </w:rPr>
                    <w:t>拆装、打包、搬运、安放</w:t>
                  </w:r>
                </w:p>
              </w:tc>
              <w:tc>
                <w:tcPr>
                  <w:tcW w:w="1715" w:type="dxa"/>
                </w:tcPr>
                <w:p>
                  <w:pPr>
                    <w:widowControl w:val="0"/>
                    <w:shd w:val="clear" w:color="auto" w:fill="auto"/>
                    <w:spacing w:line="240" w:lineRule="auto"/>
                    <w:jc w:val="center"/>
                    <w:rPr>
                      <w:szCs w:val="21"/>
                    </w:rPr>
                  </w:pPr>
                  <w:r>
                    <w:rPr>
                      <w:rFonts w:hint="eastAsia"/>
                      <w:szCs w:val="21"/>
                    </w:rPr>
                    <w:t>太平洋商贸大厦A区及其他采购人指定地点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tcPr>
                <w:p>
                  <w:pPr>
                    <w:widowControl w:val="0"/>
                    <w:shd w:val="clear" w:color="auto" w:fill="auto"/>
                    <w:spacing w:line="240" w:lineRule="auto"/>
                    <w:jc w:val="center"/>
                    <w:rPr>
                      <w:szCs w:val="21"/>
                    </w:rPr>
                  </w:pPr>
                  <w:r>
                    <w:rPr>
                      <w:rFonts w:hint="eastAsia"/>
                      <w:szCs w:val="21"/>
                    </w:rPr>
                    <w:t>27</w:t>
                  </w:r>
                </w:p>
              </w:tc>
              <w:tc>
                <w:tcPr>
                  <w:tcW w:w="1500" w:type="dxa"/>
                </w:tcPr>
                <w:p>
                  <w:pPr>
                    <w:widowControl w:val="0"/>
                    <w:shd w:val="clear" w:color="auto" w:fill="auto"/>
                    <w:spacing w:line="240" w:lineRule="auto"/>
                    <w:jc w:val="center"/>
                    <w:rPr>
                      <w:szCs w:val="21"/>
                    </w:rPr>
                  </w:pPr>
                  <w:r>
                    <w:rPr>
                      <w:rFonts w:hint="eastAsia"/>
                      <w:szCs w:val="21"/>
                    </w:rPr>
                    <w:t>阅览桌</w:t>
                  </w:r>
                </w:p>
              </w:tc>
              <w:tc>
                <w:tcPr>
                  <w:tcW w:w="816" w:type="dxa"/>
                </w:tcPr>
                <w:p>
                  <w:pPr>
                    <w:widowControl w:val="0"/>
                    <w:shd w:val="clear" w:color="auto" w:fill="auto"/>
                    <w:spacing w:line="240" w:lineRule="auto"/>
                    <w:jc w:val="center"/>
                    <w:rPr>
                      <w:szCs w:val="21"/>
                    </w:rPr>
                  </w:pPr>
                  <w:r>
                    <w:rPr>
                      <w:rFonts w:hint="eastAsia"/>
                      <w:szCs w:val="21"/>
                    </w:rPr>
                    <w:t>张</w:t>
                  </w:r>
                </w:p>
              </w:tc>
              <w:tc>
                <w:tcPr>
                  <w:tcW w:w="864" w:type="dxa"/>
                </w:tcPr>
                <w:p>
                  <w:pPr>
                    <w:widowControl w:val="0"/>
                    <w:shd w:val="clear" w:color="auto" w:fill="auto"/>
                    <w:spacing w:line="240" w:lineRule="auto"/>
                    <w:jc w:val="center"/>
                    <w:rPr>
                      <w:szCs w:val="21"/>
                    </w:rPr>
                  </w:pPr>
                  <w:r>
                    <w:rPr>
                      <w:rFonts w:hint="eastAsia"/>
                      <w:szCs w:val="21"/>
                    </w:rPr>
                    <w:t>191</w:t>
                  </w:r>
                </w:p>
              </w:tc>
              <w:tc>
                <w:tcPr>
                  <w:tcW w:w="2832" w:type="dxa"/>
                </w:tcPr>
                <w:p>
                  <w:pPr>
                    <w:widowControl w:val="0"/>
                    <w:shd w:val="clear" w:color="auto" w:fill="auto"/>
                    <w:spacing w:line="240" w:lineRule="auto"/>
                    <w:jc w:val="center"/>
                    <w:rPr>
                      <w:szCs w:val="21"/>
                    </w:rPr>
                  </w:pPr>
                  <w:r>
                    <w:rPr>
                      <w:rFonts w:hint="eastAsia"/>
                      <w:szCs w:val="21"/>
                    </w:rPr>
                    <w:t>拆装、打包、搬运、安放</w:t>
                  </w:r>
                </w:p>
              </w:tc>
              <w:tc>
                <w:tcPr>
                  <w:tcW w:w="1715" w:type="dxa"/>
                </w:tcPr>
                <w:p>
                  <w:pPr>
                    <w:widowControl w:val="0"/>
                    <w:shd w:val="clear" w:color="auto" w:fill="auto"/>
                    <w:spacing w:line="240" w:lineRule="auto"/>
                    <w:jc w:val="center"/>
                    <w:rPr>
                      <w:szCs w:val="21"/>
                    </w:rPr>
                  </w:pPr>
                  <w:r>
                    <w:rPr>
                      <w:rFonts w:hint="eastAsia"/>
                      <w:szCs w:val="21"/>
                    </w:rPr>
                    <w:t>太平洋商贸大厦A区及其他采购人指定地点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tcPr>
                <w:p>
                  <w:pPr>
                    <w:widowControl w:val="0"/>
                    <w:shd w:val="clear" w:color="auto" w:fill="auto"/>
                    <w:spacing w:line="240" w:lineRule="auto"/>
                    <w:jc w:val="center"/>
                    <w:rPr>
                      <w:szCs w:val="21"/>
                    </w:rPr>
                  </w:pPr>
                  <w:r>
                    <w:rPr>
                      <w:rFonts w:hint="eastAsia"/>
                      <w:szCs w:val="21"/>
                    </w:rPr>
                    <w:t>28</w:t>
                  </w:r>
                </w:p>
              </w:tc>
              <w:tc>
                <w:tcPr>
                  <w:tcW w:w="1500" w:type="dxa"/>
                </w:tcPr>
                <w:p>
                  <w:pPr>
                    <w:widowControl w:val="0"/>
                    <w:shd w:val="clear" w:color="auto" w:fill="auto"/>
                    <w:spacing w:line="240" w:lineRule="auto"/>
                    <w:jc w:val="center"/>
                    <w:rPr>
                      <w:szCs w:val="21"/>
                    </w:rPr>
                  </w:pPr>
                  <w:r>
                    <w:rPr>
                      <w:rFonts w:hint="eastAsia"/>
                      <w:szCs w:val="21"/>
                    </w:rPr>
                    <w:t>中班台</w:t>
                  </w:r>
                </w:p>
              </w:tc>
              <w:tc>
                <w:tcPr>
                  <w:tcW w:w="816" w:type="dxa"/>
                </w:tcPr>
                <w:p>
                  <w:pPr>
                    <w:widowControl w:val="0"/>
                    <w:shd w:val="clear" w:color="auto" w:fill="auto"/>
                    <w:spacing w:line="240" w:lineRule="auto"/>
                    <w:jc w:val="center"/>
                    <w:rPr>
                      <w:szCs w:val="21"/>
                    </w:rPr>
                  </w:pPr>
                  <w:r>
                    <w:rPr>
                      <w:rFonts w:hint="eastAsia"/>
                      <w:szCs w:val="21"/>
                    </w:rPr>
                    <w:t>张</w:t>
                  </w:r>
                </w:p>
              </w:tc>
              <w:tc>
                <w:tcPr>
                  <w:tcW w:w="864" w:type="dxa"/>
                </w:tcPr>
                <w:p>
                  <w:pPr>
                    <w:widowControl w:val="0"/>
                    <w:shd w:val="clear" w:color="auto" w:fill="auto"/>
                    <w:spacing w:line="240" w:lineRule="auto"/>
                    <w:jc w:val="center"/>
                    <w:rPr>
                      <w:szCs w:val="21"/>
                    </w:rPr>
                  </w:pPr>
                  <w:r>
                    <w:rPr>
                      <w:rFonts w:hint="eastAsia"/>
                      <w:szCs w:val="21"/>
                    </w:rPr>
                    <w:t>15</w:t>
                  </w:r>
                </w:p>
              </w:tc>
              <w:tc>
                <w:tcPr>
                  <w:tcW w:w="2832" w:type="dxa"/>
                </w:tcPr>
                <w:p>
                  <w:pPr>
                    <w:widowControl w:val="0"/>
                    <w:shd w:val="clear" w:color="auto" w:fill="auto"/>
                    <w:spacing w:line="240" w:lineRule="auto"/>
                    <w:jc w:val="center"/>
                    <w:rPr>
                      <w:szCs w:val="21"/>
                    </w:rPr>
                  </w:pPr>
                  <w:r>
                    <w:rPr>
                      <w:rFonts w:hint="eastAsia"/>
                      <w:szCs w:val="21"/>
                    </w:rPr>
                    <w:t>拆装、打包、搬运、安放</w:t>
                  </w:r>
                </w:p>
              </w:tc>
              <w:tc>
                <w:tcPr>
                  <w:tcW w:w="1715" w:type="dxa"/>
                </w:tcPr>
                <w:p>
                  <w:pPr>
                    <w:widowControl w:val="0"/>
                    <w:shd w:val="clear" w:color="auto" w:fill="auto"/>
                    <w:spacing w:line="240" w:lineRule="auto"/>
                    <w:jc w:val="center"/>
                    <w:rPr>
                      <w:szCs w:val="21"/>
                    </w:rPr>
                  </w:pPr>
                  <w:r>
                    <w:rPr>
                      <w:rFonts w:hint="eastAsia"/>
                      <w:szCs w:val="21"/>
                    </w:rPr>
                    <w:t>太平洋商贸大厦A区及其他采购人指定地点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tcPr>
                <w:p>
                  <w:pPr>
                    <w:widowControl w:val="0"/>
                    <w:shd w:val="clear" w:color="auto" w:fill="auto"/>
                    <w:spacing w:line="240" w:lineRule="auto"/>
                    <w:jc w:val="center"/>
                    <w:rPr>
                      <w:szCs w:val="21"/>
                    </w:rPr>
                  </w:pPr>
                  <w:r>
                    <w:rPr>
                      <w:rFonts w:hint="eastAsia"/>
                      <w:szCs w:val="21"/>
                    </w:rPr>
                    <w:t>29</w:t>
                  </w:r>
                </w:p>
              </w:tc>
              <w:tc>
                <w:tcPr>
                  <w:tcW w:w="1500" w:type="dxa"/>
                </w:tcPr>
                <w:p>
                  <w:pPr>
                    <w:widowControl w:val="0"/>
                    <w:shd w:val="clear" w:color="auto" w:fill="auto"/>
                    <w:spacing w:line="240" w:lineRule="auto"/>
                    <w:jc w:val="center"/>
                    <w:rPr>
                      <w:szCs w:val="21"/>
                    </w:rPr>
                  </w:pPr>
                  <w:r>
                    <w:rPr>
                      <w:rFonts w:hint="eastAsia"/>
                      <w:szCs w:val="21"/>
                    </w:rPr>
                    <w:t>主席台</w:t>
                  </w:r>
                </w:p>
              </w:tc>
              <w:tc>
                <w:tcPr>
                  <w:tcW w:w="816" w:type="dxa"/>
                </w:tcPr>
                <w:p>
                  <w:pPr>
                    <w:widowControl w:val="0"/>
                    <w:shd w:val="clear" w:color="auto" w:fill="auto"/>
                    <w:spacing w:line="240" w:lineRule="auto"/>
                    <w:jc w:val="center"/>
                    <w:rPr>
                      <w:szCs w:val="21"/>
                    </w:rPr>
                  </w:pPr>
                  <w:r>
                    <w:rPr>
                      <w:rFonts w:hint="eastAsia"/>
                      <w:szCs w:val="21"/>
                    </w:rPr>
                    <w:t>张</w:t>
                  </w:r>
                </w:p>
              </w:tc>
              <w:tc>
                <w:tcPr>
                  <w:tcW w:w="864" w:type="dxa"/>
                </w:tcPr>
                <w:p>
                  <w:pPr>
                    <w:widowControl w:val="0"/>
                    <w:shd w:val="clear" w:color="auto" w:fill="auto"/>
                    <w:spacing w:line="240" w:lineRule="auto"/>
                    <w:jc w:val="center"/>
                    <w:rPr>
                      <w:szCs w:val="21"/>
                    </w:rPr>
                  </w:pPr>
                  <w:r>
                    <w:rPr>
                      <w:rFonts w:hint="eastAsia"/>
                      <w:szCs w:val="21"/>
                    </w:rPr>
                    <w:t>4</w:t>
                  </w:r>
                </w:p>
              </w:tc>
              <w:tc>
                <w:tcPr>
                  <w:tcW w:w="2832" w:type="dxa"/>
                </w:tcPr>
                <w:p>
                  <w:pPr>
                    <w:widowControl w:val="0"/>
                    <w:shd w:val="clear" w:color="auto" w:fill="auto"/>
                    <w:spacing w:line="240" w:lineRule="auto"/>
                    <w:jc w:val="center"/>
                    <w:rPr>
                      <w:szCs w:val="21"/>
                    </w:rPr>
                  </w:pPr>
                  <w:r>
                    <w:rPr>
                      <w:rFonts w:hint="eastAsia"/>
                      <w:szCs w:val="21"/>
                    </w:rPr>
                    <w:t>打包、搬迁运输、按要求放置到指定位置</w:t>
                  </w:r>
                </w:p>
              </w:tc>
              <w:tc>
                <w:tcPr>
                  <w:tcW w:w="1715" w:type="dxa"/>
                </w:tcPr>
                <w:p>
                  <w:pPr>
                    <w:widowControl w:val="0"/>
                    <w:shd w:val="clear" w:color="auto" w:fill="auto"/>
                    <w:spacing w:line="240" w:lineRule="auto"/>
                    <w:jc w:val="center"/>
                    <w:rPr>
                      <w:szCs w:val="21"/>
                    </w:rPr>
                  </w:pPr>
                  <w:r>
                    <w:rPr>
                      <w:rFonts w:hint="eastAsia"/>
                      <w:szCs w:val="21"/>
                    </w:rPr>
                    <w:t>太平洋商贸大厦A区及其他采购人指定地点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widowControl w:val="0"/>
                    <w:shd w:val="clear" w:color="auto" w:fill="auto"/>
                    <w:spacing w:line="240" w:lineRule="auto"/>
                    <w:jc w:val="center"/>
                    <w:rPr>
                      <w:szCs w:val="21"/>
                    </w:rPr>
                  </w:pPr>
                  <w:r>
                    <w:rPr>
                      <w:rFonts w:hint="eastAsia"/>
                      <w:szCs w:val="21"/>
                    </w:rPr>
                    <w:t>30</w:t>
                  </w:r>
                </w:p>
              </w:tc>
              <w:tc>
                <w:tcPr>
                  <w:tcW w:w="1500" w:type="dxa"/>
                  <w:vAlign w:val="center"/>
                </w:tcPr>
                <w:p>
                  <w:pPr>
                    <w:widowControl w:val="0"/>
                    <w:shd w:val="clear" w:color="auto" w:fill="auto"/>
                    <w:spacing w:line="240" w:lineRule="auto"/>
                    <w:jc w:val="center"/>
                    <w:rPr>
                      <w:szCs w:val="21"/>
                    </w:rPr>
                  </w:pPr>
                  <w:r>
                    <w:rPr>
                      <w:rFonts w:hint="eastAsia"/>
                      <w:szCs w:val="21"/>
                    </w:rPr>
                    <w:t>办公椅</w:t>
                  </w:r>
                </w:p>
              </w:tc>
              <w:tc>
                <w:tcPr>
                  <w:tcW w:w="816" w:type="dxa"/>
                  <w:vAlign w:val="center"/>
                </w:tcPr>
                <w:p>
                  <w:pPr>
                    <w:widowControl w:val="0"/>
                    <w:shd w:val="clear" w:color="auto" w:fill="auto"/>
                    <w:spacing w:line="240" w:lineRule="auto"/>
                    <w:jc w:val="center"/>
                    <w:rPr>
                      <w:szCs w:val="21"/>
                    </w:rPr>
                  </w:pPr>
                  <w:r>
                    <w:rPr>
                      <w:rFonts w:hint="eastAsia"/>
                      <w:szCs w:val="21"/>
                    </w:rPr>
                    <w:t>张</w:t>
                  </w:r>
                </w:p>
              </w:tc>
              <w:tc>
                <w:tcPr>
                  <w:tcW w:w="864" w:type="dxa"/>
                  <w:vAlign w:val="center"/>
                </w:tcPr>
                <w:p>
                  <w:pPr>
                    <w:widowControl w:val="0"/>
                    <w:shd w:val="clear" w:color="auto" w:fill="auto"/>
                    <w:spacing w:line="240" w:lineRule="auto"/>
                    <w:jc w:val="center"/>
                    <w:rPr>
                      <w:szCs w:val="21"/>
                    </w:rPr>
                  </w:pPr>
                  <w:r>
                    <w:rPr>
                      <w:rFonts w:hint="eastAsia"/>
                      <w:szCs w:val="21"/>
                    </w:rPr>
                    <w:t>172</w:t>
                  </w:r>
                </w:p>
              </w:tc>
              <w:tc>
                <w:tcPr>
                  <w:tcW w:w="2832" w:type="dxa"/>
                  <w:vAlign w:val="center"/>
                </w:tcPr>
                <w:p>
                  <w:pPr>
                    <w:widowControl w:val="0"/>
                    <w:shd w:val="clear" w:color="auto" w:fill="auto"/>
                    <w:spacing w:line="240" w:lineRule="auto"/>
                    <w:jc w:val="center"/>
                    <w:rPr>
                      <w:szCs w:val="21"/>
                    </w:rPr>
                  </w:pPr>
                  <w:r>
                    <w:rPr>
                      <w:rFonts w:hint="eastAsia"/>
                      <w:szCs w:val="21"/>
                    </w:rPr>
                    <w:t>打包、搬迁运输、按要求放置到指定位置</w:t>
                  </w:r>
                </w:p>
              </w:tc>
              <w:tc>
                <w:tcPr>
                  <w:tcW w:w="1715" w:type="dxa"/>
                  <w:vAlign w:val="center"/>
                </w:tcPr>
                <w:p>
                  <w:pPr>
                    <w:widowControl w:val="0"/>
                    <w:shd w:val="clear" w:color="auto" w:fill="auto"/>
                    <w:spacing w:line="240" w:lineRule="auto"/>
                    <w:jc w:val="center"/>
                    <w:rPr>
                      <w:szCs w:val="21"/>
                    </w:rPr>
                  </w:pPr>
                  <w:r>
                    <w:rPr>
                      <w:rFonts w:hint="eastAsia"/>
                      <w:szCs w:val="21"/>
                    </w:rPr>
                    <w:t>太平洋商贸大厦A区及其他采购人指定地点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widowControl w:val="0"/>
                    <w:shd w:val="clear" w:color="auto" w:fill="auto"/>
                    <w:spacing w:line="240" w:lineRule="auto"/>
                    <w:jc w:val="center"/>
                    <w:rPr>
                      <w:szCs w:val="21"/>
                    </w:rPr>
                  </w:pPr>
                  <w:r>
                    <w:rPr>
                      <w:rFonts w:hint="eastAsia"/>
                      <w:szCs w:val="21"/>
                    </w:rPr>
                    <w:t>31</w:t>
                  </w:r>
                </w:p>
              </w:tc>
              <w:tc>
                <w:tcPr>
                  <w:tcW w:w="1500" w:type="dxa"/>
                  <w:vAlign w:val="center"/>
                </w:tcPr>
                <w:p>
                  <w:pPr>
                    <w:widowControl w:val="0"/>
                    <w:shd w:val="clear" w:color="auto" w:fill="auto"/>
                    <w:spacing w:line="240" w:lineRule="auto"/>
                    <w:jc w:val="center"/>
                    <w:rPr>
                      <w:szCs w:val="21"/>
                    </w:rPr>
                  </w:pPr>
                  <w:r>
                    <w:rPr>
                      <w:rFonts w:hint="eastAsia"/>
                      <w:szCs w:val="21"/>
                    </w:rPr>
                    <w:t>实木椅</w:t>
                  </w:r>
                </w:p>
              </w:tc>
              <w:tc>
                <w:tcPr>
                  <w:tcW w:w="816" w:type="dxa"/>
                  <w:vAlign w:val="center"/>
                </w:tcPr>
                <w:p>
                  <w:pPr>
                    <w:widowControl w:val="0"/>
                    <w:shd w:val="clear" w:color="auto" w:fill="auto"/>
                    <w:spacing w:line="240" w:lineRule="auto"/>
                    <w:jc w:val="center"/>
                    <w:rPr>
                      <w:szCs w:val="21"/>
                    </w:rPr>
                  </w:pPr>
                  <w:r>
                    <w:rPr>
                      <w:rFonts w:hint="eastAsia"/>
                      <w:szCs w:val="21"/>
                    </w:rPr>
                    <w:t>张</w:t>
                  </w:r>
                </w:p>
              </w:tc>
              <w:tc>
                <w:tcPr>
                  <w:tcW w:w="864" w:type="dxa"/>
                  <w:vAlign w:val="center"/>
                </w:tcPr>
                <w:p>
                  <w:pPr>
                    <w:widowControl w:val="0"/>
                    <w:shd w:val="clear" w:color="auto" w:fill="auto"/>
                    <w:spacing w:line="240" w:lineRule="auto"/>
                    <w:jc w:val="center"/>
                    <w:rPr>
                      <w:szCs w:val="21"/>
                    </w:rPr>
                  </w:pPr>
                  <w:r>
                    <w:rPr>
                      <w:rFonts w:hint="eastAsia"/>
                      <w:szCs w:val="21"/>
                    </w:rPr>
                    <w:t>34</w:t>
                  </w:r>
                </w:p>
              </w:tc>
              <w:tc>
                <w:tcPr>
                  <w:tcW w:w="2832" w:type="dxa"/>
                  <w:vAlign w:val="center"/>
                </w:tcPr>
                <w:p>
                  <w:pPr>
                    <w:widowControl w:val="0"/>
                    <w:shd w:val="clear" w:color="auto" w:fill="auto"/>
                    <w:spacing w:line="240" w:lineRule="auto"/>
                    <w:jc w:val="center"/>
                    <w:rPr>
                      <w:szCs w:val="21"/>
                    </w:rPr>
                  </w:pPr>
                  <w:r>
                    <w:rPr>
                      <w:rFonts w:hint="eastAsia"/>
                      <w:szCs w:val="21"/>
                    </w:rPr>
                    <w:t>打包、搬迁运输、按要求放置到指定位置</w:t>
                  </w:r>
                </w:p>
              </w:tc>
              <w:tc>
                <w:tcPr>
                  <w:tcW w:w="1715" w:type="dxa"/>
                  <w:vAlign w:val="center"/>
                </w:tcPr>
                <w:p>
                  <w:pPr>
                    <w:widowControl w:val="0"/>
                    <w:shd w:val="clear" w:color="auto" w:fill="auto"/>
                    <w:spacing w:line="240" w:lineRule="auto"/>
                    <w:jc w:val="center"/>
                    <w:rPr>
                      <w:szCs w:val="21"/>
                    </w:rPr>
                  </w:pPr>
                  <w:r>
                    <w:rPr>
                      <w:rFonts w:hint="eastAsia"/>
                      <w:szCs w:val="21"/>
                    </w:rPr>
                    <w:t>太平洋商贸大厦A区及其他采购人指定地点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widowControl w:val="0"/>
                    <w:shd w:val="clear" w:color="auto" w:fill="auto"/>
                    <w:spacing w:line="240" w:lineRule="auto"/>
                    <w:jc w:val="center"/>
                    <w:rPr>
                      <w:szCs w:val="21"/>
                    </w:rPr>
                  </w:pPr>
                  <w:r>
                    <w:rPr>
                      <w:rFonts w:hint="eastAsia"/>
                      <w:szCs w:val="21"/>
                    </w:rPr>
                    <w:t>32</w:t>
                  </w:r>
                </w:p>
              </w:tc>
              <w:tc>
                <w:tcPr>
                  <w:tcW w:w="1500" w:type="dxa"/>
                  <w:vAlign w:val="center"/>
                </w:tcPr>
                <w:p>
                  <w:pPr>
                    <w:widowControl w:val="0"/>
                    <w:shd w:val="clear" w:color="auto" w:fill="auto"/>
                    <w:spacing w:line="240" w:lineRule="auto"/>
                    <w:jc w:val="center"/>
                    <w:rPr>
                      <w:szCs w:val="21"/>
                    </w:rPr>
                  </w:pPr>
                  <w:r>
                    <w:rPr>
                      <w:rFonts w:hint="eastAsia"/>
                      <w:szCs w:val="21"/>
                    </w:rPr>
                    <w:t>阅览椅</w:t>
                  </w:r>
                </w:p>
              </w:tc>
              <w:tc>
                <w:tcPr>
                  <w:tcW w:w="816" w:type="dxa"/>
                  <w:vAlign w:val="center"/>
                </w:tcPr>
                <w:p>
                  <w:pPr>
                    <w:widowControl w:val="0"/>
                    <w:shd w:val="clear" w:color="auto" w:fill="auto"/>
                    <w:spacing w:line="240" w:lineRule="auto"/>
                    <w:jc w:val="center"/>
                    <w:rPr>
                      <w:szCs w:val="21"/>
                    </w:rPr>
                  </w:pPr>
                  <w:r>
                    <w:rPr>
                      <w:rFonts w:hint="eastAsia"/>
                      <w:szCs w:val="21"/>
                    </w:rPr>
                    <w:t>张</w:t>
                  </w:r>
                </w:p>
              </w:tc>
              <w:tc>
                <w:tcPr>
                  <w:tcW w:w="864" w:type="dxa"/>
                  <w:vAlign w:val="center"/>
                </w:tcPr>
                <w:p>
                  <w:pPr>
                    <w:widowControl w:val="0"/>
                    <w:shd w:val="clear" w:color="auto" w:fill="auto"/>
                    <w:spacing w:line="240" w:lineRule="auto"/>
                    <w:jc w:val="center"/>
                    <w:rPr>
                      <w:szCs w:val="21"/>
                    </w:rPr>
                  </w:pPr>
                  <w:r>
                    <w:rPr>
                      <w:rFonts w:hint="eastAsia"/>
                      <w:szCs w:val="21"/>
                    </w:rPr>
                    <w:t>546</w:t>
                  </w:r>
                </w:p>
              </w:tc>
              <w:tc>
                <w:tcPr>
                  <w:tcW w:w="2832" w:type="dxa"/>
                  <w:vAlign w:val="center"/>
                </w:tcPr>
                <w:p>
                  <w:pPr>
                    <w:widowControl w:val="0"/>
                    <w:shd w:val="clear" w:color="auto" w:fill="auto"/>
                    <w:spacing w:line="240" w:lineRule="auto"/>
                    <w:jc w:val="center"/>
                    <w:rPr>
                      <w:szCs w:val="21"/>
                    </w:rPr>
                  </w:pPr>
                  <w:r>
                    <w:rPr>
                      <w:rFonts w:hint="eastAsia"/>
                      <w:szCs w:val="21"/>
                    </w:rPr>
                    <w:t>打包、搬迁运输、按要求放置到指定位置</w:t>
                  </w:r>
                </w:p>
              </w:tc>
              <w:tc>
                <w:tcPr>
                  <w:tcW w:w="1715" w:type="dxa"/>
                  <w:vAlign w:val="center"/>
                </w:tcPr>
                <w:p>
                  <w:pPr>
                    <w:widowControl w:val="0"/>
                    <w:shd w:val="clear" w:color="auto" w:fill="auto"/>
                    <w:spacing w:line="240" w:lineRule="auto"/>
                    <w:jc w:val="center"/>
                    <w:rPr>
                      <w:szCs w:val="21"/>
                    </w:rPr>
                  </w:pPr>
                  <w:r>
                    <w:rPr>
                      <w:rFonts w:hint="eastAsia"/>
                      <w:szCs w:val="21"/>
                    </w:rPr>
                    <w:t>太平洋商贸大厦A区及其他采购人指定地点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widowControl w:val="0"/>
                    <w:shd w:val="clear" w:color="auto" w:fill="auto"/>
                    <w:spacing w:line="240" w:lineRule="auto"/>
                    <w:jc w:val="center"/>
                    <w:rPr>
                      <w:szCs w:val="21"/>
                    </w:rPr>
                  </w:pPr>
                  <w:r>
                    <w:rPr>
                      <w:rFonts w:hint="eastAsia"/>
                      <w:szCs w:val="21"/>
                    </w:rPr>
                    <w:t>33</w:t>
                  </w:r>
                </w:p>
              </w:tc>
              <w:tc>
                <w:tcPr>
                  <w:tcW w:w="1500" w:type="dxa"/>
                  <w:vAlign w:val="center"/>
                </w:tcPr>
                <w:p>
                  <w:pPr>
                    <w:widowControl w:val="0"/>
                    <w:shd w:val="clear" w:color="auto" w:fill="auto"/>
                    <w:spacing w:line="240" w:lineRule="auto"/>
                    <w:jc w:val="center"/>
                    <w:rPr>
                      <w:szCs w:val="21"/>
                    </w:rPr>
                  </w:pPr>
                  <w:r>
                    <w:rPr>
                      <w:rFonts w:hint="eastAsia"/>
                      <w:szCs w:val="21"/>
                    </w:rPr>
                    <w:t>三人位沙发</w:t>
                  </w:r>
                </w:p>
              </w:tc>
              <w:tc>
                <w:tcPr>
                  <w:tcW w:w="816" w:type="dxa"/>
                  <w:vAlign w:val="center"/>
                </w:tcPr>
                <w:p>
                  <w:pPr>
                    <w:widowControl w:val="0"/>
                    <w:shd w:val="clear" w:color="auto" w:fill="auto"/>
                    <w:spacing w:line="240" w:lineRule="auto"/>
                    <w:jc w:val="center"/>
                    <w:rPr>
                      <w:szCs w:val="21"/>
                    </w:rPr>
                  </w:pPr>
                  <w:r>
                    <w:rPr>
                      <w:rFonts w:hint="eastAsia"/>
                      <w:szCs w:val="21"/>
                    </w:rPr>
                    <w:t>张</w:t>
                  </w:r>
                </w:p>
              </w:tc>
              <w:tc>
                <w:tcPr>
                  <w:tcW w:w="864" w:type="dxa"/>
                  <w:vAlign w:val="center"/>
                </w:tcPr>
                <w:p>
                  <w:pPr>
                    <w:widowControl w:val="0"/>
                    <w:shd w:val="clear" w:color="auto" w:fill="auto"/>
                    <w:spacing w:line="240" w:lineRule="auto"/>
                    <w:jc w:val="center"/>
                    <w:rPr>
                      <w:szCs w:val="21"/>
                    </w:rPr>
                  </w:pPr>
                  <w:r>
                    <w:rPr>
                      <w:rFonts w:hint="eastAsia"/>
                      <w:szCs w:val="21"/>
                    </w:rPr>
                    <w:t>22</w:t>
                  </w:r>
                </w:p>
              </w:tc>
              <w:tc>
                <w:tcPr>
                  <w:tcW w:w="2832" w:type="dxa"/>
                  <w:vAlign w:val="center"/>
                </w:tcPr>
                <w:p>
                  <w:pPr>
                    <w:widowControl w:val="0"/>
                    <w:shd w:val="clear" w:color="auto" w:fill="auto"/>
                    <w:spacing w:line="240" w:lineRule="auto"/>
                    <w:jc w:val="center"/>
                    <w:rPr>
                      <w:szCs w:val="21"/>
                    </w:rPr>
                  </w:pPr>
                  <w:r>
                    <w:rPr>
                      <w:rFonts w:hint="eastAsia"/>
                      <w:szCs w:val="21"/>
                    </w:rPr>
                    <w:t>打包、搬迁运输、按要求放置到指定位置</w:t>
                  </w:r>
                </w:p>
              </w:tc>
              <w:tc>
                <w:tcPr>
                  <w:tcW w:w="1715" w:type="dxa"/>
                  <w:vAlign w:val="center"/>
                </w:tcPr>
                <w:p>
                  <w:pPr>
                    <w:widowControl w:val="0"/>
                    <w:shd w:val="clear" w:color="auto" w:fill="auto"/>
                    <w:spacing w:line="240" w:lineRule="auto"/>
                    <w:jc w:val="center"/>
                    <w:rPr>
                      <w:szCs w:val="21"/>
                    </w:rPr>
                  </w:pPr>
                  <w:r>
                    <w:rPr>
                      <w:rFonts w:hint="eastAsia"/>
                      <w:szCs w:val="21"/>
                    </w:rPr>
                    <w:t>太平洋商贸大厦A区及其他采购人指定地点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widowControl w:val="0"/>
                    <w:shd w:val="clear" w:color="auto" w:fill="auto"/>
                    <w:spacing w:line="240" w:lineRule="auto"/>
                    <w:jc w:val="center"/>
                    <w:rPr>
                      <w:szCs w:val="21"/>
                    </w:rPr>
                  </w:pPr>
                  <w:r>
                    <w:rPr>
                      <w:rFonts w:hint="eastAsia"/>
                      <w:szCs w:val="21"/>
                    </w:rPr>
                    <w:t>34</w:t>
                  </w:r>
                </w:p>
              </w:tc>
              <w:tc>
                <w:tcPr>
                  <w:tcW w:w="1500" w:type="dxa"/>
                  <w:vAlign w:val="center"/>
                </w:tcPr>
                <w:p>
                  <w:pPr>
                    <w:widowControl w:val="0"/>
                    <w:shd w:val="clear" w:color="auto" w:fill="auto"/>
                    <w:spacing w:line="240" w:lineRule="auto"/>
                    <w:jc w:val="center"/>
                    <w:rPr>
                      <w:szCs w:val="21"/>
                    </w:rPr>
                  </w:pPr>
                  <w:r>
                    <w:rPr>
                      <w:rFonts w:hint="eastAsia"/>
                      <w:szCs w:val="21"/>
                    </w:rPr>
                    <w:t>大班椅</w:t>
                  </w:r>
                </w:p>
              </w:tc>
              <w:tc>
                <w:tcPr>
                  <w:tcW w:w="816" w:type="dxa"/>
                  <w:vAlign w:val="center"/>
                </w:tcPr>
                <w:p>
                  <w:pPr>
                    <w:widowControl w:val="0"/>
                    <w:shd w:val="clear" w:color="auto" w:fill="auto"/>
                    <w:spacing w:line="240" w:lineRule="auto"/>
                    <w:jc w:val="center"/>
                    <w:rPr>
                      <w:szCs w:val="21"/>
                    </w:rPr>
                  </w:pPr>
                  <w:r>
                    <w:rPr>
                      <w:rFonts w:hint="eastAsia"/>
                      <w:szCs w:val="21"/>
                    </w:rPr>
                    <w:t>张</w:t>
                  </w:r>
                </w:p>
              </w:tc>
              <w:tc>
                <w:tcPr>
                  <w:tcW w:w="864" w:type="dxa"/>
                  <w:vAlign w:val="center"/>
                </w:tcPr>
                <w:p>
                  <w:pPr>
                    <w:widowControl w:val="0"/>
                    <w:shd w:val="clear" w:color="auto" w:fill="auto"/>
                    <w:spacing w:line="240" w:lineRule="auto"/>
                    <w:jc w:val="center"/>
                    <w:rPr>
                      <w:szCs w:val="21"/>
                    </w:rPr>
                  </w:pPr>
                  <w:r>
                    <w:rPr>
                      <w:rFonts w:hint="eastAsia"/>
                      <w:szCs w:val="21"/>
                    </w:rPr>
                    <w:t>125</w:t>
                  </w:r>
                </w:p>
              </w:tc>
              <w:tc>
                <w:tcPr>
                  <w:tcW w:w="2832" w:type="dxa"/>
                  <w:vAlign w:val="center"/>
                </w:tcPr>
                <w:p>
                  <w:pPr>
                    <w:widowControl w:val="0"/>
                    <w:shd w:val="clear" w:color="auto" w:fill="auto"/>
                    <w:spacing w:line="240" w:lineRule="auto"/>
                    <w:jc w:val="center"/>
                    <w:rPr>
                      <w:szCs w:val="21"/>
                    </w:rPr>
                  </w:pPr>
                  <w:r>
                    <w:rPr>
                      <w:rFonts w:hint="eastAsia"/>
                      <w:szCs w:val="21"/>
                    </w:rPr>
                    <w:t>打包、搬迁运输、按要求放置到指定位置</w:t>
                  </w:r>
                </w:p>
              </w:tc>
              <w:tc>
                <w:tcPr>
                  <w:tcW w:w="1715" w:type="dxa"/>
                  <w:vAlign w:val="center"/>
                </w:tcPr>
                <w:p>
                  <w:pPr>
                    <w:widowControl w:val="0"/>
                    <w:shd w:val="clear" w:color="auto" w:fill="auto"/>
                    <w:spacing w:line="240" w:lineRule="auto"/>
                    <w:jc w:val="center"/>
                    <w:rPr>
                      <w:szCs w:val="21"/>
                    </w:rPr>
                  </w:pPr>
                  <w:r>
                    <w:rPr>
                      <w:rFonts w:hint="eastAsia"/>
                      <w:szCs w:val="21"/>
                    </w:rPr>
                    <w:t>太平洋商贸大厦A区及其他采购人指定地点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widowControl w:val="0"/>
                    <w:shd w:val="clear" w:color="auto" w:fill="auto"/>
                    <w:spacing w:line="240" w:lineRule="auto"/>
                    <w:jc w:val="center"/>
                    <w:rPr>
                      <w:szCs w:val="21"/>
                    </w:rPr>
                  </w:pPr>
                  <w:r>
                    <w:rPr>
                      <w:rFonts w:hint="eastAsia"/>
                      <w:szCs w:val="21"/>
                    </w:rPr>
                    <w:t>35</w:t>
                  </w:r>
                </w:p>
              </w:tc>
              <w:tc>
                <w:tcPr>
                  <w:tcW w:w="1500" w:type="dxa"/>
                  <w:vAlign w:val="center"/>
                </w:tcPr>
                <w:p>
                  <w:pPr>
                    <w:widowControl w:val="0"/>
                    <w:shd w:val="clear" w:color="auto" w:fill="auto"/>
                    <w:spacing w:line="240" w:lineRule="auto"/>
                    <w:jc w:val="center"/>
                    <w:rPr>
                      <w:szCs w:val="21"/>
                    </w:rPr>
                  </w:pPr>
                  <w:r>
                    <w:rPr>
                      <w:rFonts w:hint="eastAsia"/>
                      <w:szCs w:val="21"/>
                    </w:rPr>
                    <w:t>单人沙发椅</w:t>
                  </w:r>
                </w:p>
              </w:tc>
              <w:tc>
                <w:tcPr>
                  <w:tcW w:w="816" w:type="dxa"/>
                  <w:vAlign w:val="center"/>
                </w:tcPr>
                <w:p>
                  <w:pPr>
                    <w:widowControl w:val="0"/>
                    <w:shd w:val="clear" w:color="auto" w:fill="auto"/>
                    <w:spacing w:line="240" w:lineRule="auto"/>
                    <w:jc w:val="center"/>
                    <w:rPr>
                      <w:szCs w:val="21"/>
                    </w:rPr>
                  </w:pPr>
                  <w:r>
                    <w:rPr>
                      <w:rFonts w:hint="eastAsia"/>
                      <w:szCs w:val="21"/>
                    </w:rPr>
                    <w:t>张</w:t>
                  </w:r>
                </w:p>
              </w:tc>
              <w:tc>
                <w:tcPr>
                  <w:tcW w:w="864" w:type="dxa"/>
                  <w:vAlign w:val="center"/>
                </w:tcPr>
                <w:p>
                  <w:pPr>
                    <w:widowControl w:val="0"/>
                    <w:shd w:val="clear" w:color="auto" w:fill="auto"/>
                    <w:spacing w:line="240" w:lineRule="auto"/>
                    <w:jc w:val="center"/>
                    <w:rPr>
                      <w:szCs w:val="21"/>
                    </w:rPr>
                  </w:pPr>
                  <w:r>
                    <w:rPr>
                      <w:rFonts w:hint="eastAsia"/>
                      <w:szCs w:val="21"/>
                    </w:rPr>
                    <w:t>51</w:t>
                  </w:r>
                </w:p>
              </w:tc>
              <w:tc>
                <w:tcPr>
                  <w:tcW w:w="2832" w:type="dxa"/>
                  <w:vAlign w:val="center"/>
                </w:tcPr>
                <w:p>
                  <w:pPr>
                    <w:widowControl w:val="0"/>
                    <w:shd w:val="clear" w:color="auto" w:fill="auto"/>
                    <w:spacing w:line="240" w:lineRule="auto"/>
                    <w:jc w:val="center"/>
                    <w:rPr>
                      <w:szCs w:val="21"/>
                    </w:rPr>
                  </w:pPr>
                  <w:r>
                    <w:rPr>
                      <w:rFonts w:hint="eastAsia"/>
                      <w:szCs w:val="21"/>
                    </w:rPr>
                    <w:t>打包、搬迁运输、按要求放置到指定位置</w:t>
                  </w:r>
                </w:p>
              </w:tc>
              <w:tc>
                <w:tcPr>
                  <w:tcW w:w="1715" w:type="dxa"/>
                  <w:vAlign w:val="center"/>
                </w:tcPr>
                <w:p>
                  <w:pPr>
                    <w:widowControl w:val="0"/>
                    <w:shd w:val="clear" w:color="auto" w:fill="auto"/>
                    <w:spacing w:line="240" w:lineRule="auto"/>
                    <w:jc w:val="center"/>
                    <w:rPr>
                      <w:szCs w:val="21"/>
                    </w:rPr>
                  </w:pPr>
                  <w:r>
                    <w:rPr>
                      <w:rFonts w:hint="eastAsia"/>
                      <w:szCs w:val="21"/>
                    </w:rPr>
                    <w:t>太平洋商贸大厦A区及其他采购人指定地点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widowControl w:val="0"/>
                    <w:shd w:val="clear" w:color="auto" w:fill="auto"/>
                    <w:spacing w:line="240" w:lineRule="auto"/>
                    <w:jc w:val="center"/>
                    <w:rPr>
                      <w:szCs w:val="21"/>
                    </w:rPr>
                  </w:pPr>
                  <w:r>
                    <w:rPr>
                      <w:rFonts w:hint="eastAsia"/>
                      <w:szCs w:val="21"/>
                    </w:rPr>
                    <w:t>36</w:t>
                  </w:r>
                </w:p>
              </w:tc>
              <w:tc>
                <w:tcPr>
                  <w:tcW w:w="1500" w:type="dxa"/>
                  <w:vAlign w:val="center"/>
                </w:tcPr>
                <w:p>
                  <w:pPr>
                    <w:widowControl w:val="0"/>
                    <w:shd w:val="clear" w:color="auto" w:fill="auto"/>
                    <w:spacing w:line="240" w:lineRule="auto"/>
                    <w:jc w:val="center"/>
                    <w:rPr>
                      <w:szCs w:val="21"/>
                    </w:rPr>
                  </w:pPr>
                  <w:r>
                    <w:rPr>
                      <w:rFonts w:hint="eastAsia"/>
                      <w:szCs w:val="21"/>
                    </w:rPr>
                    <w:t>矮柜</w:t>
                  </w:r>
                </w:p>
              </w:tc>
              <w:tc>
                <w:tcPr>
                  <w:tcW w:w="816" w:type="dxa"/>
                  <w:vAlign w:val="center"/>
                </w:tcPr>
                <w:p>
                  <w:pPr>
                    <w:widowControl w:val="0"/>
                    <w:shd w:val="clear" w:color="auto" w:fill="auto"/>
                    <w:spacing w:line="240" w:lineRule="auto"/>
                    <w:jc w:val="center"/>
                    <w:rPr>
                      <w:szCs w:val="21"/>
                    </w:rPr>
                  </w:pPr>
                  <w:r>
                    <w:rPr>
                      <w:rFonts w:hint="eastAsia"/>
                      <w:szCs w:val="21"/>
                    </w:rPr>
                    <w:t>个</w:t>
                  </w:r>
                </w:p>
              </w:tc>
              <w:tc>
                <w:tcPr>
                  <w:tcW w:w="864" w:type="dxa"/>
                  <w:vAlign w:val="center"/>
                </w:tcPr>
                <w:p>
                  <w:pPr>
                    <w:widowControl w:val="0"/>
                    <w:shd w:val="clear" w:color="auto" w:fill="auto"/>
                    <w:spacing w:line="240" w:lineRule="auto"/>
                    <w:jc w:val="center"/>
                    <w:rPr>
                      <w:szCs w:val="21"/>
                    </w:rPr>
                  </w:pPr>
                  <w:r>
                    <w:rPr>
                      <w:rFonts w:hint="eastAsia"/>
                      <w:szCs w:val="21"/>
                    </w:rPr>
                    <w:t>100</w:t>
                  </w:r>
                </w:p>
              </w:tc>
              <w:tc>
                <w:tcPr>
                  <w:tcW w:w="2832" w:type="dxa"/>
                  <w:vAlign w:val="center"/>
                </w:tcPr>
                <w:p>
                  <w:pPr>
                    <w:widowControl w:val="0"/>
                    <w:shd w:val="clear" w:color="auto" w:fill="auto"/>
                    <w:spacing w:line="240" w:lineRule="auto"/>
                    <w:jc w:val="center"/>
                    <w:rPr>
                      <w:szCs w:val="21"/>
                    </w:rPr>
                  </w:pPr>
                  <w:r>
                    <w:rPr>
                      <w:rFonts w:hint="eastAsia"/>
                      <w:szCs w:val="21"/>
                    </w:rPr>
                    <w:t>打包、搬迁运输、按要求放置到指定位置</w:t>
                  </w:r>
                </w:p>
              </w:tc>
              <w:tc>
                <w:tcPr>
                  <w:tcW w:w="1715" w:type="dxa"/>
                  <w:vAlign w:val="center"/>
                </w:tcPr>
                <w:p>
                  <w:pPr>
                    <w:widowControl w:val="0"/>
                    <w:shd w:val="clear" w:color="auto" w:fill="auto"/>
                    <w:spacing w:line="240" w:lineRule="auto"/>
                    <w:jc w:val="center"/>
                    <w:rPr>
                      <w:szCs w:val="21"/>
                    </w:rPr>
                  </w:pPr>
                  <w:r>
                    <w:rPr>
                      <w:rFonts w:hint="eastAsia"/>
                      <w:szCs w:val="21"/>
                    </w:rPr>
                    <w:t>太平洋商贸大厦A区及其他采购人指定地点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widowControl w:val="0"/>
                    <w:shd w:val="clear" w:color="auto" w:fill="auto"/>
                    <w:spacing w:line="240" w:lineRule="auto"/>
                    <w:jc w:val="center"/>
                    <w:rPr>
                      <w:szCs w:val="21"/>
                    </w:rPr>
                  </w:pPr>
                  <w:r>
                    <w:rPr>
                      <w:rFonts w:hint="eastAsia"/>
                      <w:szCs w:val="21"/>
                    </w:rPr>
                    <w:t>37</w:t>
                  </w:r>
                </w:p>
              </w:tc>
              <w:tc>
                <w:tcPr>
                  <w:tcW w:w="1500" w:type="dxa"/>
                  <w:vAlign w:val="center"/>
                </w:tcPr>
                <w:p>
                  <w:pPr>
                    <w:widowControl w:val="0"/>
                    <w:shd w:val="clear" w:color="auto" w:fill="auto"/>
                    <w:spacing w:line="240" w:lineRule="auto"/>
                    <w:jc w:val="center"/>
                    <w:rPr>
                      <w:szCs w:val="21"/>
                    </w:rPr>
                  </w:pPr>
                  <w:r>
                    <w:rPr>
                      <w:rFonts w:hint="eastAsia"/>
                      <w:szCs w:val="21"/>
                    </w:rPr>
                    <w:t>二层书车</w:t>
                  </w:r>
                </w:p>
              </w:tc>
              <w:tc>
                <w:tcPr>
                  <w:tcW w:w="816" w:type="dxa"/>
                  <w:vAlign w:val="center"/>
                </w:tcPr>
                <w:p>
                  <w:pPr>
                    <w:widowControl w:val="0"/>
                    <w:shd w:val="clear" w:color="auto" w:fill="auto"/>
                    <w:spacing w:line="240" w:lineRule="auto"/>
                    <w:jc w:val="center"/>
                    <w:rPr>
                      <w:szCs w:val="21"/>
                    </w:rPr>
                  </w:pPr>
                  <w:r>
                    <w:rPr>
                      <w:rFonts w:hint="eastAsia"/>
                      <w:szCs w:val="21"/>
                    </w:rPr>
                    <w:t>个</w:t>
                  </w:r>
                </w:p>
              </w:tc>
              <w:tc>
                <w:tcPr>
                  <w:tcW w:w="864" w:type="dxa"/>
                  <w:vAlign w:val="center"/>
                </w:tcPr>
                <w:p>
                  <w:pPr>
                    <w:widowControl w:val="0"/>
                    <w:shd w:val="clear" w:color="auto" w:fill="auto"/>
                    <w:spacing w:line="240" w:lineRule="auto"/>
                    <w:jc w:val="center"/>
                    <w:rPr>
                      <w:szCs w:val="21"/>
                    </w:rPr>
                  </w:pPr>
                  <w:r>
                    <w:rPr>
                      <w:rFonts w:hint="eastAsia"/>
                      <w:szCs w:val="21"/>
                    </w:rPr>
                    <w:t>195</w:t>
                  </w:r>
                </w:p>
              </w:tc>
              <w:tc>
                <w:tcPr>
                  <w:tcW w:w="2832" w:type="dxa"/>
                  <w:vAlign w:val="center"/>
                </w:tcPr>
                <w:p>
                  <w:pPr>
                    <w:widowControl w:val="0"/>
                    <w:shd w:val="clear" w:color="auto" w:fill="auto"/>
                    <w:spacing w:line="240" w:lineRule="auto"/>
                    <w:jc w:val="center"/>
                    <w:rPr>
                      <w:szCs w:val="21"/>
                    </w:rPr>
                  </w:pPr>
                  <w:r>
                    <w:rPr>
                      <w:rFonts w:hint="eastAsia"/>
                      <w:szCs w:val="21"/>
                    </w:rPr>
                    <w:t>搬迁运输、按要求放置到指定位置</w:t>
                  </w:r>
                </w:p>
              </w:tc>
              <w:tc>
                <w:tcPr>
                  <w:tcW w:w="1715" w:type="dxa"/>
                  <w:vAlign w:val="center"/>
                </w:tcPr>
                <w:p>
                  <w:pPr>
                    <w:widowControl w:val="0"/>
                    <w:shd w:val="clear" w:color="auto" w:fill="auto"/>
                    <w:spacing w:line="240" w:lineRule="auto"/>
                    <w:jc w:val="center"/>
                    <w:rPr>
                      <w:szCs w:val="21"/>
                    </w:rPr>
                  </w:pPr>
                  <w:r>
                    <w:rPr>
                      <w:rFonts w:hint="eastAsia"/>
                      <w:szCs w:val="21"/>
                    </w:rPr>
                    <w:t>银湖实验小学及其他采购人指定地点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widowControl w:val="0"/>
                    <w:shd w:val="clear" w:color="auto" w:fill="auto"/>
                    <w:spacing w:line="240" w:lineRule="auto"/>
                    <w:jc w:val="center"/>
                    <w:rPr>
                      <w:szCs w:val="21"/>
                    </w:rPr>
                  </w:pPr>
                  <w:r>
                    <w:rPr>
                      <w:rFonts w:hint="eastAsia"/>
                      <w:szCs w:val="21"/>
                    </w:rPr>
                    <w:t>38</w:t>
                  </w:r>
                </w:p>
              </w:tc>
              <w:tc>
                <w:tcPr>
                  <w:tcW w:w="1500" w:type="dxa"/>
                  <w:vAlign w:val="center"/>
                </w:tcPr>
                <w:p>
                  <w:pPr>
                    <w:widowControl w:val="0"/>
                    <w:shd w:val="clear" w:color="auto" w:fill="auto"/>
                    <w:spacing w:line="240" w:lineRule="auto"/>
                    <w:jc w:val="center"/>
                    <w:rPr>
                      <w:szCs w:val="21"/>
                    </w:rPr>
                  </w:pPr>
                  <w:r>
                    <w:rPr>
                      <w:rFonts w:hint="eastAsia"/>
                      <w:szCs w:val="21"/>
                    </w:rPr>
                    <w:t>三层书车</w:t>
                  </w:r>
                </w:p>
              </w:tc>
              <w:tc>
                <w:tcPr>
                  <w:tcW w:w="816" w:type="dxa"/>
                  <w:vAlign w:val="center"/>
                </w:tcPr>
                <w:p>
                  <w:pPr>
                    <w:widowControl w:val="0"/>
                    <w:shd w:val="clear" w:color="auto" w:fill="auto"/>
                    <w:spacing w:line="240" w:lineRule="auto"/>
                    <w:jc w:val="center"/>
                    <w:rPr>
                      <w:szCs w:val="21"/>
                    </w:rPr>
                  </w:pPr>
                  <w:r>
                    <w:rPr>
                      <w:rFonts w:hint="eastAsia"/>
                      <w:szCs w:val="21"/>
                    </w:rPr>
                    <w:t>个</w:t>
                  </w:r>
                </w:p>
              </w:tc>
              <w:tc>
                <w:tcPr>
                  <w:tcW w:w="864" w:type="dxa"/>
                  <w:vAlign w:val="center"/>
                </w:tcPr>
                <w:p>
                  <w:pPr>
                    <w:widowControl w:val="0"/>
                    <w:shd w:val="clear" w:color="auto" w:fill="auto"/>
                    <w:spacing w:line="240" w:lineRule="auto"/>
                    <w:jc w:val="center"/>
                    <w:rPr>
                      <w:szCs w:val="21"/>
                    </w:rPr>
                  </w:pPr>
                  <w:r>
                    <w:rPr>
                      <w:rFonts w:hint="eastAsia"/>
                      <w:szCs w:val="21"/>
                    </w:rPr>
                    <w:t>103</w:t>
                  </w:r>
                </w:p>
              </w:tc>
              <w:tc>
                <w:tcPr>
                  <w:tcW w:w="2832" w:type="dxa"/>
                  <w:vAlign w:val="center"/>
                </w:tcPr>
                <w:p>
                  <w:pPr>
                    <w:widowControl w:val="0"/>
                    <w:shd w:val="clear" w:color="auto" w:fill="auto"/>
                    <w:spacing w:line="240" w:lineRule="auto"/>
                    <w:jc w:val="center"/>
                    <w:rPr>
                      <w:szCs w:val="21"/>
                    </w:rPr>
                  </w:pPr>
                  <w:r>
                    <w:rPr>
                      <w:rFonts w:hint="eastAsia"/>
                      <w:szCs w:val="21"/>
                    </w:rPr>
                    <w:t>搬迁运输、按要求放置到指定位置</w:t>
                  </w:r>
                </w:p>
              </w:tc>
              <w:tc>
                <w:tcPr>
                  <w:tcW w:w="1715" w:type="dxa"/>
                  <w:vAlign w:val="center"/>
                </w:tcPr>
                <w:p>
                  <w:pPr>
                    <w:widowControl w:val="0"/>
                    <w:shd w:val="clear" w:color="auto" w:fill="auto"/>
                    <w:spacing w:line="240" w:lineRule="auto"/>
                    <w:jc w:val="center"/>
                    <w:rPr>
                      <w:szCs w:val="21"/>
                    </w:rPr>
                  </w:pPr>
                  <w:r>
                    <w:rPr>
                      <w:rFonts w:hint="eastAsia"/>
                      <w:szCs w:val="21"/>
                    </w:rPr>
                    <w:t>银湖实验小学及其他采购人指定地点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widowControl w:val="0"/>
                    <w:shd w:val="clear" w:color="auto" w:fill="auto"/>
                    <w:spacing w:line="240" w:lineRule="auto"/>
                    <w:jc w:val="center"/>
                    <w:rPr>
                      <w:szCs w:val="21"/>
                    </w:rPr>
                  </w:pPr>
                  <w:r>
                    <w:rPr>
                      <w:rFonts w:hint="eastAsia"/>
                      <w:szCs w:val="21"/>
                    </w:rPr>
                    <w:t>39</w:t>
                  </w:r>
                </w:p>
              </w:tc>
              <w:tc>
                <w:tcPr>
                  <w:tcW w:w="1500" w:type="dxa"/>
                  <w:vAlign w:val="center"/>
                </w:tcPr>
                <w:p>
                  <w:pPr>
                    <w:widowControl w:val="0"/>
                    <w:shd w:val="clear" w:color="auto" w:fill="auto"/>
                    <w:spacing w:line="240" w:lineRule="auto"/>
                    <w:jc w:val="center"/>
                    <w:rPr>
                      <w:szCs w:val="21"/>
                    </w:rPr>
                  </w:pPr>
                  <w:r>
                    <w:rPr>
                      <w:rFonts w:hint="eastAsia"/>
                      <w:szCs w:val="21"/>
                    </w:rPr>
                    <w:t>油画</w:t>
                  </w:r>
                </w:p>
              </w:tc>
              <w:tc>
                <w:tcPr>
                  <w:tcW w:w="816" w:type="dxa"/>
                  <w:vAlign w:val="center"/>
                </w:tcPr>
                <w:p>
                  <w:pPr>
                    <w:widowControl w:val="0"/>
                    <w:shd w:val="clear" w:color="auto" w:fill="auto"/>
                    <w:spacing w:line="240" w:lineRule="auto"/>
                    <w:jc w:val="center"/>
                    <w:rPr>
                      <w:szCs w:val="21"/>
                    </w:rPr>
                  </w:pPr>
                  <w:r>
                    <w:rPr>
                      <w:rFonts w:hint="eastAsia"/>
                      <w:szCs w:val="21"/>
                    </w:rPr>
                    <w:t>幅</w:t>
                  </w:r>
                </w:p>
              </w:tc>
              <w:tc>
                <w:tcPr>
                  <w:tcW w:w="864" w:type="dxa"/>
                  <w:vAlign w:val="center"/>
                </w:tcPr>
                <w:p>
                  <w:pPr>
                    <w:widowControl w:val="0"/>
                    <w:shd w:val="clear" w:color="auto" w:fill="auto"/>
                    <w:spacing w:line="240" w:lineRule="auto"/>
                    <w:jc w:val="center"/>
                    <w:rPr>
                      <w:szCs w:val="21"/>
                    </w:rPr>
                  </w:pPr>
                  <w:r>
                    <w:rPr>
                      <w:rFonts w:hint="eastAsia"/>
                      <w:szCs w:val="21"/>
                    </w:rPr>
                    <w:t>70</w:t>
                  </w:r>
                </w:p>
              </w:tc>
              <w:tc>
                <w:tcPr>
                  <w:tcW w:w="2832" w:type="dxa"/>
                  <w:vAlign w:val="center"/>
                </w:tcPr>
                <w:p>
                  <w:pPr>
                    <w:widowControl w:val="0"/>
                    <w:shd w:val="clear" w:color="auto" w:fill="auto"/>
                    <w:spacing w:line="240" w:lineRule="auto"/>
                    <w:jc w:val="center"/>
                    <w:rPr>
                      <w:szCs w:val="21"/>
                    </w:rPr>
                  </w:pPr>
                  <w:r>
                    <w:rPr>
                      <w:rFonts w:hint="eastAsia"/>
                      <w:szCs w:val="21"/>
                    </w:rPr>
                    <w:t>打包、搬迁运输、按要求放置到指定位置</w:t>
                  </w:r>
                </w:p>
              </w:tc>
              <w:tc>
                <w:tcPr>
                  <w:tcW w:w="1715" w:type="dxa"/>
                  <w:vAlign w:val="center"/>
                </w:tcPr>
                <w:p>
                  <w:pPr>
                    <w:widowControl w:val="0"/>
                    <w:shd w:val="clear" w:color="auto" w:fill="auto"/>
                    <w:spacing w:line="240" w:lineRule="auto"/>
                    <w:jc w:val="center"/>
                    <w:rPr>
                      <w:szCs w:val="21"/>
                    </w:rPr>
                  </w:pPr>
                  <w:r>
                    <w:rPr>
                      <w:rFonts w:hint="eastAsia"/>
                      <w:szCs w:val="21"/>
                    </w:rPr>
                    <w:t>银湖实验小学及其他采购人指定地点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widowControl w:val="0"/>
                    <w:shd w:val="clear" w:color="auto" w:fill="auto"/>
                    <w:spacing w:line="240" w:lineRule="auto"/>
                    <w:jc w:val="center"/>
                    <w:rPr>
                      <w:szCs w:val="21"/>
                    </w:rPr>
                  </w:pPr>
                  <w:r>
                    <w:rPr>
                      <w:rFonts w:hint="eastAsia"/>
                      <w:szCs w:val="21"/>
                    </w:rPr>
                    <w:t>40</w:t>
                  </w:r>
                </w:p>
              </w:tc>
              <w:tc>
                <w:tcPr>
                  <w:tcW w:w="1500" w:type="dxa"/>
                  <w:vAlign w:val="center"/>
                </w:tcPr>
                <w:p>
                  <w:pPr>
                    <w:widowControl w:val="0"/>
                    <w:shd w:val="clear" w:color="auto" w:fill="auto"/>
                    <w:spacing w:line="240" w:lineRule="auto"/>
                    <w:jc w:val="center"/>
                    <w:rPr>
                      <w:szCs w:val="21"/>
                    </w:rPr>
                  </w:pPr>
                  <w:r>
                    <w:rPr>
                      <w:rFonts w:hint="eastAsia"/>
                      <w:szCs w:val="21"/>
                    </w:rPr>
                    <w:t>钢琴</w:t>
                  </w:r>
                </w:p>
              </w:tc>
              <w:tc>
                <w:tcPr>
                  <w:tcW w:w="816" w:type="dxa"/>
                  <w:vAlign w:val="center"/>
                </w:tcPr>
                <w:p>
                  <w:pPr>
                    <w:widowControl w:val="0"/>
                    <w:shd w:val="clear" w:color="auto" w:fill="auto"/>
                    <w:spacing w:line="240" w:lineRule="auto"/>
                    <w:jc w:val="center"/>
                    <w:rPr>
                      <w:szCs w:val="21"/>
                    </w:rPr>
                  </w:pPr>
                  <w:r>
                    <w:rPr>
                      <w:rFonts w:hint="eastAsia"/>
                      <w:szCs w:val="21"/>
                    </w:rPr>
                    <w:t>台</w:t>
                  </w:r>
                </w:p>
              </w:tc>
              <w:tc>
                <w:tcPr>
                  <w:tcW w:w="864" w:type="dxa"/>
                  <w:vAlign w:val="center"/>
                </w:tcPr>
                <w:p>
                  <w:pPr>
                    <w:widowControl w:val="0"/>
                    <w:shd w:val="clear" w:color="auto" w:fill="auto"/>
                    <w:spacing w:line="240" w:lineRule="auto"/>
                    <w:jc w:val="center"/>
                    <w:rPr>
                      <w:szCs w:val="21"/>
                    </w:rPr>
                  </w:pPr>
                  <w:r>
                    <w:rPr>
                      <w:rFonts w:hint="eastAsia"/>
                      <w:szCs w:val="21"/>
                    </w:rPr>
                    <w:t>2</w:t>
                  </w:r>
                </w:p>
              </w:tc>
              <w:tc>
                <w:tcPr>
                  <w:tcW w:w="2832" w:type="dxa"/>
                  <w:vAlign w:val="center"/>
                </w:tcPr>
                <w:p>
                  <w:pPr>
                    <w:widowControl w:val="0"/>
                    <w:shd w:val="clear" w:color="auto" w:fill="auto"/>
                    <w:spacing w:line="240" w:lineRule="auto"/>
                    <w:jc w:val="center"/>
                    <w:rPr>
                      <w:szCs w:val="21"/>
                    </w:rPr>
                  </w:pPr>
                  <w:r>
                    <w:rPr>
                      <w:rFonts w:hint="eastAsia"/>
                      <w:szCs w:val="21"/>
                    </w:rPr>
                    <w:t>打包、搬迁运输、按要求放置到指定位置</w:t>
                  </w:r>
                </w:p>
              </w:tc>
              <w:tc>
                <w:tcPr>
                  <w:tcW w:w="1715" w:type="dxa"/>
                  <w:vAlign w:val="center"/>
                </w:tcPr>
                <w:p>
                  <w:pPr>
                    <w:widowControl w:val="0"/>
                    <w:shd w:val="clear" w:color="auto" w:fill="auto"/>
                    <w:spacing w:line="240" w:lineRule="auto"/>
                    <w:jc w:val="center"/>
                    <w:rPr>
                      <w:szCs w:val="21"/>
                    </w:rPr>
                  </w:pPr>
                  <w:r>
                    <w:rPr>
                      <w:rFonts w:hint="eastAsia"/>
                      <w:szCs w:val="21"/>
                    </w:rPr>
                    <w:t>银湖实验小学及其他采购人指定地点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widowControl w:val="0"/>
                    <w:shd w:val="clear" w:color="auto" w:fill="auto"/>
                    <w:spacing w:line="240" w:lineRule="auto"/>
                    <w:jc w:val="center"/>
                    <w:rPr>
                      <w:szCs w:val="21"/>
                    </w:rPr>
                  </w:pPr>
                  <w:r>
                    <w:rPr>
                      <w:rFonts w:hint="eastAsia"/>
                      <w:szCs w:val="21"/>
                    </w:rPr>
                    <w:t>41</w:t>
                  </w:r>
                </w:p>
              </w:tc>
              <w:tc>
                <w:tcPr>
                  <w:tcW w:w="1500" w:type="dxa"/>
                  <w:vAlign w:val="center"/>
                </w:tcPr>
                <w:p>
                  <w:pPr>
                    <w:widowControl w:val="0"/>
                    <w:shd w:val="clear" w:color="auto" w:fill="auto"/>
                    <w:spacing w:line="240" w:lineRule="auto"/>
                    <w:jc w:val="center"/>
                    <w:rPr>
                      <w:szCs w:val="21"/>
                    </w:rPr>
                  </w:pPr>
                  <w:r>
                    <w:rPr>
                      <w:rFonts w:hint="eastAsia"/>
                      <w:szCs w:val="21"/>
                    </w:rPr>
                    <w:t>书立</w:t>
                  </w:r>
                </w:p>
              </w:tc>
              <w:tc>
                <w:tcPr>
                  <w:tcW w:w="816" w:type="dxa"/>
                  <w:vAlign w:val="center"/>
                </w:tcPr>
                <w:p>
                  <w:pPr>
                    <w:widowControl w:val="0"/>
                    <w:shd w:val="clear" w:color="auto" w:fill="auto"/>
                    <w:spacing w:line="240" w:lineRule="auto"/>
                    <w:jc w:val="center"/>
                    <w:rPr>
                      <w:szCs w:val="21"/>
                    </w:rPr>
                  </w:pPr>
                  <w:r>
                    <w:rPr>
                      <w:rFonts w:hint="eastAsia"/>
                      <w:szCs w:val="21"/>
                    </w:rPr>
                    <w:t>个</w:t>
                  </w:r>
                </w:p>
              </w:tc>
              <w:tc>
                <w:tcPr>
                  <w:tcW w:w="864" w:type="dxa"/>
                  <w:vAlign w:val="center"/>
                </w:tcPr>
                <w:p>
                  <w:pPr>
                    <w:widowControl w:val="0"/>
                    <w:shd w:val="clear" w:color="auto" w:fill="auto"/>
                    <w:spacing w:line="240" w:lineRule="auto"/>
                    <w:jc w:val="center"/>
                    <w:rPr>
                      <w:szCs w:val="21"/>
                    </w:rPr>
                  </w:pPr>
                  <w:r>
                    <w:rPr>
                      <w:rFonts w:hint="eastAsia"/>
                      <w:szCs w:val="21"/>
                    </w:rPr>
                    <w:t>210</w:t>
                  </w:r>
                </w:p>
              </w:tc>
              <w:tc>
                <w:tcPr>
                  <w:tcW w:w="2832" w:type="dxa"/>
                  <w:vAlign w:val="center"/>
                </w:tcPr>
                <w:p>
                  <w:pPr>
                    <w:widowControl w:val="0"/>
                    <w:shd w:val="clear" w:color="auto" w:fill="auto"/>
                    <w:spacing w:line="240" w:lineRule="auto"/>
                    <w:jc w:val="center"/>
                    <w:rPr>
                      <w:szCs w:val="21"/>
                    </w:rPr>
                  </w:pPr>
                  <w:r>
                    <w:rPr>
                      <w:rFonts w:hint="eastAsia"/>
                      <w:szCs w:val="21"/>
                    </w:rPr>
                    <w:t>搬迁运输、按要求放置到指定位置</w:t>
                  </w:r>
                </w:p>
              </w:tc>
              <w:tc>
                <w:tcPr>
                  <w:tcW w:w="1715" w:type="dxa"/>
                  <w:vAlign w:val="center"/>
                </w:tcPr>
                <w:p>
                  <w:pPr>
                    <w:widowControl w:val="0"/>
                    <w:shd w:val="clear" w:color="auto" w:fill="auto"/>
                    <w:spacing w:line="240" w:lineRule="auto"/>
                    <w:jc w:val="center"/>
                    <w:rPr>
                      <w:szCs w:val="21"/>
                    </w:rPr>
                  </w:pPr>
                  <w:r>
                    <w:rPr>
                      <w:rFonts w:hint="eastAsia"/>
                      <w:szCs w:val="21"/>
                    </w:rPr>
                    <w:t>银湖实验小学及其他采购人指定地点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widowControl w:val="0"/>
                    <w:shd w:val="clear" w:color="auto" w:fill="auto"/>
                    <w:spacing w:line="240" w:lineRule="auto"/>
                    <w:jc w:val="center"/>
                    <w:rPr>
                      <w:szCs w:val="21"/>
                    </w:rPr>
                  </w:pPr>
                  <w:r>
                    <w:rPr>
                      <w:rFonts w:hint="eastAsia"/>
                      <w:szCs w:val="21"/>
                    </w:rPr>
                    <w:t>42</w:t>
                  </w:r>
                </w:p>
              </w:tc>
              <w:tc>
                <w:tcPr>
                  <w:tcW w:w="1500" w:type="dxa"/>
                  <w:vAlign w:val="center"/>
                </w:tcPr>
                <w:p>
                  <w:pPr>
                    <w:widowControl w:val="0"/>
                    <w:shd w:val="clear" w:color="auto" w:fill="auto"/>
                    <w:spacing w:line="240" w:lineRule="auto"/>
                    <w:jc w:val="center"/>
                    <w:rPr>
                      <w:szCs w:val="21"/>
                    </w:rPr>
                  </w:pPr>
                  <w:r>
                    <w:rPr>
                      <w:rFonts w:hint="eastAsia"/>
                      <w:szCs w:val="21"/>
                    </w:rPr>
                    <w:t>365办公桌</w:t>
                  </w:r>
                </w:p>
              </w:tc>
              <w:tc>
                <w:tcPr>
                  <w:tcW w:w="816" w:type="dxa"/>
                  <w:vAlign w:val="center"/>
                </w:tcPr>
                <w:p>
                  <w:pPr>
                    <w:widowControl w:val="0"/>
                    <w:shd w:val="clear" w:color="auto" w:fill="auto"/>
                    <w:spacing w:line="240" w:lineRule="auto"/>
                    <w:jc w:val="center"/>
                    <w:rPr>
                      <w:szCs w:val="21"/>
                    </w:rPr>
                  </w:pPr>
                  <w:r>
                    <w:rPr>
                      <w:rFonts w:hint="eastAsia"/>
                      <w:szCs w:val="21"/>
                    </w:rPr>
                    <w:t>张</w:t>
                  </w:r>
                </w:p>
              </w:tc>
              <w:tc>
                <w:tcPr>
                  <w:tcW w:w="864" w:type="dxa"/>
                  <w:vAlign w:val="center"/>
                </w:tcPr>
                <w:p>
                  <w:pPr>
                    <w:widowControl w:val="0"/>
                    <w:shd w:val="clear" w:color="auto" w:fill="auto"/>
                    <w:spacing w:line="240" w:lineRule="auto"/>
                    <w:jc w:val="center"/>
                    <w:rPr>
                      <w:szCs w:val="21"/>
                    </w:rPr>
                  </w:pPr>
                  <w:r>
                    <w:rPr>
                      <w:rFonts w:hint="eastAsia"/>
                      <w:szCs w:val="21"/>
                    </w:rPr>
                    <w:t>1</w:t>
                  </w:r>
                </w:p>
              </w:tc>
              <w:tc>
                <w:tcPr>
                  <w:tcW w:w="2832" w:type="dxa"/>
                  <w:vAlign w:val="center"/>
                </w:tcPr>
                <w:p>
                  <w:pPr>
                    <w:widowControl w:val="0"/>
                    <w:shd w:val="clear" w:color="auto" w:fill="auto"/>
                    <w:spacing w:line="240" w:lineRule="auto"/>
                    <w:jc w:val="center"/>
                    <w:rPr>
                      <w:szCs w:val="21"/>
                    </w:rPr>
                  </w:pPr>
                  <w:r>
                    <w:rPr>
                      <w:rFonts w:hint="eastAsia"/>
                      <w:szCs w:val="21"/>
                    </w:rPr>
                    <w:t>拆装、打包、搬运、安放</w:t>
                  </w:r>
                </w:p>
              </w:tc>
              <w:tc>
                <w:tcPr>
                  <w:tcW w:w="1715" w:type="dxa"/>
                  <w:vAlign w:val="center"/>
                </w:tcPr>
                <w:p>
                  <w:pPr>
                    <w:widowControl w:val="0"/>
                    <w:shd w:val="clear" w:color="auto" w:fill="auto"/>
                    <w:spacing w:line="240" w:lineRule="auto"/>
                    <w:jc w:val="center"/>
                    <w:rPr>
                      <w:szCs w:val="21"/>
                    </w:rPr>
                  </w:pPr>
                  <w:r>
                    <w:rPr>
                      <w:rFonts w:hint="eastAsia"/>
                      <w:szCs w:val="21"/>
                    </w:rPr>
                    <w:t>银湖实验小学及其他采购人指定地点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tcPr>
                <w:p>
                  <w:pPr>
                    <w:widowControl w:val="0"/>
                    <w:shd w:val="clear" w:color="auto" w:fill="auto"/>
                    <w:spacing w:line="240" w:lineRule="auto"/>
                    <w:jc w:val="center"/>
                    <w:rPr>
                      <w:szCs w:val="21"/>
                    </w:rPr>
                  </w:pPr>
                  <w:r>
                    <w:rPr>
                      <w:rFonts w:hint="eastAsia"/>
                      <w:szCs w:val="21"/>
                    </w:rPr>
                    <w:t>43</w:t>
                  </w:r>
                </w:p>
              </w:tc>
              <w:tc>
                <w:tcPr>
                  <w:tcW w:w="1500" w:type="dxa"/>
                </w:tcPr>
                <w:p>
                  <w:pPr>
                    <w:widowControl w:val="0"/>
                    <w:shd w:val="clear" w:color="auto" w:fill="auto"/>
                    <w:spacing w:line="240" w:lineRule="auto"/>
                    <w:jc w:val="center"/>
                    <w:rPr>
                      <w:szCs w:val="21"/>
                    </w:rPr>
                  </w:pPr>
                  <w:r>
                    <w:rPr>
                      <w:rFonts w:hint="eastAsia"/>
                      <w:szCs w:val="21"/>
                    </w:rPr>
                    <w:t>八人组合电脑台</w:t>
                  </w:r>
                </w:p>
              </w:tc>
              <w:tc>
                <w:tcPr>
                  <w:tcW w:w="816" w:type="dxa"/>
                </w:tcPr>
                <w:p>
                  <w:pPr>
                    <w:widowControl w:val="0"/>
                    <w:shd w:val="clear" w:color="auto" w:fill="auto"/>
                    <w:spacing w:line="240" w:lineRule="auto"/>
                    <w:jc w:val="center"/>
                    <w:rPr>
                      <w:szCs w:val="21"/>
                    </w:rPr>
                  </w:pPr>
                  <w:r>
                    <w:rPr>
                      <w:rFonts w:hint="eastAsia"/>
                      <w:szCs w:val="21"/>
                    </w:rPr>
                    <w:t>张</w:t>
                  </w:r>
                </w:p>
              </w:tc>
              <w:tc>
                <w:tcPr>
                  <w:tcW w:w="864" w:type="dxa"/>
                </w:tcPr>
                <w:p>
                  <w:pPr>
                    <w:widowControl w:val="0"/>
                    <w:shd w:val="clear" w:color="auto" w:fill="auto"/>
                    <w:spacing w:line="240" w:lineRule="auto"/>
                    <w:jc w:val="center"/>
                    <w:rPr>
                      <w:szCs w:val="21"/>
                    </w:rPr>
                  </w:pPr>
                  <w:r>
                    <w:rPr>
                      <w:rFonts w:hint="eastAsia"/>
                      <w:szCs w:val="21"/>
                    </w:rPr>
                    <w:t>l</w:t>
                  </w:r>
                </w:p>
              </w:tc>
              <w:tc>
                <w:tcPr>
                  <w:tcW w:w="2832" w:type="dxa"/>
                </w:tcPr>
                <w:p>
                  <w:pPr>
                    <w:widowControl w:val="0"/>
                    <w:shd w:val="clear" w:color="auto" w:fill="auto"/>
                    <w:spacing w:line="240" w:lineRule="auto"/>
                    <w:jc w:val="center"/>
                    <w:rPr>
                      <w:szCs w:val="21"/>
                    </w:rPr>
                  </w:pPr>
                  <w:r>
                    <w:rPr>
                      <w:rFonts w:hint="eastAsia"/>
                      <w:szCs w:val="21"/>
                    </w:rPr>
                    <w:t>拆装、打包、搬运、安放</w:t>
                  </w:r>
                </w:p>
              </w:tc>
              <w:tc>
                <w:tcPr>
                  <w:tcW w:w="1715" w:type="dxa"/>
                </w:tcPr>
                <w:p>
                  <w:pPr>
                    <w:widowControl w:val="0"/>
                    <w:shd w:val="clear" w:color="auto" w:fill="auto"/>
                    <w:spacing w:line="240" w:lineRule="auto"/>
                    <w:jc w:val="center"/>
                    <w:rPr>
                      <w:szCs w:val="21"/>
                    </w:rPr>
                  </w:pPr>
                  <w:r>
                    <w:rPr>
                      <w:rFonts w:hint="eastAsia"/>
                      <w:szCs w:val="21"/>
                    </w:rPr>
                    <w:t>银湖实验小学及其他采购人指定地点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tcPr>
                <w:p>
                  <w:pPr>
                    <w:widowControl w:val="0"/>
                    <w:shd w:val="clear" w:color="auto" w:fill="auto"/>
                    <w:spacing w:line="240" w:lineRule="auto"/>
                    <w:jc w:val="center"/>
                    <w:rPr>
                      <w:szCs w:val="21"/>
                    </w:rPr>
                  </w:pPr>
                  <w:r>
                    <w:rPr>
                      <w:rFonts w:hint="eastAsia"/>
                      <w:szCs w:val="21"/>
                    </w:rPr>
                    <w:t>44</w:t>
                  </w:r>
                </w:p>
              </w:tc>
              <w:tc>
                <w:tcPr>
                  <w:tcW w:w="1500" w:type="dxa"/>
                </w:tcPr>
                <w:p>
                  <w:pPr>
                    <w:widowControl w:val="0"/>
                    <w:shd w:val="clear" w:color="auto" w:fill="auto"/>
                    <w:spacing w:line="240" w:lineRule="auto"/>
                    <w:jc w:val="center"/>
                    <w:rPr>
                      <w:szCs w:val="21"/>
                    </w:rPr>
                  </w:pPr>
                  <w:r>
                    <w:rPr>
                      <w:rFonts w:hint="eastAsia"/>
                      <w:szCs w:val="21"/>
                    </w:rPr>
                    <w:t>办公屏风</w:t>
                  </w:r>
                </w:p>
              </w:tc>
              <w:tc>
                <w:tcPr>
                  <w:tcW w:w="816" w:type="dxa"/>
                </w:tcPr>
                <w:p>
                  <w:pPr>
                    <w:widowControl w:val="0"/>
                    <w:shd w:val="clear" w:color="auto" w:fill="auto"/>
                    <w:spacing w:line="240" w:lineRule="auto"/>
                    <w:jc w:val="center"/>
                    <w:rPr>
                      <w:szCs w:val="21"/>
                    </w:rPr>
                  </w:pPr>
                  <w:r>
                    <w:rPr>
                      <w:rFonts w:hint="eastAsia"/>
                      <w:szCs w:val="21"/>
                    </w:rPr>
                    <w:t>个</w:t>
                  </w:r>
                </w:p>
              </w:tc>
              <w:tc>
                <w:tcPr>
                  <w:tcW w:w="864" w:type="dxa"/>
                </w:tcPr>
                <w:p>
                  <w:pPr>
                    <w:widowControl w:val="0"/>
                    <w:shd w:val="clear" w:color="auto" w:fill="auto"/>
                    <w:spacing w:line="240" w:lineRule="auto"/>
                    <w:jc w:val="center"/>
                    <w:rPr>
                      <w:szCs w:val="21"/>
                    </w:rPr>
                  </w:pPr>
                  <w:r>
                    <w:rPr>
                      <w:rFonts w:hint="eastAsia"/>
                      <w:szCs w:val="21"/>
                    </w:rPr>
                    <w:t>2</w:t>
                  </w:r>
                </w:p>
              </w:tc>
              <w:tc>
                <w:tcPr>
                  <w:tcW w:w="2832" w:type="dxa"/>
                </w:tcPr>
                <w:p>
                  <w:pPr>
                    <w:widowControl w:val="0"/>
                    <w:shd w:val="clear" w:color="auto" w:fill="auto"/>
                    <w:spacing w:line="240" w:lineRule="auto"/>
                    <w:jc w:val="center"/>
                    <w:rPr>
                      <w:szCs w:val="21"/>
                    </w:rPr>
                  </w:pPr>
                  <w:r>
                    <w:rPr>
                      <w:rFonts w:hint="eastAsia"/>
                      <w:szCs w:val="21"/>
                    </w:rPr>
                    <w:t>拆装、打包、搬运、安放</w:t>
                  </w:r>
                </w:p>
              </w:tc>
              <w:tc>
                <w:tcPr>
                  <w:tcW w:w="1715" w:type="dxa"/>
                </w:tcPr>
                <w:p>
                  <w:pPr>
                    <w:widowControl w:val="0"/>
                    <w:shd w:val="clear" w:color="auto" w:fill="auto"/>
                    <w:spacing w:line="240" w:lineRule="auto"/>
                    <w:jc w:val="center"/>
                    <w:rPr>
                      <w:szCs w:val="21"/>
                    </w:rPr>
                  </w:pPr>
                  <w:r>
                    <w:rPr>
                      <w:rFonts w:hint="eastAsia"/>
                      <w:szCs w:val="21"/>
                    </w:rPr>
                    <w:t>银湖实验小学及其他采购人指定地点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tcPr>
                <w:p>
                  <w:pPr>
                    <w:widowControl w:val="0"/>
                    <w:shd w:val="clear" w:color="auto" w:fill="auto"/>
                    <w:spacing w:line="240" w:lineRule="auto"/>
                    <w:jc w:val="center"/>
                    <w:rPr>
                      <w:szCs w:val="21"/>
                    </w:rPr>
                  </w:pPr>
                  <w:r>
                    <w:rPr>
                      <w:rFonts w:hint="eastAsia"/>
                      <w:szCs w:val="21"/>
                    </w:rPr>
                    <w:t>45</w:t>
                  </w:r>
                </w:p>
              </w:tc>
              <w:tc>
                <w:tcPr>
                  <w:tcW w:w="1500" w:type="dxa"/>
                </w:tcPr>
                <w:p>
                  <w:pPr>
                    <w:widowControl w:val="0"/>
                    <w:shd w:val="clear" w:color="auto" w:fill="auto"/>
                    <w:spacing w:line="240" w:lineRule="auto"/>
                    <w:jc w:val="center"/>
                    <w:rPr>
                      <w:szCs w:val="21"/>
                    </w:rPr>
                  </w:pPr>
                  <w:r>
                    <w:rPr>
                      <w:rFonts w:hint="eastAsia"/>
                      <w:szCs w:val="21"/>
                    </w:rPr>
                    <w:t>贝肯特桌</w:t>
                  </w:r>
                </w:p>
              </w:tc>
              <w:tc>
                <w:tcPr>
                  <w:tcW w:w="816" w:type="dxa"/>
                </w:tcPr>
                <w:p>
                  <w:pPr>
                    <w:widowControl w:val="0"/>
                    <w:shd w:val="clear" w:color="auto" w:fill="auto"/>
                    <w:spacing w:line="240" w:lineRule="auto"/>
                    <w:jc w:val="center"/>
                    <w:rPr>
                      <w:szCs w:val="21"/>
                    </w:rPr>
                  </w:pPr>
                  <w:r>
                    <w:rPr>
                      <w:rFonts w:hint="eastAsia"/>
                      <w:szCs w:val="21"/>
                    </w:rPr>
                    <w:t>张</w:t>
                  </w:r>
                </w:p>
              </w:tc>
              <w:tc>
                <w:tcPr>
                  <w:tcW w:w="864" w:type="dxa"/>
                </w:tcPr>
                <w:p>
                  <w:pPr>
                    <w:widowControl w:val="0"/>
                    <w:shd w:val="clear" w:color="auto" w:fill="auto"/>
                    <w:spacing w:line="240" w:lineRule="auto"/>
                    <w:jc w:val="center"/>
                    <w:rPr>
                      <w:szCs w:val="21"/>
                    </w:rPr>
                  </w:pPr>
                  <w:r>
                    <w:rPr>
                      <w:rFonts w:hint="eastAsia"/>
                      <w:szCs w:val="21"/>
                    </w:rPr>
                    <w:t>4</w:t>
                  </w:r>
                </w:p>
              </w:tc>
              <w:tc>
                <w:tcPr>
                  <w:tcW w:w="2832" w:type="dxa"/>
                </w:tcPr>
                <w:p>
                  <w:pPr>
                    <w:widowControl w:val="0"/>
                    <w:shd w:val="clear" w:color="auto" w:fill="auto"/>
                    <w:spacing w:line="240" w:lineRule="auto"/>
                    <w:jc w:val="center"/>
                    <w:rPr>
                      <w:szCs w:val="21"/>
                    </w:rPr>
                  </w:pPr>
                  <w:r>
                    <w:rPr>
                      <w:rFonts w:hint="eastAsia"/>
                      <w:szCs w:val="21"/>
                    </w:rPr>
                    <w:t>拆装、打包、搬运、安放</w:t>
                  </w:r>
                </w:p>
              </w:tc>
              <w:tc>
                <w:tcPr>
                  <w:tcW w:w="1715" w:type="dxa"/>
                </w:tcPr>
                <w:p>
                  <w:pPr>
                    <w:widowControl w:val="0"/>
                    <w:shd w:val="clear" w:color="auto" w:fill="auto"/>
                    <w:spacing w:line="240" w:lineRule="auto"/>
                    <w:jc w:val="center"/>
                    <w:rPr>
                      <w:szCs w:val="21"/>
                    </w:rPr>
                  </w:pPr>
                  <w:r>
                    <w:rPr>
                      <w:rFonts w:hint="eastAsia"/>
                      <w:szCs w:val="21"/>
                    </w:rPr>
                    <w:t>银湖实验小学及其他采购人指定地点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tcPr>
                <w:p>
                  <w:pPr>
                    <w:widowControl w:val="0"/>
                    <w:shd w:val="clear" w:color="auto" w:fill="auto"/>
                    <w:spacing w:line="240" w:lineRule="auto"/>
                    <w:jc w:val="center"/>
                    <w:rPr>
                      <w:szCs w:val="21"/>
                    </w:rPr>
                  </w:pPr>
                  <w:r>
                    <w:rPr>
                      <w:rFonts w:hint="eastAsia"/>
                      <w:szCs w:val="21"/>
                    </w:rPr>
                    <w:t>46</w:t>
                  </w:r>
                </w:p>
              </w:tc>
              <w:tc>
                <w:tcPr>
                  <w:tcW w:w="1500" w:type="dxa"/>
                </w:tcPr>
                <w:p>
                  <w:pPr>
                    <w:widowControl w:val="0"/>
                    <w:shd w:val="clear" w:color="auto" w:fill="auto"/>
                    <w:spacing w:line="240" w:lineRule="auto"/>
                    <w:jc w:val="center"/>
                    <w:rPr>
                      <w:szCs w:val="21"/>
                    </w:rPr>
                  </w:pPr>
                  <w:r>
                    <w:rPr>
                      <w:rFonts w:hint="eastAsia"/>
                      <w:szCs w:val="21"/>
                    </w:rPr>
                    <w:t>大会议桌</w:t>
                  </w:r>
                </w:p>
              </w:tc>
              <w:tc>
                <w:tcPr>
                  <w:tcW w:w="816" w:type="dxa"/>
                </w:tcPr>
                <w:p>
                  <w:pPr>
                    <w:widowControl w:val="0"/>
                    <w:shd w:val="clear" w:color="auto" w:fill="auto"/>
                    <w:spacing w:line="240" w:lineRule="auto"/>
                    <w:jc w:val="center"/>
                    <w:rPr>
                      <w:szCs w:val="21"/>
                    </w:rPr>
                  </w:pPr>
                  <w:r>
                    <w:rPr>
                      <w:rFonts w:hint="eastAsia"/>
                      <w:szCs w:val="21"/>
                    </w:rPr>
                    <w:t>张</w:t>
                  </w:r>
                </w:p>
              </w:tc>
              <w:tc>
                <w:tcPr>
                  <w:tcW w:w="864" w:type="dxa"/>
                </w:tcPr>
                <w:p>
                  <w:pPr>
                    <w:widowControl w:val="0"/>
                    <w:shd w:val="clear" w:color="auto" w:fill="auto"/>
                    <w:spacing w:line="240" w:lineRule="auto"/>
                    <w:jc w:val="center"/>
                    <w:rPr>
                      <w:szCs w:val="21"/>
                    </w:rPr>
                  </w:pPr>
                  <w:r>
                    <w:rPr>
                      <w:rFonts w:hint="eastAsia"/>
                      <w:szCs w:val="21"/>
                    </w:rPr>
                    <w:t>1</w:t>
                  </w:r>
                </w:p>
              </w:tc>
              <w:tc>
                <w:tcPr>
                  <w:tcW w:w="2832" w:type="dxa"/>
                </w:tcPr>
                <w:p>
                  <w:pPr>
                    <w:widowControl w:val="0"/>
                    <w:shd w:val="clear" w:color="auto" w:fill="auto"/>
                    <w:spacing w:line="240" w:lineRule="auto"/>
                    <w:jc w:val="center"/>
                    <w:rPr>
                      <w:szCs w:val="21"/>
                    </w:rPr>
                  </w:pPr>
                  <w:r>
                    <w:rPr>
                      <w:rFonts w:hint="eastAsia"/>
                      <w:szCs w:val="21"/>
                    </w:rPr>
                    <w:t>拆装、打包、搬运、安放</w:t>
                  </w:r>
                </w:p>
              </w:tc>
              <w:tc>
                <w:tcPr>
                  <w:tcW w:w="1715" w:type="dxa"/>
                </w:tcPr>
                <w:p>
                  <w:pPr>
                    <w:widowControl w:val="0"/>
                    <w:shd w:val="clear" w:color="auto" w:fill="auto"/>
                    <w:spacing w:line="240" w:lineRule="auto"/>
                    <w:jc w:val="center"/>
                    <w:rPr>
                      <w:szCs w:val="21"/>
                    </w:rPr>
                  </w:pPr>
                  <w:r>
                    <w:rPr>
                      <w:rFonts w:hint="eastAsia"/>
                      <w:szCs w:val="21"/>
                    </w:rPr>
                    <w:t>银湖实验小学及其他采购人指定地点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tcPr>
                <w:p>
                  <w:pPr>
                    <w:widowControl w:val="0"/>
                    <w:shd w:val="clear" w:color="auto" w:fill="auto"/>
                    <w:spacing w:line="240" w:lineRule="auto"/>
                    <w:jc w:val="center"/>
                    <w:rPr>
                      <w:szCs w:val="21"/>
                    </w:rPr>
                  </w:pPr>
                  <w:r>
                    <w:rPr>
                      <w:rFonts w:hint="eastAsia"/>
                      <w:szCs w:val="21"/>
                    </w:rPr>
                    <w:t>47</w:t>
                  </w:r>
                </w:p>
              </w:tc>
              <w:tc>
                <w:tcPr>
                  <w:tcW w:w="1500" w:type="dxa"/>
                </w:tcPr>
                <w:p>
                  <w:pPr>
                    <w:widowControl w:val="0"/>
                    <w:shd w:val="clear" w:color="auto" w:fill="auto"/>
                    <w:spacing w:line="240" w:lineRule="auto"/>
                    <w:jc w:val="center"/>
                    <w:rPr>
                      <w:szCs w:val="21"/>
                    </w:rPr>
                  </w:pPr>
                  <w:r>
                    <w:rPr>
                      <w:rFonts w:hint="eastAsia"/>
                      <w:szCs w:val="21"/>
                    </w:rPr>
                    <w:t>单人组合电脑台01</w:t>
                  </w:r>
                </w:p>
              </w:tc>
              <w:tc>
                <w:tcPr>
                  <w:tcW w:w="816" w:type="dxa"/>
                </w:tcPr>
                <w:p>
                  <w:pPr>
                    <w:widowControl w:val="0"/>
                    <w:shd w:val="clear" w:color="auto" w:fill="auto"/>
                    <w:spacing w:line="240" w:lineRule="auto"/>
                    <w:jc w:val="center"/>
                    <w:rPr>
                      <w:szCs w:val="21"/>
                    </w:rPr>
                  </w:pPr>
                  <w:r>
                    <w:rPr>
                      <w:rFonts w:hint="eastAsia"/>
                      <w:szCs w:val="21"/>
                    </w:rPr>
                    <w:t>张</w:t>
                  </w:r>
                </w:p>
              </w:tc>
              <w:tc>
                <w:tcPr>
                  <w:tcW w:w="864" w:type="dxa"/>
                </w:tcPr>
                <w:p>
                  <w:pPr>
                    <w:widowControl w:val="0"/>
                    <w:shd w:val="clear" w:color="auto" w:fill="auto"/>
                    <w:spacing w:line="240" w:lineRule="auto"/>
                    <w:jc w:val="center"/>
                    <w:rPr>
                      <w:szCs w:val="21"/>
                    </w:rPr>
                  </w:pPr>
                  <w:r>
                    <w:rPr>
                      <w:rFonts w:hint="eastAsia"/>
                      <w:szCs w:val="21"/>
                    </w:rPr>
                    <w:t>4</w:t>
                  </w:r>
                </w:p>
              </w:tc>
              <w:tc>
                <w:tcPr>
                  <w:tcW w:w="2832" w:type="dxa"/>
                </w:tcPr>
                <w:p>
                  <w:pPr>
                    <w:widowControl w:val="0"/>
                    <w:shd w:val="clear" w:color="auto" w:fill="auto"/>
                    <w:spacing w:line="240" w:lineRule="auto"/>
                    <w:jc w:val="center"/>
                    <w:rPr>
                      <w:szCs w:val="21"/>
                    </w:rPr>
                  </w:pPr>
                  <w:r>
                    <w:rPr>
                      <w:rFonts w:hint="eastAsia"/>
                      <w:szCs w:val="21"/>
                    </w:rPr>
                    <w:t>拆装、打包、搬运、安放</w:t>
                  </w:r>
                </w:p>
              </w:tc>
              <w:tc>
                <w:tcPr>
                  <w:tcW w:w="1715" w:type="dxa"/>
                </w:tcPr>
                <w:p>
                  <w:pPr>
                    <w:widowControl w:val="0"/>
                    <w:shd w:val="clear" w:color="auto" w:fill="auto"/>
                    <w:spacing w:line="240" w:lineRule="auto"/>
                    <w:jc w:val="center"/>
                    <w:rPr>
                      <w:szCs w:val="21"/>
                    </w:rPr>
                  </w:pPr>
                  <w:r>
                    <w:rPr>
                      <w:rFonts w:hint="eastAsia"/>
                      <w:szCs w:val="21"/>
                    </w:rPr>
                    <w:t>银湖实验小学及其他采购人指定地点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tcPr>
                <w:p>
                  <w:pPr>
                    <w:widowControl w:val="0"/>
                    <w:shd w:val="clear" w:color="auto" w:fill="auto"/>
                    <w:spacing w:line="240" w:lineRule="auto"/>
                    <w:jc w:val="center"/>
                    <w:rPr>
                      <w:szCs w:val="21"/>
                    </w:rPr>
                  </w:pPr>
                  <w:r>
                    <w:rPr>
                      <w:rFonts w:hint="eastAsia"/>
                      <w:szCs w:val="21"/>
                    </w:rPr>
                    <w:t>48</w:t>
                  </w:r>
                </w:p>
              </w:tc>
              <w:tc>
                <w:tcPr>
                  <w:tcW w:w="1500" w:type="dxa"/>
                </w:tcPr>
                <w:p>
                  <w:pPr>
                    <w:widowControl w:val="0"/>
                    <w:shd w:val="clear" w:color="auto" w:fill="auto"/>
                    <w:spacing w:line="240" w:lineRule="auto"/>
                    <w:jc w:val="center"/>
                    <w:rPr>
                      <w:szCs w:val="21"/>
                    </w:rPr>
                  </w:pPr>
                  <w:r>
                    <w:rPr>
                      <w:rFonts w:hint="eastAsia"/>
                      <w:szCs w:val="21"/>
                    </w:rPr>
                    <w:t>多媒体服务接待台</w:t>
                  </w:r>
                </w:p>
              </w:tc>
              <w:tc>
                <w:tcPr>
                  <w:tcW w:w="816" w:type="dxa"/>
                </w:tcPr>
                <w:p>
                  <w:pPr>
                    <w:widowControl w:val="0"/>
                    <w:shd w:val="clear" w:color="auto" w:fill="auto"/>
                    <w:spacing w:line="240" w:lineRule="auto"/>
                    <w:jc w:val="center"/>
                    <w:rPr>
                      <w:szCs w:val="21"/>
                    </w:rPr>
                  </w:pPr>
                  <w:r>
                    <w:rPr>
                      <w:rFonts w:hint="eastAsia"/>
                      <w:szCs w:val="21"/>
                    </w:rPr>
                    <w:t>张</w:t>
                  </w:r>
                </w:p>
              </w:tc>
              <w:tc>
                <w:tcPr>
                  <w:tcW w:w="864" w:type="dxa"/>
                </w:tcPr>
                <w:p>
                  <w:pPr>
                    <w:widowControl w:val="0"/>
                    <w:shd w:val="clear" w:color="auto" w:fill="auto"/>
                    <w:spacing w:line="240" w:lineRule="auto"/>
                    <w:jc w:val="center"/>
                    <w:rPr>
                      <w:szCs w:val="21"/>
                    </w:rPr>
                  </w:pPr>
                  <w:r>
                    <w:rPr>
                      <w:rFonts w:hint="eastAsia"/>
                      <w:szCs w:val="21"/>
                    </w:rPr>
                    <w:t>1</w:t>
                  </w:r>
                </w:p>
              </w:tc>
              <w:tc>
                <w:tcPr>
                  <w:tcW w:w="2832" w:type="dxa"/>
                </w:tcPr>
                <w:p>
                  <w:pPr>
                    <w:widowControl w:val="0"/>
                    <w:shd w:val="clear" w:color="auto" w:fill="auto"/>
                    <w:spacing w:line="240" w:lineRule="auto"/>
                    <w:jc w:val="center"/>
                    <w:rPr>
                      <w:szCs w:val="21"/>
                    </w:rPr>
                  </w:pPr>
                  <w:r>
                    <w:rPr>
                      <w:rFonts w:hint="eastAsia"/>
                      <w:szCs w:val="21"/>
                    </w:rPr>
                    <w:t>拆装、打包、搬运、安放</w:t>
                  </w:r>
                </w:p>
              </w:tc>
              <w:tc>
                <w:tcPr>
                  <w:tcW w:w="1715" w:type="dxa"/>
                </w:tcPr>
                <w:p>
                  <w:pPr>
                    <w:widowControl w:val="0"/>
                    <w:shd w:val="clear" w:color="auto" w:fill="auto"/>
                    <w:spacing w:line="240" w:lineRule="auto"/>
                    <w:jc w:val="center"/>
                    <w:rPr>
                      <w:szCs w:val="21"/>
                    </w:rPr>
                  </w:pPr>
                  <w:r>
                    <w:rPr>
                      <w:rFonts w:hint="eastAsia"/>
                      <w:szCs w:val="21"/>
                    </w:rPr>
                    <w:t>银湖实验小学及其他采购人指定地点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tcPr>
                <w:p>
                  <w:pPr>
                    <w:widowControl w:val="0"/>
                    <w:shd w:val="clear" w:color="auto" w:fill="auto"/>
                    <w:spacing w:line="240" w:lineRule="auto"/>
                    <w:jc w:val="center"/>
                    <w:rPr>
                      <w:szCs w:val="21"/>
                    </w:rPr>
                  </w:pPr>
                  <w:r>
                    <w:rPr>
                      <w:rFonts w:hint="eastAsia"/>
                      <w:szCs w:val="21"/>
                    </w:rPr>
                    <w:t>49</w:t>
                  </w:r>
                </w:p>
              </w:tc>
              <w:tc>
                <w:tcPr>
                  <w:tcW w:w="1500" w:type="dxa"/>
                </w:tcPr>
                <w:p>
                  <w:pPr>
                    <w:widowControl w:val="0"/>
                    <w:shd w:val="clear" w:color="auto" w:fill="auto"/>
                    <w:spacing w:line="240" w:lineRule="auto"/>
                    <w:jc w:val="center"/>
                    <w:rPr>
                      <w:szCs w:val="21"/>
                    </w:rPr>
                  </w:pPr>
                  <w:r>
                    <w:rPr>
                      <w:rFonts w:hint="eastAsia"/>
                      <w:szCs w:val="21"/>
                    </w:rPr>
                    <w:t>工作台</w:t>
                  </w:r>
                </w:p>
              </w:tc>
              <w:tc>
                <w:tcPr>
                  <w:tcW w:w="816" w:type="dxa"/>
                </w:tcPr>
                <w:p>
                  <w:pPr>
                    <w:widowControl w:val="0"/>
                    <w:shd w:val="clear" w:color="auto" w:fill="auto"/>
                    <w:spacing w:line="240" w:lineRule="auto"/>
                    <w:jc w:val="center"/>
                    <w:rPr>
                      <w:szCs w:val="21"/>
                    </w:rPr>
                  </w:pPr>
                  <w:r>
                    <w:rPr>
                      <w:rFonts w:hint="eastAsia"/>
                      <w:szCs w:val="21"/>
                    </w:rPr>
                    <w:t>张</w:t>
                  </w:r>
                </w:p>
              </w:tc>
              <w:tc>
                <w:tcPr>
                  <w:tcW w:w="864" w:type="dxa"/>
                </w:tcPr>
                <w:p>
                  <w:pPr>
                    <w:widowControl w:val="0"/>
                    <w:shd w:val="clear" w:color="auto" w:fill="auto"/>
                    <w:spacing w:line="240" w:lineRule="auto"/>
                    <w:jc w:val="center"/>
                    <w:rPr>
                      <w:szCs w:val="21"/>
                    </w:rPr>
                  </w:pPr>
                  <w:r>
                    <w:rPr>
                      <w:rFonts w:hint="eastAsia"/>
                      <w:szCs w:val="21"/>
                    </w:rPr>
                    <w:t>5</w:t>
                  </w:r>
                </w:p>
              </w:tc>
              <w:tc>
                <w:tcPr>
                  <w:tcW w:w="2832" w:type="dxa"/>
                </w:tcPr>
                <w:p>
                  <w:pPr>
                    <w:widowControl w:val="0"/>
                    <w:shd w:val="clear" w:color="auto" w:fill="auto"/>
                    <w:spacing w:line="240" w:lineRule="auto"/>
                    <w:jc w:val="center"/>
                    <w:rPr>
                      <w:szCs w:val="21"/>
                    </w:rPr>
                  </w:pPr>
                  <w:r>
                    <w:rPr>
                      <w:rFonts w:hint="eastAsia"/>
                      <w:szCs w:val="21"/>
                    </w:rPr>
                    <w:t>拆装、打包、搬运、安放</w:t>
                  </w:r>
                </w:p>
              </w:tc>
              <w:tc>
                <w:tcPr>
                  <w:tcW w:w="1715" w:type="dxa"/>
                </w:tcPr>
                <w:p>
                  <w:pPr>
                    <w:widowControl w:val="0"/>
                    <w:shd w:val="clear" w:color="auto" w:fill="auto"/>
                    <w:spacing w:line="240" w:lineRule="auto"/>
                    <w:jc w:val="center"/>
                    <w:rPr>
                      <w:szCs w:val="21"/>
                    </w:rPr>
                  </w:pPr>
                  <w:r>
                    <w:rPr>
                      <w:rFonts w:hint="eastAsia"/>
                      <w:szCs w:val="21"/>
                    </w:rPr>
                    <w:t>银湖实验小学及其他采购人指定地点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tcPr>
                <w:p>
                  <w:pPr>
                    <w:widowControl w:val="0"/>
                    <w:shd w:val="clear" w:color="auto" w:fill="auto"/>
                    <w:spacing w:line="240" w:lineRule="auto"/>
                    <w:jc w:val="center"/>
                    <w:rPr>
                      <w:szCs w:val="21"/>
                    </w:rPr>
                  </w:pPr>
                  <w:r>
                    <w:rPr>
                      <w:rFonts w:hint="eastAsia"/>
                      <w:szCs w:val="21"/>
                    </w:rPr>
                    <w:t>50</w:t>
                  </w:r>
                </w:p>
              </w:tc>
              <w:tc>
                <w:tcPr>
                  <w:tcW w:w="1500" w:type="dxa"/>
                </w:tcPr>
                <w:p>
                  <w:pPr>
                    <w:widowControl w:val="0"/>
                    <w:shd w:val="clear" w:color="auto" w:fill="auto"/>
                    <w:spacing w:line="240" w:lineRule="auto"/>
                    <w:jc w:val="center"/>
                    <w:rPr>
                      <w:szCs w:val="21"/>
                    </w:rPr>
                  </w:pPr>
                  <w:r>
                    <w:rPr>
                      <w:rFonts w:hint="eastAsia"/>
                      <w:szCs w:val="21"/>
                    </w:rPr>
                    <w:t>红木办公桌</w:t>
                  </w:r>
                </w:p>
              </w:tc>
              <w:tc>
                <w:tcPr>
                  <w:tcW w:w="816" w:type="dxa"/>
                </w:tcPr>
                <w:p>
                  <w:pPr>
                    <w:widowControl w:val="0"/>
                    <w:shd w:val="clear" w:color="auto" w:fill="auto"/>
                    <w:spacing w:line="240" w:lineRule="auto"/>
                    <w:jc w:val="center"/>
                    <w:rPr>
                      <w:szCs w:val="21"/>
                    </w:rPr>
                  </w:pPr>
                  <w:r>
                    <w:rPr>
                      <w:rFonts w:hint="eastAsia"/>
                      <w:szCs w:val="21"/>
                    </w:rPr>
                    <w:t>张</w:t>
                  </w:r>
                </w:p>
              </w:tc>
              <w:tc>
                <w:tcPr>
                  <w:tcW w:w="864" w:type="dxa"/>
                </w:tcPr>
                <w:p>
                  <w:pPr>
                    <w:widowControl w:val="0"/>
                    <w:shd w:val="clear" w:color="auto" w:fill="auto"/>
                    <w:spacing w:line="240" w:lineRule="auto"/>
                    <w:jc w:val="center"/>
                    <w:rPr>
                      <w:szCs w:val="21"/>
                    </w:rPr>
                  </w:pPr>
                  <w:r>
                    <w:rPr>
                      <w:rFonts w:hint="eastAsia"/>
                      <w:szCs w:val="21"/>
                    </w:rPr>
                    <w:t>1</w:t>
                  </w:r>
                </w:p>
              </w:tc>
              <w:tc>
                <w:tcPr>
                  <w:tcW w:w="2832" w:type="dxa"/>
                </w:tcPr>
                <w:p>
                  <w:pPr>
                    <w:widowControl w:val="0"/>
                    <w:shd w:val="clear" w:color="auto" w:fill="auto"/>
                    <w:spacing w:line="240" w:lineRule="auto"/>
                    <w:jc w:val="center"/>
                    <w:rPr>
                      <w:szCs w:val="21"/>
                    </w:rPr>
                  </w:pPr>
                  <w:r>
                    <w:rPr>
                      <w:rFonts w:hint="eastAsia"/>
                      <w:szCs w:val="21"/>
                    </w:rPr>
                    <w:t>拆装、打包、搬运、安放</w:t>
                  </w:r>
                </w:p>
              </w:tc>
              <w:tc>
                <w:tcPr>
                  <w:tcW w:w="1715" w:type="dxa"/>
                </w:tcPr>
                <w:p>
                  <w:pPr>
                    <w:widowControl w:val="0"/>
                    <w:shd w:val="clear" w:color="auto" w:fill="auto"/>
                    <w:spacing w:line="240" w:lineRule="auto"/>
                    <w:jc w:val="center"/>
                    <w:rPr>
                      <w:szCs w:val="21"/>
                    </w:rPr>
                  </w:pPr>
                  <w:r>
                    <w:rPr>
                      <w:rFonts w:hint="eastAsia"/>
                      <w:szCs w:val="21"/>
                    </w:rPr>
                    <w:t>少儿图书馆龙岗分馆及其他采购人指定地点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tcPr>
                <w:p>
                  <w:pPr>
                    <w:widowControl w:val="0"/>
                    <w:shd w:val="clear" w:color="auto" w:fill="auto"/>
                    <w:spacing w:line="240" w:lineRule="auto"/>
                    <w:jc w:val="center"/>
                    <w:rPr>
                      <w:szCs w:val="21"/>
                    </w:rPr>
                  </w:pPr>
                  <w:r>
                    <w:rPr>
                      <w:rFonts w:hint="eastAsia"/>
                      <w:szCs w:val="21"/>
                    </w:rPr>
                    <w:t>51</w:t>
                  </w:r>
                </w:p>
              </w:tc>
              <w:tc>
                <w:tcPr>
                  <w:tcW w:w="1500" w:type="dxa"/>
                </w:tcPr>
                <w:p>
                  <w:pPr>
                    <w:widowControl w:val="0"/>
                    <w:shd w:val="clear" w:color="auto" w:fill="auto"/>
                    <w:spacing w:line="240" w:lineRule="auto"/>
                    <w:jc w:val="center"/>
                    <w:rPr>
                      <w:szCs w:val="21"/>
                    </w:rPr>
                  </w:pPr>
                  <w:r>
                    <w:rPr>
                      <w:rFonts w:hint="eastAsia"/>
                      <w:szCs w:val="21"/>
                    </w:rPr>
                    <w:t>弧形接待台</w:t>
                  </w:r>
                </w:p>
              </w:tc>
              <w:tc>
                <w:tcPr>
                  <w:tcW w:w="816" w:type="dxa"/>
                </w:tcPr>
                <w:p>
                  <w:pPr>
                    <w:widowControl w:val="0"/>
                    <w:shd w:val="clear" w:color="auto" w:fill="auto"/>
                    <w:spacing w:line="240" w:lineRule="auto"/>
                    <w:jc w:val="center"/>
                    <w:rPr>
                      <w:szCs w:val="21"/>
                    </w:rPr>
                  </w:pPr>
                  <w:r>
                    <w:rPr>
                      <w:rFonts w:hint="eastAsia"/>
                      <w:szCs w:val="21"/>
                    </w:rPr>
                    <w:t>张</w:t>
                  </w:r>
                </w:p>
              </w:tc>
              <w:tc>
                <w:tcPr>
                  <w:tcW w:w="864" w:type="dxa"/>
                </w:tcPr>
                <w:p>
                  <w:pPr>
                    <w:widowControl w:val="0"/>
                    <w:shd w:val="clear" w:color="auto" w:fill="auto"/>
                    <w:spacing w:line="240" w:lineRule="auto"/>
                    <w:jc w:val="center"/>
                    <w:rPr>
                      <w:szCs w:val="21"/>
                    </w:rPr>
                  </w:pPr>
                  <w:r>
                    <w:rPr>
                      <w:rFonts w:hint="eastAsia"/>
                      <w:szCs w:val="21"/>
                    </w:rPr>
                    <w:t>1</w:t>
                  </w:r>
                </w:p>
              </w:tc>
              <w:tc>
                <w:tcPr>
                  <w:tcW w:w="2832" w:type="dxa"/>
                </w:tcPr>
                <w:p>
                  <w:pPr>
                    <w:widowControl w:val="0"/>
                    <w:shd w:val="clear" w:color="auto" w:fill="auto"/>
                    <w:spacing w:line="240" w:lineRule="auto"/>
                    <w:jc w:val="center"/>
                    <w:rPr>
                      <w:szCs w:val="21"/>
                    </w:rPr>
                  </w:pPr>
                  <w:r>
                    <w:rPr>
                      <w:rFonts w:hint="eastAsia"/>
                      <w:szCs w:val="21"/>
                    </w:rPr>
                    <w:t>拆装、打包、搬运、安放</w:t>
                  </w:r>
                </w:p>
              </w:tc>
              <w:tc>
                <w:tcPr>
                  <w:tcW w:w="1715" w:type="dxa"/>
                </w:tcPr>
                <w:p>
                  <w:pPr>
                    <w:widowControl w:val="0"/>
                    <w:shd w:val="clear" w:color="auto" w:fill="auto"/>
                    <w:spacing w:line="240" w:lineRule="auto"/>
                    <w:jc w:val="center"/>
                    <w:rPr>
                      <w:szCs w:val="21"/>
                    </w:rPr>
                  </w:pPr>
                  <w:r>
                    <w:rPr>
                      <w:rFonts w:hint="eastAsia"/>
                      <w:szCs w:val="21"/>
                    </w:rPr>
                    <w:t>少儿图书馆龙岗分馆及其他采购人指定地点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tcPr>
                <w:p>
                  <w:pPr>
                    <w:widowControl w:val="0"/>
                    <w:shd w:val="clear" w:color="auto" w:fill="auto"/>
                    <w:spacing w:line="240" w:lineRule="auto"/>
                    <w:jc w:val="center"/>
                    <w:rPr>
                      <w:szCs w:val="21"/>
                    </w:rPr>
                  </w:pPr>
                  <w:r>
                    <w:rPr>
                      <w:rFonts w:hint="eastAsia"/>
                      <w:szCs w:val="21"/>
                    </w:rPr>
                    <w:t>52</w:t>
                  </w:r>
                </w:p>
              </w:tc>
              <w:tc>
                <w:tcPr>
                  <w:tcW w:w="1500" w:type="dxa"/>
                </w:tcPr>
                <w:p>
                  <w:pPr>
                    <w:widowControl w:val="0"/>
                    <w:shd w:val="clear" w:color="auto" w:fill="auto"/>
                    <w:spacing w:line="240" w:lineRule="auto"/>
                    <w:jc w:val="center"/>
                    <w:rPr>
                      <w:szCs w:val="21"/>
                    </w:rPr>
                  </w:pPr>
                  <w:r>
                    <w:rPr>
                      <w:rFonts w:hint="eastAsia"/>
                      <w:szCs w:val="21"/>
                    </w:rPr>
                    <w:t>博古架</w:t>
                  </w:r>
                </w:p>
              </w:tc>
              <w:tc>
                <w:tcPr>
                  <w:tcW w:w="816" w:type="dxa"/>
                </w:tcPr>
                <w:p>
                  <w:pPr>
                    <w:widowControl w:val="0"/>
                    <w:shd w:val="clear" w:color="auto" w:fill="auto"/>
                    <w:spacing w:line="240" w:lineRule="auto"/>
                    <w:jc w:val="center"/>
                    <w:rPr>
                      <w:szCs w:val="21"/>
                    </w:rPr>
                  </w:pPr>
                  <w:r>
                    <w:rPr>
                      <w:rFonts w:hint="eastAsia"/>
                      <w:szCs w:val="21"/>
                    </w:rPr>
                    <w:t>个</w:t>
                  </w:r>
                </w:p>
              </w:tc>
              <w:tc>
                <w:tcPr>
                  <w:tcW w:w="864" w:type="dxa"/>
                </w:tcPr>
                <w:p>
                  <w:pPr>
                    <w:widowControl w:val="0"/>
                    <w:shd w:val="clear" w:color="auto" w:fill="auto"/>
                    <w:spacing w:line="240" w:lineRule="auto"/>
                    <w:jc w:val="center"/>
                    <w:rPr>
                      <w:szCs w:val="21"/>
                    </w:rPr>
                  </w:pPr>
                  <w:r>
                    <w:rPr>
                      <w:rFonts w:hint="eastAsia"/>
                      <w:szCs w:val="21"/>
                    </w:rPr>
                    <w:t>5</w:t>
                  </w:r>
                </w:p>
              </w:tc>
              <w:tc>
                <w:tcPr>
                  <w:tcW w:w="2832" w:type="dxa"/>
                </w:tcPr>
                <w:p>
                  <w:pPr>
                    <w:widowControl w:val="0"/>
                    <w:shd w:val="clear" w:color="auto" w:fill="auto"/>
                    <w:spacing w:line="240" w:lineRule="auto"/>
                    <w:jc w:val="center"/>
                    <w:rPr>
                      <w:szCs w:val="21"/>
                    </w:rPr>
                  </w:pPr>
                  <w:r>
                    <w:rPr>
                      <w:rFonts w:hint="eastAsia"/>
                      <w:szCs w:val="21"/>
                    </w:rPr>
                    <w:t>拆装、打包、搬运、安放</w:t>
                  </w:r>
                </w:p>
              </w:tc>
              <w:tc>
                <w:tcPr>
                  <w:tcW w:w="1715" w:type="dxa"/>
                </w:tcPr>
                <w:p>
                  <w:pPr>
                    <w:widowControl w:val="0"/>
                    <w:shd w:val="clear" w:color="auto" w:fill="auto"/>
                    <w:spacing w:line="240" w:lineRule="auto"/>
                    <w:jc w:val="center"/>
                    <w:rPr>
                      <w:szCs w:val="21"/>
                    </w:rPr>
                  </w:pPr>
                  <w:r>
                    <w:rPr>
                      <w:rFonts w:hint="eastAsia"/>
                      <w:szCs w:val="21"/>
                    </w:rPr>
                    <w:t>少儿图书馆龙岗分馆及其他采购人指定地点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99" w:type="dxa"/>
                </w:tcPr>
                <w:p>
                  <w:pPr>
                    <w:widowControl w:val="0"/>
                    <w:shd w:val="clear" w:color="auto" w:fill="auto"/>
                    <w:spacing w:line="240" w:lineRule="auto"/>
                    <w:jc w:val="center"/>
                    <w:rPr>
                      <w:szCs w:val="21"/>
                    </w:rPr>
                  </w:pPr>
                  <w:r>
                    <w:rPr>
                      <w:rFonts w:hint="eastAsia"/>
                      <w:szCs w:val="21"/>
                    </w:rPr>
                    <w:t>53</w:t>
                  </w:r>
                </w:p>
              </w:tc>
              <w:tc>
                <w:tcPr>
                  <w:tcW w:w="1500" w:type="dxa"/>
                </w:tcPr>
                <w:p>
                  <w:pPr>
                    <w:widowControl w:val="0"/>
                    <w:shd w:val="clear" w:color="auto" w:fill="auto"/>
                    <w:spacing w:line="240" w:lineRule="auto"/>
                    <w:jc w:val="center"/>
                    <w:rPr>
                      <w:szCs w:val="21"/>
                    </w:rPr>
                  </w:pPr>
                  <w:r>
                    <w:rPr>
                      <w:rFonts w:hint="eastAsia"/>
                      <w:szCs w:val="21"/>
                    </w:rPr>
                    <w:t>花梨木桌椅一套</w:t>
                  </w:r>
                </w:p>
              </w:tc>
              <w:tc>
                <w:tcPr>
                  <w:tcW w:w="816" w:type="dxa"/>
                </w:tcPr>
                <w:p>
                  <w:pPr>
                    <w:widowControl w:val="0"/>
                    <w:shd w:val="clear" w:color="auto" w:fill="auto"/>
                    <w:spacing w:line="240" w:lineRule="auto"/>
                    <w:jc w:val="center"/>
                    <w:rPr>
                      <w:szCs w:val="21"/>
                    </w:rPr>
                  </w:pPr>
                  <w:r>
                    <w:rPr>
                      <w:rFonts w:hint="eastAsia"/>
                      <w:szCs w:val="21"/>
                    </w:rPr>
                    <w:t>套</w:t>
                  </w:r>
                </w:p>
              </w:tc>
              <w:tc>
                <w:tcPr>
                  <w:tcW w:w="864" w:type="dxa"/>
                </w:tcPr>
                <w:p>
                  <w:pPr>
                    <w:widowControl w:val="0"/>
                    <w:shd w:val="clear" w:color="auto" w:fill="auto"/>
                    <w:spacing w:line="240" w:lineRule="auto"/>
                    <w:jc w:val="center"/>
                    <w:rPr>
                      <w:szCs w:val="21"/>
                    </w:rPr>
                  </w:pPr>
                  <w:r>
                    <w:rPr>
                      <w:rFonts w:hint="eastAsia"/>
                      <w:szCs w:val="21"/>
                    </w:rPr>
                    <w:t>1</w:t>
                  </w:r>
                </w:p>
              </w:tc>
              <w:tc>
                <w:tcPr>
                  <w:tcW w:w="2832" w:type="dxa"/>
                </w:tcPr>
                <w:p>
                  <w:pPr>
                    <w:widowControl w:val="0"/>
                    <w:shd w:val="clear" w:color="auto" w:fill="auto"/>
                    <w:spacing w:line="240" w:lineRule="auto"/>
                    <w:jc w:val="center"/>
                    <w:rPr>
                      <w:szCs w:val="21"/>
                    </w:rPr>
                  </w:pPr>
                  <w:r>
                    <w:rPr>
                      <w:rFonts w:hint="eastAsia"/>
                      <w:szCs w:val="21"/>
                    </w:rPr>
                    <w:t>打包、搬迁运输、按要求放置到指定位置</w:t>
                  </w:r>
                </w:p>
              </w:tc>
              <w:tc>
                <w:tcPr>
                  <w:tcW w:w="1715" w:type="dxa"/>
                </w:tcPr>
                <w:p>
                  <w:pPr>
                    <w:widowControl w:val="0"/>
                    <w:shd w:val="clear" w:color="auto" w:fill="auto"/>
                    <w:spacing w:line="240" w:lineRule="auto"/>
                    <w:jc w:val="center"/>
                    <w:rPr>
                      <w:szCs w:val="21"/>
                    </w:rPr>
                  </w:pPr>
                  <w:r>
                    <w:rPr>
                      <w:rFonts w:hint="eastAsia"/>
                      <w:szCs w:val="21"/>
                    </w:rPr>
                    <w:t>少儿图书馆龙岗分馆及其他采购人指定地点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tcPr>
                <w:p>
                  <w:pPr>
                    <w:widowControl w:val="0"/>
                    <w:shd w:val="clear" w:color="auto" w:fill="auto"/>
                    <w:spacing w:line="240" w:lineRule="auto"/>
                    <w:jc w:val="center"/>
                    <w:rPr>
                      <w:szCs w:val="21"/>
                    </w:rPr>
                  </w:pPr>
                  <w:r>
                    <w:rPr>
                      <w:rFonts w:hint="eastAsia"/>
                      <w:szCs w:val="21"/>
                    </w:rPr>
                    <w:t>54</w:t>
                  </w:r>
                </w:p>
              </w:tc>
              <w:tc>
                <w:tcPr>
                  <w:tcW w:w="1500" w:type="dxa"/>
                </w:tcPr>
                <w:p>
                  <w:pPr>
                    <w:widowControl w:val="0"/>
                    <w:shd w:val="clear" w:color="auto" w:fill="auto"/>
                    <w:spacing w:line="240" w:lineRule="auto"/>
                    <w:jc w:val="center"/>
                    <w:rPr>
                      <w:szCs w:val="21"/>
                    </w:rPr>
                  </w:pPr>
                  <w:r>
                    <w:rPr>
                      <w:rFonts w:hint="eastAsia"/>
                      <w:szCs w:val="21"/>
                    </w:rPr>
                    <w:t>家庭教育区茶几</w:t>
                  </w:r>
                </w:p>
              </w:tc>
              <w:tc>
                <w:tcPr>
                  <w:tcW w:w="816" w:type="dxa"/>
                </w:tcPr>
                <w:p>
                  <w:pPr>
                    <w:widowControl w:val="0"/>
                    <w:shd w:val="clear" w:color="auto" w:fill="auto"/>
                    <w:spacing w:line="240" w:lineRule="auto"/>
                    <w:jc w:val="center"/>
                    <w:rPr>
                      <w:szCs w:val="21"/>
                    </w:rPr>
                  </w:pPr>
                  <w:r>
                    <w:rPr>
                      <w:rFonts w:hint="eastAsia"/>
                      <w:szCs w:val="21"/>
                    </w:rPr>
                    <w:t>个</w:t>
                  </w:r>
                </w:p>
              </w:tc>
              <w:tc>
                <w:tcPr>
                  <w:tcW w:w="864" w:type="dxa"/>
                </w:tcPr>
                <w:p>
                  <w:pPr>
                    <w:widowControl w:val="0"/>
                    <w:shd w:val="clear" w:color="auto" w:fill="auto"/>
                    <w:spacing w:line="240" w:lineRule="auto"/>
                    <w:jc w:val="center"/>
                    <w:rPr>
                      <w:szCs w:val="21"/>
                    </w:rPr>
                  </w:pPr>
                  <w:r>
                    <w:rPr>
                      <w:rFonts w:hint="eastAsia"/>
                      <w:szCs w:val="21"/>
                    </w:rPr>
                    <w:t>1</w:t>
                  </w:r>
                </w:p>
              </w:tc>
              <w:tc>
                <w:tcPr>
                  <w:tcW w:w="2832" w:type="dxa"/>
                </w:tcPr>
                <w:p>
                  <w:pPr>
                    <w:widowControl w:val="0"/>
                    <w:shd w:val="clear" w:color="auto" w:fill="auto"/>
                    <w:spacing w:line="240" w:lineRule="auto"/>
                    <w:jc w:val="center"/>
                    <w:rPr>
                      <w:szCs w:val="21"/>
                    </w:rPr>
                  </w:pPr>
                  <w:r>
                    <w:rPr>
                      <w:rFonts w:hint="eastAsia"/>
                      <w:szCs w:val="21"/>
                    </w:rPr>
                    <w:t>打包、搬迁运输、按要求放置到指定位置</w:t>
                  </w:r>
                </w:p>
              </w:tc>
              <w:tc>
                <w:tcPr>
                  <w:tcW w:w="1715" w:type="dxa"/>
                </w:tcPr>
                <w:p>
                  <w:pPr>
                    <w:widowControl w:val="0"/>
                    <w:shd w:val="clear" w:color="auto" w:fill="auto"/>
                    <w:spacing w:line="240" w:lineRule="auto"/>
                    <w:jc w:val="center"/>
                    <w:rPr>
                      <w:szCs w:val="21"/>
                    </w:rPr>
                  </w:pPr>
                  <w:r>
                    <w:rPr>
                      <w:rFonts w:hint="eastAsia"/>
                      <w:szCs w:val="21"/>
                    </w:rPr>
                    <w:t>少儿图书馆龙岗分馆及其他采购人指定地点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tcPr>
                <w:p>
                  <w:pPr>
                    <w:widowControl w:val="0"/>
                    <w:shd w:val="clear" w:color="auto" w:fill="auto"/>
                    <w:spacing w:line="240" w:lineRule="auto"/>
                    <w:jc w:val="center"/>
                    <w:rPr>
                      <w:szCs w:val="21"/>
                    </w:rPr>
                  </w:pPr>
                  <w:r>
                    <w:rPr>
                      <w:rFonts w:hint="eastAsia"/>
                      <w:szCs w:val="21"/>
                    </w:rPr>
                    <w:t>55</w:t>
                  </w:r>
                </w:p>
              </w:tc>
              <w:tc>
                <w:tcPr>
                  <w:tcW w:w="1500" w:type="dxa"/>
                </w:tcPr>
                <w:p>
                  <w:pPr>
                    <w:widowControl w:val="0"/>
                    <w:shd w:val="clear" w:color="auto" w:fill="auto"/>
                    <w:spacing w:line="240" w:lineRule="auto"/>
                    <w:jc w:val="center"/>
                    <w:rPr>
                      <w:szCs w:val="21"/>
                    </w:rPr>
                  </w:pPr>
                  <w:r>
                    <w:rPr>
                      <w:rFonts w:hint="eastAsia"/>
                      <w:szCs w:val="21"/>
                    </w:rPr>
                    <w:t>家庭教育区服务台</w:t>
                  </w:r>
                </w:p>
              </w:tc>
              <w:tc>
                <w:tcPr>
                  <w:tcW w:w="816" w:type="dxa"/>
                </w:tcPr>
                <w:p>
                  <w:pPr>
                    <w:widowControl w:val="0"/>
                    <w:shd w:val="clear" w:color="auto" w:fill="auto"/>
                    <w:spacing w:line="240" w:lineRule="auto"/>
                    <w:jc w:val="center"/>
                    <w:rPr>
                      <w:szCs w:val="21"/>
                    </w:rPr>
                  </w:pPr>
                  <w:r>
                    <w:rPr>
                      <w:rFonts w:hint="eastAsia"/>
                      <w:szCs w:val="21"/>
                    </w:rPr>
                    <w:t>个</w:t>
                  </w:r>
                </w:p>
              </w:tc>
              <w:tc>
                <w:tcPr>
                  <w:tcW w:w="864" w:type="dxa"/>
                </w:tcPr>
                <w:p>
                  <w:pPr>
                    <w:widowControl w:val="0"/>
                    <w:shd w:val="clear" w:color="auto" w:fill="auto"/>
                    <w:spacing w:line="240" w:lineRule="auto"/>
                    <w:jc w:val="center"/>
                    <w:rPr>
                      <w:szCs w:val="21"/>
                    </w:rPr>
                  </w:pPr>
                  <w:r>
                    <w:rPr>
                      <w:rFonts w:hint="eastAsia"/>
                      <w:szCs w:val="21"/>
                    </w:rPr>
                    <w:t>1</w:t>
                  </w:r>
                </w:p>
              </w:tc>
              <w:tc>
                <w:tcPr>
                  <w:tcW w:w="2832" w:type="dxa"/>
                </w:tcPr>
                <w:p>
                  <w:pPr>
                    <w:widowControl w:val="0"/>
                    <w:shd w:val="clear" w:color="auto" w:fill="auto"/>
                    <w:spacing w:line="240" w:lineRule="auto"/>
                    <w:jc w:val="center"/>
                    <w:rPr>
                      <w:szCs w:val="21"/>
                    </w:rPr>
                  </w:pPr>
                  <w:r>
                    <w:rPr>
                      <w:rFonts w:hint="eastAsia"/>
                      <w:szCs w:val="21"/>
                    </w:rPr>
                    <w:t>拆装、打包、搬运、安放</w:t>
                  </w:r>
                </w:p>
              </w:tc>
              <w:tc>
                <w:tcPr>
                  <w:tcW w:w="1715" w:type="dxa"/>
                </w:tcPr>
                <w:p>
                  <w:pPr>
                    <w:widowControl w:val="0"/>
                    <w:shd w:val="clear" w:color="auto" w:fill="auto"/>
                    <w:spacing w:line="240" w:lineRule="auto"/>
                    <w:jc w:val="center"/>
                    <w:rPr>
                      <w:szCs w:val="21"/>
                    </w:rPr>
                  </w:pPr>
                  <w:r>
                    <w:rPr>
                      <w:rFonts w:hint="eastAsia"/>
                      <w:szCs w:val="21"/>
                    </w:rPr>
                    <w:t>少儿图书馆龙岗分馆及其他采购人指定地点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tcPr>
                <w:p>
                  <w:pPr>
                    <w:widowControl w:val="0"/>
                    <w:shd w:val="clear" w:color="auto" w:fill="auto"/>
                    <w:spacing w:line="240" w:lineRule="auto"/>
                    <w:jc w:val="center"/>
                    <w:rPr>
                      <w:szCs w:val="21"/>
                    </w:rPr>
                  </w:pPr>
                  <w:r>
                    <w:rPr>
                      <w:rFonts w:hint="eastAsia"/>
                      <w:szCs w:val="21"/>
                    </w:rPr>
                    <w:t>56</w:t>
                  </w:r>
                </w:p>
              </w:tc>
              <w:tc>
                <w:tcPr>
                  <w:tcW w:w="1500" w:type="dxa"/>
                </w:tcPr>
                <w:p>
                  <w:pPr>
                    <w:widowControl w:val="0"/>
                    <w:shd w:val="clear" w:color="auto" w:fill="auto"/>
                    <w:spacing w:line="240" w:lineRule="auto"/>
                    <w:jc w:val="center"/>
                    <w:rPr>
                      <w:szCs w:val="21"/>
                    </w:rPr>
                  </w:pPr>
                  <w:r>
                    <w:rPr>
                      <w:rFonts w:hint="eastAsia"/>
                      <w:szCs w:val="21"/>
                    </w:rPr>
                    <w:t>家庭教育区书桌</w:t>
                  </w:r>
                </w:p>
              </w:tc>
              <w:tc>
                <w:tcPr>
                  <w:tcW w:w="816" w:type="dxa"/>
                </w:tcPr>
                <w:p>
                  <w:pPr>
                    <w:widowControl w:val="0"/>
                    <w:shd w:val="clear" w:color="auto" w:fill="auto"/>
                    <w:spacing w:line="240" w:lineRule="auto"/>
                    <w:jc w:val="center"/>
                    <w:rPr>
                      <w:szCs w:val="21"/>
                    </w:rPr>
                  </w:pPr>
                  <w:r>
                    <w:rPr>
                      <w:rFonts w:hint="eastAsia"/>
                      <w:szCs w:val="21"/>
                    </w:rPr>
                    <w:t>张</w:t>
                  </w:r>
                </w:p>
              </w:tc>
              <w:tc>
                <w:tcPr>
                  <w:tcW w:w="864" w:type="dxa"/>
                </w:tcPr>
                <w:p>
                  <w:pPr>
                    <w:widowControl w:val="0"/>
                    <w:shd w:val="clear" w:color="auto" w:fill="auto"/>
                    <w:spacing w:line="240" w:lineRule="auto"/>
                    <w:jc w:val="center"/>
                    <w:rPr>
                      <w:szCs w:val="21"/>
                    </w:rPr>
                  </w:pPr>
                  <w:r>
                    <w:rPr>
                      <w:rFonts w:hint="eastAsia"/>
                      <w:szCs w:val="21"/>
                    </w:rPr>
                    <w:t>1</w:t>
                  </w:r>
                </w:p>
              </w:tc>
              <w:tc>
                <w:tcPr>
                  <w:tcW w:w="2832" w:type="dxa"/>
                </w:tcPr>
                <w:p>
                  <w:pPr>
                    <w:widowControl w:val="0"/>
                    <w:shd w:val="clear" w:color="auto" w:fill="auto"/>
                    <w:spacing w:line="240" w:lineRule="auto"/>
                    <w:jc w:val="center"/>
                    <w:rPr>
                      <w:szCs w:val="21"/>
                    </w:rPr>
                  </w:pPr>
                  <w:r>
                    <w:rPr>
                      <w:rFonts w:hint="eastAsia"/>
                      <w:szCs w:val="21"/>
                    </w:rPr>
                    <w:t>拆装、打包、搬运、安放</w:t>
                  </w:r>
                </w:p>
              </w:tc>
              <w:tc>
                <w:tcPr>
                  <w:tcW w:w="1715" w:type="dxa"/>
                </w:tcPr>
                <w:p>
                  <w:pPr>
                    <w:widowControl w:val="0"/>
                    <w:shd w:val="clear" w:color="auto" w:fill="auto"/>
                    <w:spacing w:line="240" w:lineRule="auto"/>
                    <w:jc w:val="center"/>
                    <w:rPr>
                      <w:szCs w:val="21"/>
                    </w:rPr>
                  </w:pPr>
                  <w:r>
                    <w:rPr>
                      <w:rFonts w:hint="eastAsia"/>
                      <w:szCs w:val="21"/>
                    </w:rPr>
                    <w:t>少儿图书馆龙岗分馆及其他采购人指定地点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tcPr>
                <w:p>
                  <w:pPr>
                    <w:widowControl w:val="0"/>
                    <w:shd w:val="clear" w:color="auto" w:fill="auto"/>
                    <w:spacing w:line="240" w:lineRule="auto"/>
                    <w:jc w:val="center"/>
                    <w:rPr>
                      <w:szCs w:val="21"/>
                    </w:rPr>
                  </w:pPr>
                  <w:r>
                    <w:rPr>
                      <w:rFonts w:hint="eastAsia"/>
                      <w:szCs w:val="21"/>
                    </w:rPr>
                    <w:t>57</w:t>
                  </w:r>
                </w:p>
              </w:tc>
              <w:tc>
                <w:tcPr>
                  <w:tcW w:w="1500" w:type="dxa"/>
                </w:tcPr>
                <w:p>
                  <w:pPr>
                    <w:widowControl w:val="0"/>
                    <w:shd w:val="clear" w:color="auto" w:fill="auto"/>
                    <w:spacing w:line="240" w:lineRule="auto"/>
                    <w:jc w:val="center"/>
                    <w:rPr>
                      <w:szCs w:val="21"/>
                    </w:rPr>
                  </w:pPr>
                  <w:r>
                    <w:rPr>
                      <w:rFonts w:hint="eastAsia"/>
                      <w:szCs w:val="21"/>
                    </w:rPr>
                    <w:t>家庭教育区阅览桌</w:t>
                  </w:r>
                </w:p>
              </w:tc>
              <w:tc>
                <w:tcPr>
                  <w:tcW w:w="816" w:type="dxa"/>
                </w:tcPr>
                <w:p>
                  <w:pPr>
                    <w:widowControl w:val="0"/>
                    <w:shd w:val="clear" w:color="auto" w:fill="auto"/>
                    <w:spacing w:line="240" w:lineRule="auto"/>
                    <w:jc w:val="center"/>
                    <w:rPr>
                      <w:szCs w:val="21"/>
                    </w:rPr>
                  </w:pPr>
                  <w:r>
                    <w:rPr>
                      <w:rFonts w:hint="eastAsia"/>
                      <w:szCs w:val="21"/>
                    </w:rPr>
                    <w:t>张</w:t>
                  </w:r>
                </w:p>
              </w:tc>
              <w:tc>
                <w:tcPr>
                  <w:tcW w:w="864" w:type="dxa"/>
                </w:tcPr>
                <w:p>
                  <w:pPr>
                    <w:widowControl w:val="0"/>
                    <w:shd w:val="clear" w:color="auto" w:fill="auto"/>
                    <w:spacing w:line="240" w:lineRule="auto"/>
                    <w:jc w:val="center"/>
                    <w:rPr>
                      <w:szCs w:val="21"/>
                    </w:rPr>
                  </w:pPr>
                  <w:r>
                    <w:rPr>
                      <w:rFonts w:hint="eastAsia"/>
                      <w:szCs w:val="21"/>
                    </w:rPr>
                    <w:t>4</w:t>
                  </w:r>
                </w:p>
              </w:tc>
              <w:tc>
                <w:tcPr>
                  <w:tcW w:w="2832" w:type="dxa"/>
                </w:tcPr>
                <w:p>
                  <w:pPr>
                    <w:widowControl w:val="0"/>
                    <w:shd w:val="clear" w:color="auto" w:fill="auto"/>
                    <w:spacing w:line="240" w:lineRule="auto"/>
                    <w:jc w:val="center"/>
                    <w:rPr>
                      <w:szCs w:val="21"/>
                    </w:rPr>
                  </w:pPr>
                  <w:r>
                    <w:rPr>
                      <w:rFonts w:hint="eastAsia"/>
                      <w:szCs w:val="21"/>
                    </w:rPr>
                    <w:t>拆装、打包、搬运、安放</w:t>
                  </w:r>
                </w:p>
              </w:tc>
              <w:tc>
                <w:tcPr>
                  <w:tcW w:w="1715" w:type="dxa"/>
                </w:tcPr>
                <w:p>
                  <w:pPr>
                    <w:widowControl w:val="0"/>
                    <w:shd w:val="clear" w:color="auto" w:fill="auto"/>
                    <w:spacing w:line="240" w:lineRule="auto"/>
                    <w:jc w:val="center"/>
                    <w:rPr>
                      <w:szCs w:val="21"/>
                    </w:rPr>
                  </w:pPr>
                  <w:r>
                    <w:rPr>
                      <w:rFonts w:hint="eastAsia"/>
                      <w:szCs w:val="21"/>
                    </w:rPr>
                    <w:t>少儿图书馆龙岗分馆及其他采购人指定地点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tcPr>
                <w:p>
                  <w:pPr>
                    <w:widowControl w:val="0"/>
                    <w:shd w:val="clear" w:color="auto" w:fill="auto"/>
                    <w:spacing w:line="240" w:lineRule="auto"/>
                    <w:jc w:val="center"/>
                    <w:rPr>
                      <w:szCs w:val="21"/>
                    </w:rPr>
                  </w:pPr>
                  <w:r>
                    <w:rPr>
                      <w:rFonts w:hint="eastAsia"/>
                      <w:szCs w:val="21"/>
                    </w:rPr>
                    <w:t>58</w:t>
                  </w:r>
                </w:p>
              </w:tc>
              <w:tc>
                <w:tcPr>
                  <w:tcW w:w="1500" w:type="dxa"/>
                </w:tcPr>
                <w:p>
                  <w:pPr>
                    <w:widowControl w:val="0"/>
                    <w:shd w:val="clear" w:color="auto" w:fill="auto"/>
                    <w:spacing w:line="240" w:lineRule="auto"/>
                    <w:jc w:val="center"/>
                    <w:rPr>
                      <w:szCs w:val="21"/>
                    </w:rPr>
                  </w:pPr>
                  <w:r>
                    <w:rPr>
                      <w:rFonts w:hint="eastAsia"/>
                      <w:szCs w:val="21"/>
                    </w:rPr>
                    <w:t>利萨伯桌子</w:t>
                  </w:r>
                </w:p>
              </w:tc>
              <w:tc>
                <w:tcPr>
                  <w:tcW w:w="816" w:type="dxa"/>
                </w:tcPr>
                <w:p>
                  <w:pPr>
                    <w:widowControl w:val="0"/>
                    <w:shd w:val="clear" w:color="auto" w:fill="auto"/>
                    <w:spacing w:line="240" w:lineRule="auto"/>
                    <w:jc w:val="center"/>
                    <w:rPr>
                      <w:szCs w:val="21"/>
                    </w:rPr>
                  </w:pPr>
                  <w:r>
                    <w:rPr>
                      <w:rFonts w:hint="eastAsia"/>
                      <w:szCs w:val="21"/>
                    </w:rPr>
                    <w:t>张</w:t>
                  </w:r>
                </w:p>
              </w:tc>
              <w:tc>
                <w:tcPr>
                  <w:tcW w:w="864" w:type="dxa"/>
                </w:tcPr>
                <w:p>
                  <w:pPr>
                    <w:widowControl w:val="0"/>
                    <w:shd w:val="clear" w:color="auto" w:fill="auto"/>
                    <w:spacing w:line="240" w:lineRule="auto"/>
                    <w:jc w:val="center"/>
                    <w:rPr>
                      <w:szCs w:val="21"/>
                    </w:rPr>
                  </w:pPr>
                  <w:r>
                    <w:rPr>
                      <w:rFonts w:hint="eastAsia"/>
                      <w:szCs w:val="21"/>
                    </w:rPr>
                    <w:t>6</w:t>
                  </w:r>
                </w:p>
              </w:tc>
              <w:tc>
                <w:tcPr>
                  <w:tcW w:w="2832" w:type="dxa"/>
                </w:tcPr>
                <w:p>
                  <w:pPr>
                    <w:widowControl w:val="0"/>
                    <w:shd w:val="clear" w:color="auto" w:fill="auto"/>
                    <w:spacing w:line="240" w:lineRule="auto"/>
                    <w:jc w:val="center"/>
                    <w:rPr>
                      <w:szCs w:val="21"/>
                    </w:rPr>
                  </w:pPr>
                  <w:r>
                    <w:rPr>
                      <w:rFonts w:hint="eastAsia"/>
                      <w:szCs w:val="21"/>
                    </w:rPr>
                    <w:t>拆装、打包、搬运、安放</w:t>
                  </w:r>
                </w:p>
              </w:tc>
              <w:tc>
                <w:tcPr>
                  <w:tcW w:w="1715" w:type="dxa"/>
                </w:tcPr>
                <w:p>
                  <w:pPr>
                    <w:widowControl w:val="0"/>
                    <w:shd w:val="clear" w:color="auto" w:fill="auto"/>
                    <w:spacing w:line="240" w:lineRule="auto"/>
                    <w:jc w:val="center"/>
                    <w:rPr>
                      <w:szCs w:val="21"/>
                    </w:rPr>
                  </w:pPr>
                  <w:r>
                    <w:rPr>
                      <w:rFonts w:hint="eastAsia"/>
                      <w:szCs w:val="21"/>
                    </w:rPr>
                    <w:t>少儿图书馆龙岗分馆及其他采购人指定地点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tcPr>
                <w:p>
                  <w:pPr>
                    <w:widowControl w:val="0"/>
                    <w:shd w:val="clear" w:color="auto" w:fill="auto"/>
                    <w:spacing w:line="240" w:lineRule="auto"/>
                    <w:jc w:val="center"/>
                    <w:rPr>
                      <w:szCs w:val="21"/>
                    </w:rPr>
                  </w:pPr>
                  <w:r>
                    <w:rPr>
                      <w:rFonts w:hint="eastAsia"/>
                      <w:szCs w:val="21"/>
                    </w:rPr>
                    <w:t>59</w:t>
                  </w:r>
                </w:p>
              </w:tc>
              <w:tc>
                <w:tcPr>
                  <w:tcW w:w="1500" w:type="dxa"/>
                </w:tcPr>
                <w:p>
                  <w:pPr>
                    <w:widowControl w:val="0"/>
                    <w:shd w:val="clear" w:color="auto" w:fill="auto"/>
                    <w:spacing w:line="240" w:lineRule="auto"/>
                    <w:jc w:val="center"/>
                    <w:rPr>
                      <w:szCs w:val="21"/>
                    </w:rPr>
                  </w:pPr>
                  <w:r>
                    <w:rPr>
                      <w:rFonts w:hint="eastAsia"/>
                      <w:szCs w:val="21"/>
                    </w:rPr>
                    <w:t>六人组合电脑台</w:t>
                  </w:r>
                </w:p>
              </w:tc>
              <w:tc>
                <w:tcPr>
                  <w:tcW w:w="816" w:type="dxa"/>
                </w:tcPr>
                <w:p>
                  <w:pPr>
                    <w:widowControl w:val="0"/>
                    <w:shd w:val="clear" w:color="auto" w:fill="auto"/>
                    <w:spacing w:line="240" w:lineRule="auto"/>
                    <w:jc w:val="center"/>
                    <w:rPr>
                      <w:szCs w:val="21"/>
                    </w:rPr>
                  </w:pPr>
                  <w:r>
                    <w:rPr>
                      <w:rFonts w:hint="eastAsia"/>
                      <w:szCs w:val="21"/>
                    </w:rPr>
                    <w:t>张</w:t>
                  </w:r>
                </w:p>
              </w:tc>
              <w:tc>
                <w:tcPr>
                  <w:tcW w:w="864" w:type="dxa"/>
                </w:tcPr>
                <w:p>
                  <w:pPr>
                    <w:widowControl w:val="0"/>
                    <w:shd w:val="clear" w:color="auto" w:fill="auto"/>
                    <w:spacing w:line="240" w:lineRule="auto"/>
                    <w:jc w:val="center"/>
                    <w:rPr>
                      <w:szCs w:val="21"/>
                    </w:rPr>
                  </w:pPr>
                  <w:r>
                    <w:rPr>
                      <w:rFonts w:hint="eastAsia"/>
                      <w:szCs w:val="21"/>
                    </w:rPr>
                    <w:t>6</w:t>
                  </w:r>
                </w:p>
              </w:tc>
              <w:tc>
                <w:tcPr>
                  <w:tcW w:w="2832" w:type="dxa"/>
                </w:tcPr>
                <w:p>
                  <w:pPr>
                    <w:widowControl w:val="0"/>
                    <w:shd w:val="clear" w:color="auto" w:fill="auto"/>
                    <w:spacing w:line="240" w:lineRule="auto"/>
                    <w:jc w:val="center"/>
                    <w:rPr>
                      <w:szCs w:val="21"/>
                    </w:rPr>
                  </w:pPr>
                  <w:r>
                    <w:rPr>
                      <w:rFonts w:hint="eastAsia"/>
                      <w:szCs w:val="21"/>
                    </w:rPr>
                    <w:t>拆装、打包、搬运、安放</w:t>
                  </w:r>
                </w:p>
              </w:tc>
              <w:tc>
                <w:tcPr>
                  <w:tcW w:w="1715" w:type="dxa"/>
                </w:tcPr>
                <w:p>
                  <w:pPr>
                    <w:widowControl w:val="0"/>
                    <w:shd w:val="clear" w:color="auto" w:fill="auto"/>
                    <w:spacing w:line="240" w:lineRule="auto"/>
                    <w:jc w:val="center"/>
                    <w:rPr>
                      <w:szCs w:val="21"/>
                    </w:rPr>
                  </w:pPr>
                  <w:r>
                    <w:rPr>
                      <w:rFonts w:hint="eastAsia"/>
                      <w:szCs w:val="21"/>
                    </w:rPr>
                    <w:t>少儿图书馆龙岗分馆及其他采购人指定地点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tcPr>
                <w:p>
                  <w:pPr>
                    <w:widowControl w:val="0"/>
                    <w:shd w:val="clear" w:color="auto" w:fill="auto"/>
                    <w:spacing w:line="240" w:lineRule="auto"/>
                    <w:jc w:val="center"/>
                    <w:rPr>
                      <w:szCs w:val="21"/>
                    </w:rPr>
                  </w:pPr>
                  <w:r>
                    <w:rPr>
                      <w:rFonts w:hint="eastAsia"/>
                      <w:szCs w:val="21"/>
                    </w:rPr>
                    <w:t>60</w:t>
                  </w:r>
                </w:p>
              </w:tc>
              <w:tc>
                <w:tcPr>
                  <w:tcW w:w="1500" w:type="dxa"/>
                </w:tcPr>
                <w:p>
                  <w:pPr>
                    <w:widowControl w:val="0"/>
                    <w:shd w:val="clear" w:color="auto" w:fill="auto"/>
                    <w:spacing w:line="240" w:lineRule="auto"/>
                    <w:jc w:val="center"/>
                    <w:rPr>
                      <w:szCs w:val="21"/>
                    </w:rPr>
                  </w:pPr>
                  <w:r>
                    <w:rPr>
                      <w:rFonts w:hint="eastAsia"/>
                      <w:szCs w:val="21"/>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24765</wp:posOffset>
                            </wp:positionV>
                            <wp:extent cx="1994535" cy="6985"/>
                            <wp:effectExtent l="0" t="0" r="0" b="0"/>
                            <wp:wrapNone/>
                            <wp:docPr id="13" name="矩形 13"/>
                            <wp:cNvGraphicFramePr/>
                            <a:graphic xmlns:a="http://schemas.openxmlformats.org/drawingml/2006/main">
                              <a:graphicData uri="http://schemas.microsoft.com/office/word/2010/wordprocessingShape">
                                <wps:wsp>
                                  <wps:cNvSpPr/>
                                  <wps:spPr>
                                    <a:xfrm>
                                      <a:off x="0" y="0"/>
                                      <a:ext cx="1994535" cy="6985"/>
                                    </a:xfrm>
                                    <a:prstGeom prst="rect">
                                      <a:avLst/>
                                    </a:prstGeom>
                                    <a:solidFill>
                                      <a:srgbClr val="FAFAFA"/>
                                    </a:solidFill>
                                    <a:ln>
                                      <a:noFill/>
                                    </a:ln>
                                  </wps:spPr>
                                  <wps:bodyPr upright="1"/>
                                </wps:wsp>
                              </a:graphicData>
                            </a:graphic>
                          </wp:anchor>
                        </w:drawing>
                      </mc:Choice>
                      <mc:Fallback>
                        <w:pict>
                          <v:rect id="_x0000_s1026" o:spid="_x0000_s1026" o:spt="1" style="position:absolute;left:0pt;margin-left:1.2pt;margin-top:1.95pt;height:0.55pt;width:157.05pt;z-index:251659264;mso-width-relative:page;mso-height-relative:page;" fillcolor="#FAFAFA" filled="t" stroked="f" coordsize="21600,21600" o:gfxdata="UEsDBAoAAAAAAIdO4kAAAAAAAAAAAAAAAAAEAAAAZHJzL1BLAwQUAAAACACHTuJAvgE1GtcAAAAF&#10;AQAADwAAAGRycy9kb3ducmV2LnhtbE2OzU7DMBCE70i8g7VIXBC109LShGwqxM+hSBxI+wBuvCQR&#10;8TrEbhN4eswJjqMZffPlm8l24kSDbx0jJDMFgrhypuUaYb97vl6D8EGz0Z1jQvgiD5vi/CzXmXEj&#10;v9GpDLWIEPaZRmhC6DMpfdWQ1X7meuLYvbvB6hDjUEsz6DHCbSfnSq2k1S3Hh0b39NBQ9VEeLcJn&#10;+bR//L66ncaXNu1D+rrdre97xMuLRN2BCDSFvzH86kd1KKLTwR3ZeNEhzG/iEGGRgojtIlktQRwQ&#10;lgpkkcv/9sUPUEsDBBQAAAAIAIdO4kAr/nZisgEAAF8DAAAOAAAAZHJzL2Uyb0RvYy54bWytU0uO&#10;EzEQ3SNxB8t70skMGU1a6YwQUdggGGngAI7b7rbkn6qcdHIaJHYcguMgrkHZ3WRg2MwCteSun5/r&#10;vbLXdydn2VEBmuAbvpjNOVNehtb4ruGfP+1e3XKGSfhW2OBVw88K+d3m5Yv1EGt1FfpgWwWMQDzW&#10;Q2x4n1Ksqwplr5zAWYjKU1IHcCKRC13VghgI3dnqaj6/qYYAbYQgFSJFt2OST4jwHMCgtZFqG+TB&#10;KZ9GVFBWJKKEvYnIN6VbrZVMH7VGlZhtODFNZaVDyN7ntdqsRd2BiL2RUwviOS084eSE8XToBWor&#10;kmAHMP9AOSMhYNBpJoOrRiJFEWKxmD/R5qEXURUuJDXGi+j4/2Dlh+M9MNPSTbjmzAtHE//55duP&#10;718ZBUidIWJNRQ/xHiYPycxUTxpc/hMJdiqKni+KqlNikoKL1er18nrJmaTczep2mSGrx70RML1T&#10;wbFsNBxoXkVGcXyPaSz9XZKPwmBNuzPWFge6/VsL7Chotrs3+ZvQ/yqzPhf7kLeNiDlSZV4jk2zt&#10;Q3smHQ4RTNdTI4uClDOke+l4uiN5sH/6BenxXWx+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4B&#10;NRrXAAAABQEAAA8AAAAAAAAAAQAgAAAAIgAAAGRycy9kb3ducmV2LnhtbFBLAQIUABQAAAAIAIdO&#10;4kAr/nZisgEAAF8DAAAOAAAAAAAAAAEAIAAAACYBAABkcnMvZTJvRG9jLnhtbFBLBQYAAAAABgAG&#10;AFkBAABKBQAAAAA=&#10;">
                            <v:fill on="t" focussize="0,0"/>
                            <v:stroke on="f"/>
                            <v:imagedata o:title=""/>
                            <o:lock v:ext="edit" aspectratio="f"/>
                          </v:rect>
                        </w:pict>
                      </mc:Fallback>
                    </mc:AlternateContent>
                  </w:r>
                  <w:r>
                    <w:rPr>
                      <w:rFonts w:hint="eastAsia"/>
                      <w:szCs w:val="21"/>
                    </w:rPr>
                    <w:t>模拟台</w:t>
                  </w:r>
                </w:p>
              </w:tc>
              <w:tc>
                <w:tcPr>
                  <w:tcW w:w="816" w:type="dxa"/>
                </w:tcPr>
                <w:p>
                  <w:pPr>
                    <w:widowControl w:val="0"/>
                    <w:shd w:val="clear" w:color="auto" w:fill="auto"/>
                    <w:spacing w:line="240" w:lineRule="auto"/>
                    <w:jc w:val="center"/>
                    <w:rPr>
                      <w:szCs w:val="21"/>
                    </w:rPr>
                  </w:pPr>
                  <w:r>
                    <w:rPr>
                      <w:rFonts w:hint="eastAsia"/>
                      <w:szCs w:val="21"/>
                    </w:rPr>
                    <w:t>张</w:t>
                  </w:r>
                </w:p>
              </w:tc>
              <w:tc>
                <w:tcPr>
                  <w:tcW w:w="864" w:type="dxa"/>
                </w:tcPr>
                <w:p>
                  <w:pPr>
                    <w:widowControl w:val="0"/>
                    <w:shd w:val="clear" w:color="auto" w:fill="auto"/>
                    <w:spacing w:line="240" w:lineRule="auto"/>
                    <w:jc w:val="center"/>
                    <w:rPr>
                      <w:szCs w:val="21"/>
                    </w:rPr>
                  </w:pPr>
                  <w:r>
                    <w:rPr>
                      <w:rFonts w:hint="eastAsia"/>
                      <w:szCs w:val="21"/>
                    </w:rPr>
                    <w:t>1</w:t>
                  </w:r>
                </w:p>
              </w:tc>
              <w:tc>
                <w:tcPr>
                  <w:tcW w:w="2832" w:type="dxa"/>
                </w:tcPr>
                <w:p>
                  <w:pPr>
                    <w:widowControl w:val="0"/>
                    <w:shd w:val="clear" w:color="auto" w:fill="auto"/>
                    <w:spacing w:line="240" w:lineRule="auto"/>
                    <w:jc w:val="center"/>
                    <w:rPr>
                      <w:szCs w:val="21"/>
                    </w:rPr>
                  </w:pPr>
                  <w:r>
                    <w:rPr>
                      <w:rFonts w:hint="eastAsia"/>
                      <w:szCs w:val="21"/>
                    </w:rPr>
                    <w:t>拆装、打包、搬运、安放</w:t>
                  </w:r>
                </w:p>
              </w:tc>
              <w:tc>
                <w:tcPr>
                  <w:tcW w:w="1715" w:type="dxa"/>
                </w:tcPr>
                <w:p>
                  <w:pPr>
                    <w:widowControl w:val="0"/>
                    <w:shd w:val="clear" w:color="auto" w:fill="auto"/>
                    <w:spacing w:line="240" w:lineRule="auto"/>
                    <w:jc w:val="center"/>
                    <w:rPr>
                      <w:szCs w:val="21"/>
                    </w:rPr>
                  </w:pPr>
                  <w:r>
                    <w:rPr>
                      <w:rFonts w:hint="eastAsia"/>
                      <w:szCs w:val="21"/>
                    </w:rPr>
                    <w:t>少儿图书馆龙岗分馆及其他采购人指定地点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tcPr>
                <w:p>
                  <w:pPr>
                    <w:widowControl w:val="0"/>
                    <w:shd w:val="clear" w:color="auto" w:fill="auto"/>
                    <w:spacing w:line="240" w:lineRule="auto"/>
                    <w:jc w:val="center"/>
                    <w:rPr>
                      <w:szCs w:val="21"/>
                    </w:rPr>
                  </w:pPr>
                  <w:r>
                    <w:rPr>
                      <w:rFonts w:hint="eastAsia"/>
                      <w:szCs w:val="21"/>
                    </w:rPr>
                    <w:t>61</w:t>
                  </w:r>
                </w:p>
              </w:tc>
              <w:tc>
                <w:tcPr>
                  <w:tcW w:w="1500" w:type="dxa"/>
                </w:tcPr>
                <w:p>
                  <w:pPr>
                    <w:widowControl w:val="0"/>
                    <w:shd w:val="clear" w:color="auto" w:fill="auto"/>
                    <w:spacing w:line="240" w:lineRule="auto"/>
                    <w:jc w:val="center"/>
                    <w:rPr>
                      <w:szCs w:val="21"/>
                    </w:rPr>
                  </w:pPr>
                  <w:r>
                    <w:rPr>
                      <w:rFonts w:hint="eastAsia"/>
                      <w:szCs w:val="21"/>
                    </w:rPr>
                    <w:t>十二人组合电脑台</w:t>
                  </w:r>
                </w:p>
              </w:tc>
              <w:tc>
                <w:tcPr>
                  <w:tcW w:w="816" w:type="dxa"/>
                </w:tcPr>
                <w:p>
                  <w:pPr>
                    <w:widowControl w:val="0"/>
                    <w:shd w:val="clear" w:color="auto" w:fill="auto"/>
                    <w:spacing w:line="240" w:lineRule="auto"/>
                    <w:jc w:val="center"/>
                    <w:rPr>
                      <w:szCs w:val="21"/>
                    </w:rPr>
                  </w:pPr>
                  <w:r>
                    <w:rPr>
                      <w:rFonts w:hint="eastAsia"/>
                      <w:szCs w:val="21"/>
                    </w:rPr>
                    <w:t>张</w:t>
                  </w:r>
                </w:p>
              </w:tc>
              <w:tc>
                <w:tcPr>
                  <w:tcW w:w="864" w:type="dxa"/>
                </w:tcPr>
                <w:p>
                  <w:pPr>
                    <w:widowControl w:val="0"/>
                    <w:shd w:val="clear" w:color="auto" w:fill="auto"/>
                    <w:spacing w:line="240" w:lineRule="auto"/>
                    <w:jc w:val="center"/>
                    <w:rPr>
                      <w:szCs w:val="21"/>
                    </w:rPr>
                  </w:pPr>
                  <w:r>
                    <w:rPr>
                      <w:rFonts w:hint="eastAsia"/>
                      <w:szCs w:val="21"/>
                    </w:rPr>
                    <w:t>1</w:t>
                  </w:r>
                </w:p>
              </w:tc>
              <w:tc>
                <w:tcPr>
                  <w:tcW w:w="2832" w:type="dxa"/>
                </w:tcPr>
                <w:p>
                  <w:pPr>
                    <w:widowControl w:val="0"/>
                    <w:shd w:val="clear" w:color="auto" w:fill="auto"/>
                    <w:spacing w:line="240" w:lineRule="auto"/>
                    <w:jc w:val="center"/>
                    <w:rPr>
                      <w:szCs w:val="21"/>
                    </w:rPr>
                  </w:pPr>
                  <w:r>
                    <w:rPr>
                      <w:rFonts w:hint="eastAsia"/>
                      <w:szCs w:val="21"/>
                    </w:rPr>
                    <w:t>拆装、打包、搬运、安放</w:t>
                  </w:r>
                </w:p>
              </w:tc>
              <w:tc>
                <w:tcPr>
                  <w:tcW w:w="1715" w:type="dxa"/>
                </w:tcPr>
                <w:p>
                  <w:pPr>
                    <w:widowControl w:val="0"/>
                    <w:shd w:val="clear" w:color="auto" w:fill="auto"/>
                    <w:spacing w:line="240" w:lineRule="auto"/>
                    <w:jc w:val="center"/>
                    <w:rPr>
                      <w:szCs w:val="21"/>
                    </w:rPr>
                  </w:pPr>
                  <w:r>
                    <w:rPr>
                      <w:rFonts w:hint="eastAsia"/>
                      <w:szCs w:val="21"/>
                    </w:rPr>
                    <w:t>少儿图书馆龙岗分馆及其他采购人指定地点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tcPr>
                <w:p>
                  <w:pPr>
                    <w:widowControl w:val="0"/>
                    <w:shd w:val="clear" w:color="auto" w:fill="auto"/>
                    <w:spacing w:line="240" w:lineRule="auto"/>
                    <w:jc w:val="center"/>
                    <w:rPr>
                      <w:szCs w:val="21"/>
                    </w:rPr>
                  </w:pPr>
                  <w:r>
                    <w:rPr>
                      <w:rFonts w:hint="eastAsia"/>
                      <w:szCs w:val="21"/>
                    </w:rPr>
                    <w:t>62</w:t>
                  </w:r>
                </w:p>
              </w:tc>
              <w:tc>
                <w:tcPr>
                  <w:tcW w:w="1500" w:type="dxa"/>
                </w:tcPr>
                <w:p>
                  <w:pPr>
                    <w:widowControl w:val="0"/>
                    <w:shd w:val="clear" w:color="auto" w:fill="auto"/>
                    <w:spacing w:line="240" w:lineRule="auto"/>
                    <w:jc w:val="center"/>
                    <w:rPr>
                      <w:szCs w:val="21"/>
                    </w:rPr>
                  </w:pPr>
                  <w:r>
                    <w:rPr>
                      <w:rFonts w:hint="eastAsia"/>
                      <w:szCs w:val="21"/>
                    </w:rPr>
                    <w:t>树脂桌</w:t>
                  </w:r>
                </w:p>
              </w:tc>
              <w:tc>
                <w:tcPr>
                  <w:tcW w:w="816" w:type="dxa"/>
                </w:tcPr>
                <w:p>
                  <w:pPr>
                    <w:widowControl w:val="0"/>
                    <w:shd w:val="clear" w:color="auto" w:fill="auto"/>
                    <w:spacing w:line="240" w:lineRule="auto"/>
                    <w:jc w:val="center"/>
                    <w:rPr>
                      <w:szCs w:val="21"/>
                    </w:rPr>
                  </w:pPr>
                  <w:r>
                    <w:rPr>
                      <w:rFonts w:hint="eastAsia"/>
                      <w:szCs w:val="21"/>
                    </w:rPr>
                    <w:t>张</w:t>
                  </w:r>
                </w:p>
              </w:tc>
              <w:tc>
                <w:tcPr>
                  <w:tcW w:w="864" w:type="dxa"/>
                </w:tcPr>
                <w:p>
                  <w:pPr>
                    <w:widowControl w:val="0"/>
                    <w:shd w:val="clear" w:color="auto" w:fill="auto"/>
                    <w:spacing w:line="240" w:lineRule="auto"/>
                    <w:jc w:val="center"/>
                    <w:rPr>
                      <w:szCs w:val="21"/>
                    </w:rPr>
                  </w:pPr>
                  <w:r>
                    <w:rPr>
                      <w:rFonts w:hint="eastAsia"/>
                      <w:szCs w:val="21"/>
                    </w:rPr>
                    <w:t>9</w:t>
                  </w:r>
                </w:p>
              </w:tc>
              <w:tc>
                <w:tcPr>
                  <w:tcW w:w="2832" w:type="dxa"/>
                </w:tcPr>
                <w:p>
                  <w:pPr>
                    <w:widowControl w:val="0"/>
                    <w:shd w:val="clear" w:color="auto" w:fill="auto"/>
                    <w:spacing w:line="240" w:lineRule="auto"/>
                    <w:jc w:val="center"/>
                    <w:rPr>
                      <w:szCs w:val="21"/>
                    </w:rPr>
                  </w:pPr>
                  <w:r>
                    <w:rPr>
                      <w:rFonts w:hint="eastAsia"/>
                      <w:szCs w:val="21"/>
                    </w:rPr>
                    <w:t>拆装、打包、搬运、安放</w:t>
                  </w:r>
                </w:p>
              </w:tc>
              <w:tc>
                <w:tcPr>
                  <w:tcW w:w="1715" w:type="dxa"/>
                </w:tcPr>
                <w:p>
                  <w:pPr>
                    <w:widowControl w:val="0"/>
                    <w:shd w:val="clear" w:color="auto" w:fill="auto"/>
                    <w:spacing w:line="240" w:lineRule="auto"/>
                    <w:jc w:val="center"/>
                    <w:rPr>
                      <w:szCs w:val="21"/>
                    </w:rPr>
                  </w:pPr>
                  <w:r>
                    <w:rPr>
                      <w:rFonts w:hint="eastAsia"/>
                      <w:szCs w:val="21"/>
                    </w:rPr>
                    <w:t>少儿图书馆龙岗分馆及其他采购人指定地点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tcPr>
                <w:p>
                  <w:pPr>
                    <w:widowControl w:val="0"/>
                    <w:shd w:val="clear" w:color="auto" w:fill="auto"/>
                    <w:spacing w:line="240" w:lineRule="auto"/>
                    <w:jc w:val="center"/>
                    <w:rPr>
                      <w:szCs w:val="21"/>
                    </w:rPr>
                  </w:pPr>
                  <w:r>
                    <w:rPr>
                      <w:rFonts w:hint="eastAsia"/>
                      <w:szCs w:val="21"/>
                    </w:rPr>
                    <w:t>63</w:t>
                  </w:r>
                </w:p>
              </w:tc>
              <w:tc>
                <w:tcPr>
                  <w:tcW w:w="1500" w:type="dxa"/>
                </w:tcPr>
                <w:p>
                  <w:pPr>
                    <w:widowControl w:val="0"/>
                    <w:shd w:val="clear" w:color="auto" w:fill="auto"/>
                    <w:spacing w:line="240" w:lineRule="auto"/>
                    <w:jc w:val="center"/>
                    <w:rPr>
                      <w:szCs w:val="21"/>
                    </w:rPr>
                  </w:pPr>
                  <w:r>
                    <w:rPr>
                      <w:rFonts w:hint="eastAsia"/>
                      <w:szCs w:val="21"/>
                    </w:rPr>
                    <w:t>双人组合电脑台</w:t>
                  </w:r>
                </w:p>
              </w:tc>
              <w:tc>
                <w:tcPr>
                  <w:tcW w:w="816" w:type="dxa"/>
                </w:tcPr>
                <w:p>
                  <w:pPr>
                    <w:widowControl w:val="0"/>
                    <w:shd w:val="clear" w:color="auto" w:fill="auto"/>
                    <w:spacing w:line="240" w:lineRule="auto"/>
                    <w:jc w:val="center"/>
                    <w:rPr>
                      <w:szCs w:val="21"/>
                    </w:rPr>
                  </w:pPr>
                  <w:r>
                    <w:rPr>
                      <w:rFonts w:hint="eastAsia"/>
                      <w:szCs w:val="21"/>
                    </w:rPr>
                    <w:t>张</w:t>
                  </w:r>
                </w:p>
              </w:tc>
              <w:tc>
                <w:tcPr>
                  <w:tcW w:w="864" w:type="dxa"/>
                </w:tcPr>
                <w:p>
                  <w:pPr>
                    <w:widowControl w:val="0"/>
                    <w:shd w:val="clear" w:color="auto" w:fill="auto"/>
                    <w:spacing w:line="240" w:lineRule="auto"/>
                    <w:jc w:val="center"/>
                    <w:rPr>
                      <w:szCs w:val="21"/>
                    </w:rPr>
                  </w:pPr>
                  <w:r>
                    <w:rPr>
                      <w:rFonts w:hint="eastAsia"/>
                      <w:szCs w:val="21"/>
                    </w:rPr>
                    <w:t>1</w:t>
                  </w:r>
                </w:p>
              </w:tc>
              <w:tc>
                <w:tcPr>
                  <w:tcW w:w="2832" w:type="dxa"/>
                </w:tcPr>
                <w:p>
                  <w:pPr>
                    <w:widowControl w:val="0"/>
                    <w:shd w:val="clear" w:color="auto" w:fill="auto"/>
                    <w:spacing w:line="240" w:lineRule="auto"/>
                    <w:jc w:val="center"/>
                    <w:rPr>
                      <w:szCs w:val="21"/>
                    </w:rPr>
                  </w:pPr>
                  <w:r>
                    <w:rPr>
                      <w:rFonts w:hint="eastAsia"/>
                      <w:szCs w:val="21"/>
                    </w:rPr>
                    <w:t>拆装、打包、搬运、安放</w:t>
                  </w:r>
                </w:p>
              </w:tc>
              <w:tc>
                <w:tcPr>
                  <w:tcW w:w="1715" w:type="dxa"/>
                </w:tcPr>
                <w:p>
                  <w:pPr>
                    <w:widowControl w:val="0"/>
                    <w:shd w:val="clear" w:color="auto" w:fill="auto"/>
                    <w:spacing w:line="240" w:lineRule="auto"/>
                    <w:jc w:val="center"/>
                    <w:rPr>
                      <w:szCs w:val="21"/>
                    </w:rPr>
                  </w:pPr>
                  <w:r>
                    <w:rPr>
                      <w:rFonts w:hint="eastAsia"/>
                      <w:szCs w:val="21"/>
                    </w:rPr>
                    <w:t>少儿图书馆龙岗分馆及其他采购人指定地点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tcPr>
                <w:p>
                  <w:pPr>
                    <w:widowControl w:val="0"/>
                    <w:shd w:val="clear" w:color="auto" w:fill="auto"/>
                    <w:spacing w:line="240" w:lineRule="auto"/>
                    <w:jc w:val="center"/>
                    <w:rPr>
                      <w:szCs w:val="21"/>
                    </w:rPr>
                  </w:pPr>
                  <w:r>
                    <w:rPr>
                      <w:rFonts w:hint="eastAsia"/>
                      <w:szCs w:val="21"/>
                    </w:rPr>
                    <w:t>64</w:t>
                  </w:r>
                </w:p>
              </w:tc>
              <w:tc>
                <w:tcPr>
                  <w:tcW w:w="1500" w:type="dxa"/>
                </w:tcPr>
                <w:p>
                  <w:pPr>
                    <w:widowControl w:val="0"/>
                    <w:shd w:val="clear" w:color="auto" w:fill="auto"/>
                    <w:spacing w:line="240" w:lineRule="auto"/>
                    <w:jc w:val="center"/>
                    <w:rPr>
                      <w:szCs w:val="21"/>
                    </w:rPr>
                  </w:pPr>
                  <w:r>
                    <w:rPr>
                      <w:rFonts w:hint="eastAsia"/>
                      <w:szCs w:val="21"/>
                    </w:rPr>
                    <w:t>斯瓦斯塔套桌</w:t>
                  </w:r>
                </w:p>
              </w:tc>
              <w:tc>
                <w:tcPr>
                  <w:tcW w:w="816" w:type="dxa"/>
                </w:tcPr>
                <w:p>
                  <w:pPr>
                    <w:widowControl w:val="0"/>
                    <w:shd w:val="clear" w:color="auto" w:fill="auto"/>
                    <w:spacing w:line="240" w:lineRule="auto"/>
                    <w:jc w:val="center"/>
                    <w:rPr>
                      <w:szCs w:val="21"/>
                    </w:rPr>
                  </w:pPr>
                  <w:r>
                    <w:rPr>
                      <w:rFonts w:hint="eastAsia"/>
                      <w:szCs w:val="21"/>
                    </w:rPr>
                    <w:t>张</w:t>
                  </w:r>
                </w:p>
              </w:tc>
              <w:tc>
                <w:tcPr>
                  <w:tcW w:w="864" w:type="dxa"/>
                </w:tcPr>
                <w:p>
                  <w:pPr>
                    <w:widowControl w:val="0"/>
                    <w:shd w:val="clear" w:color="auto" w:fill="auto"/>
                    <w:spacing w:line="240" w:lineRule="auto"/>
                    <w:jc w:val="center"/>
                    <w:rPr>
                      <w:szCs w:val="21"/>
                    </w:rPr>
                  </w:pPr>
                  <w:r>
                    <w:rPr>
                      <w:rFonts w:hint="eastAsia"/>
                      <w:szCs w:val="21"/>
                    </w:rPr>
                    <w:t>1</w:t>
                  </w:r>
                </w:p>
              </w:tc>
              <w:tc>
                <w:tcPr>
                  <w:tcW w:w="2832" w:type="dxa"/>
                </w:tcPr>
                <w:p>
                  <w:pPr>
                    <w:widowControl w:val="0"/>
                    <w:shd w:val="clear" w:color="auto" w:fill="auto"/>
                    <w:spacing w:line="240" w:lineRule="auto"/>
                    <w:jc w:val="center"/>
                    <w:rPr>
                      <w:szCs w:val="21"/>
                    </w:rPr>
                  </w:pPr>
                  <w:r>
                    <w:rPr>
                      <w:rFonts w:hint="eastAsia"/>
                      <w:szCs w:val="21"/>
                    </w:rPr>
                    <w:t>拆装、打包、搬运、安放</w:t>
                  </w:r>
                </w:p>
              </w:tc>
              <w:tc>
                <w:tcPr>
                  <w:tcW w:w="1715" w:type="dxa"/>
                </w:tcPr>
                <w:p>
                  <w:pPr>
                    <w:widowControl w:val="0"/>
                    <w:shd w:val="clear" w:color="auto" w:fill="auto"/>
                    <w:spacing w:line="240" w:lineRule="auto"/>
                    <w:jc w:val="center"/>
                    <w:rPr>
                      <w:szCs w:val="21"/>
                    </w:rPr>
                  </w:pPr>
                  <w:r>
                    <w:rPr>
                      <w:rFonts w:hint="eastAsia"/>
                      <w:szCs w:val="21"/>
                    </w:rPr>
                    <w:t>少儿图书馆龙岗分馆及其他采购人指定地点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tcPr>
                <w:p>
                  <w:pPr>
                    <w:widowControl w:val="0"/>
                    <w:shd w:val="clear" w:color="auto" w:fill="auto"/>
                    <w:spacing w:line="240" w:lineRule="auto"/>
                    <w:jc w:val="center"/>
                    <w:rPr>
                      <w:szCs w:val="21"/>
                    </w:rPr>
                  </w:pPr>
                  <w:r>
                    <w:rPr>
                      <w:rFonts w:hint="eastAsia"/>
                      <w:szCs w:val="21"/>
                    </w:rPr>
                    <w:t>65</w:t>
                  </w:r>
                </w:p>
              </w:tc>
              <w:tc>
                <w:tcPr>
                  <w:tcW w:w="1500" w:type="dxa"/>
                </w:tcPr>
                <w:p>
                  <w:pPr>
                    <w:widowControl w:val="0"/>
                    <w:shd w:val="clear" w:color="auto" w:fill="auto"/>
                    <w:spacing w:line="240" w:lineRule="auto"/>
                    <w:jc w:val="center"/>
                    <w:rPr>
                      <w:szCs w:val="21"/>
                    </w:rPr>
                  </w:pPr>
                  <w:r>
                    <w:rPr>
                      <w:rFonts w:hint="eastAsia"/>
                      <w:szCs w:val="21"/>
                    </w:rPr>
                    <w:t>四人组合电脑台</w:t>
                  </w:r>
                </w:p>
              </w:tc>
              <w:tc>
                <w:tcPr>
                  <w:tcW w:w="816" w:type="dxa"/>
                </w:tcPr>
                <w:p>
                  <w:pPr>
                    <w:widowControl w:val="0"/>
                    <w:shd w:val="clear" w:color="auto" w:fill="auto"/>
                    <w:spacing w:line="240" w:lineRule="auto"/>
                    <w:jc w:val="center"/>
                    <w:rPr>
                      <w:szCs w:val="21"/>
                    </w:rPr>
                  </w:pPr>
                  <w:r>
                    <w:rPr>
                      <w:rFonts w:hint="eastAsia"/>
                      <w:szCs w:val="21"/>
                    </w:rPr>
                    <w:t>张</w:t>
                  </w:r>
                </w:p>
              </w:tc>
              <w:tc>
                <w:tcPr>
                  <w:tcW w:w="864" w:type="dxa"/>
                </w:tcPr>
                <w:p>
                  <w:pPr>
                    <w:widowControl w:val="0"/>
                    <w:shd w:val="clear" w:color="auto" w:fill="auto"/>
                    <w:spacing w:line="240" w:lineRule="auto"/>
                    <w:jc w:val="center"/>
                    <w:rPr>
                      <w:szCs w:val="21"/>
                    </w:rPr>
                  </w:pPr>
                  <w:r>
                    <w:rPr>
                      <w:rFonts w:hint="eastAsia"/>
                      <w:szCs w:val="21"/>
                    </w:rPr>
                    <w:t>2</w:t>
                  </w:r>
                </w:p>
              </w:tc>
              <w:tc>
                <w:tcPr>
                  <w:tcW w:w="2832" w:type="dxa"/>
                </w:tcPr>
                <w:p>
                  <w:pPr>
                    <w:widowControl w:val="0"/>
                    <w:shd w:val="clear" w:color="auto" w:fill="auto"/>
                    <w:spacing w:line="240" w:lineRule="auto"/>
                    <w:jc w:val="center"/>
                    <w:rPr>
                      <w:szCs w:val="21"/>
                    </w:rPr>
                  </w:pPr>
                  <w:r>
                    <w:rPr>
                      <w:rFonts w:hint="eastAsia"/>
                      <w:szCs w:val="21"/>
                    </w:rPr>
                    <w:t>拆装、打包、搬运、安放</w:t>
                  </w:r>
                </w:p>
              </w:tc>
              <w:tc>
                <w:tcPr>
                  <w:tcW w:w="1715" w:type="dxa"/>
                </w:tcPr>
                <w:p>
                  <w:pPr>
                    <w:widowControl w:val="0"/>
                    <w:shd w:val="clear" w:color="auto" w:fill="auto"/>
                    <w:spacing w:line="240" w:lineRule="auto"/>
                    <w:jc w:val="center"/>
                    <w:rPr>
                      <w:szCs w:val="21"/>
                    </w:rPr>
                  </w:pPr>
                  <w:r>
                    <w:rPr>
                      <w:rFonts w:hint="eastAsia"/>
                      <w:szCs w:val="21"/>
                    </w:rPr>
                    <w:t>少儿图书馆龙岗分馆及其他采购人指定地点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tcPr>
                <w:p>
                  <w:pPr>
                    <w:widowControl w:val="0"/>
                    <w:shd w:val="clear" w:color="auto" w:fill="auto"/>
                    <w:spacing w:line="240" w:lineRule="auto"/>
                    <w:jc w:val="center"/>
                    <w:rPr>
                      <w:szCs w:val="21"/>
                    </w:rPr>
                  </w:pPr>
                  <w:r>
                    <w:rPr>
                      <w:rFonts w:hint="eastAsia"/>
                      <w:szCs w:val="21"/>
                    </w:rPr>
                    <w:t>66</w:t>
                  </w:r>
                </w:p>
              </w:tc>
              <w:tc>
                <w:tcPr>
                  <w:tcW w:w="1500" w:type="dxa"/>
                </w:tcPr>
                <w:p>
                  <w:pPr>
                    <w:widowControl w:val="0"/>
                    <w:shd w:val="clear" w:color="auto" w:fill="auto"/>
                    <w:spacing w:line="240" w:lineRule="auto"/>
                    <w:jc w:val="center"/>
                    <w:rPr>
                      <w:szCs w:val="21"/>
                    </w:rPr>
                  </w:pPr>
                  <w:r>
                    <w:rPr>
                      <w:rFonts w:hint="eastAsia"/>
                      <w:szCs w:val="21"/>
                    </w:rPr>
                    <w:t>小会议桌</w:t>
                  </w:r>
                </w:p>
              </w:tc>
              <w:tc>
                <w:tcPr>
                  <w:tcW w:w="816" w:type="dxa"/>
                </w:tcPr>
                <w:p>
                  <w:pPr>
                    <w:widowControl w:val="0"/>
                    <w:shd w:val="clear" w:color="auto" w:fill="auto"/>
                    <w:spacing w:line="240" w:lineRule="auto"/>
                    <w:jc w:val="center"/>
                    <w:rPr>
                      <w:szCs w:val="21"/>
                    </w:rPr>
                  </w:pPr>
                  <w:r>
                    <w:rPr>
                      <w:rFonts w:hint="eastAsia"/>
                      <w:szCs w:val="21"/>
                    </w:rPr>
                    <w:t>张</w:t>
                  </w:r>
                </w:p>
              </w:tc>
              <w:tc>
                <w:tcPr>
                  <w:tcW w:w="864" w:type="dxa"/>
                </w:tcPr>
                <w:p>
                  <w:pPr>
                    <w:widowControl w:val="0"/>
                    <w:shd w:val="clear" w:color="auto" w:fill="auto"/>
                    <w:spacing w:line="240" w:lineRule="auto"/>
                    <w:jc w:val="center"/>
                    <w:rPr>
                      <w:szCs w:val="21"/>
                    </w:rPr>
                  </w:pPr>
                  <w:r>
                    <w:rPr>
                      <w:rFonts w:hint="eastAsia"/>
                      <w:szCs w:val="21"/>
                    </w:rPr>
                    <w:t>2</w:t>
                  </w:r>
                </w:p>
              </w:tc>
              <w:tc>
                <w:tcPr>
                  <w:tcW w:w="2832" w:type="dxa"/>
                </w:tcPr>
                <w:p>
                  <w:pPr>
                    <w:widowControl w:val="0"/>
                    <w:shd w:val="clear" w:color="auto" w:fill="auto"/>
                    <w:spacing w:line="240" w:lineRule="auto"/>
                    <w:jc w:val="center"/>
                    <w:rPr>
                      <w:szCs w:val="21"/>
                    </w:rPr>
                  </w:pPr>
                  <w:r>
                    <w:rPr>
                      <w:rFonts w:hint="eastAsia"/>
                      <w:szCs w:val="21"/>
                    </w:rPr>
                    <w:t>拆装、打包、搬运、安放</w:t>
                  </w:r>
                </w:p>
              </w:tc>
              <w:tc>
                <w:tcPr>
                  <w:tcW w:w="1715" w:type="dxa"/>
                </w:tcPr>
                <w:p>
                  <w:pPr>
                    <w:widowControl w:val="0"/>
                    <w:shd w:val="clear" w:color="auto" w:fill="auto"/>
                    <w:spacing w:line="240" w:lineRule="auto"/>
                    <w:jc w:val="center"/>
                    <w:rPr>
                      <w:szCs w:val="21"/>
                    </w:rPr>
                  </w:pPr>
                  <w:r>
                    <w:rPr>
                      <w:rFonts w:hint="eastAsia"/>
                      <w:szCs w:val="21"/>
                    </w:rPr>
                    <w:t>少儿图书馆龙岗分馆及其他采购人指定地点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tcPr>
                <w:p>
                  <w:pPr>
                    <w:widowControl w:val="0"/>
                    <w:shd w:val="clear" w:color="auto" w:fill="auto"/>
                    <w:spacing w:line="240" w:lineRule="auto"/>
                    <w:jc w:val="center"/>
                    <w:rPr>
                      <w:szCs w:val="21"/>
                    </w:rPr>
                  </w:pPr>
                  <w:r>
                    <w:rPr>
                      <w:rFonts w:hint="eastAsia"/>
                      <w:szCs w:val="21"/>
                    </w:rPr>
                    <w:t>67</w:t>
                  </w:r>
                </w:p>
              </w:tc>
              <w:tc>
                <w:tcPr>
                  <w:tcW w:w="1500" w:type="dxa"/>
                </w:tcPr>
                <w:p>
                  <w:pPr>
                    <w:widowControl w:val="0"/>
                    <w:shd w:val="clear" w:color="auto" w:fill="auto"/>
                    <w:spacing w:line="240" w:lineRule="auto"/>
                    <w:jc w:val="center"/>
                    <w:rPr>
                      <w:szCs w:val="21"/>
                    </w:rPr>
                  </w:pPr>
                  <w:r>
                    <w:rPr>
                      <w:rFonts w:hint="eastAsia"/>
                      <w:szCs w:val="21"/>
                    </w:rPr>
                    <w:t>影像套装服务台</w:t>
                  </w:r>
                </w:p>
              </w:tc>
              <w:tc>
                <w:tcPr>
                  <w:tcW w:w="816" w:type="dxa"/>
                </w:tcPr>
                <w:p>
                  <w:pPr>
                    <w:widowControl w:val="0"/>
                    <w:shd w:val="clear" w:color="auto" w:fill="auto"/>
                    <w:spacing w:line="240" w:lineRule="auto"/>
                    <w:jc w:val="center"/>
                    <w:rPr>
                      <w:szCs w:val="21"/>
                    </w:rPr>
                  </w:pPr>
                  <w:r>
                    <w:rPr>
                      <w:rFonts w:hint="eastAsia"/>
                      <w:szCs w:val="21"/>
                    </w:rPr>
                    <w:t>张</w:t>
                  </w:r>
                </w:p>
              </w:tc>
              <w:tc>
                <w:tcPr>
                  <w:tcW w:w="864" w:type="dxa"/>
                </w:tcPr>
                <w:p>
                  <w:pPr>
                    <w:widowControl w:val="0"/>
                    <w:shd w:val="clear" w:color="auto" w:fill="auto"/>
                    <w:spacing w:line="240" w:lineRule="auto"/>
                    <w:jc w:val="center"/>
                    <w:rPr>
                      <w:szCs w:val="21"/>
                    </w:rPr>
                  </w:pPr>
                  <w:r>
                    <w:rPr>
                      <w:rFonts w:hint="eastAsia"/>
                      <w:szCs w:val="21"/>
                    </w:rPr>
                    <w:t>1</w:t>
                  </w:r>
                </w:p>
              </w:tc>
              <w:tc>
                <w:tcPr>
                  <w:tcW w:w="2832" w:type="dxa"/>
                </w:tcPr>
                <w:p>
                  <w:pPr>
                    <w:widowControl w:val="0"/>
                    <w:shd w:val="clear" w:color="auto" w:fill="auto"/>
                    <w:spacing w:line="240" w:lineRule="auto"/>
                    <w:jc w:val="center"/>
                    <w:rPr>
                      <w:szCs w:val="21"/>
                    </w:rPr>
                  </w:pPr>
                  <w:r>
                    <w:rPr>
                      <w:rFonts w:hint="eastAsia"/>
                      <w:szCs w:val="21"/>
                    </w:rPr>
                    <w:t>拆装、打包、搬运、安放</w:t>
                  </w:r>
                </w:p>
              </w:tc>
              <w:tc>
                <w:tcPr>
                  <w:tcW w:w="1715" w:type="dxa"/>
                </w:tcPr>
                <w:p>
                  <w:pPr>
                    <w:widowControl w:val="0"/>
                    <w:shd w:val="clear" w:color="auto" w:fill="auto"/>
                    <w:spacing w:line="240" w:lineRule="auto"/>
                    <w:jc w:val="center"/>
                    <w:rPr>
                      <w:szCs w:val="21"/>
                    </w:rPr>
                  </w:pPr>
                  <w:r>
                    <w:rPr>
                      <w:rFonts w:hint="eastAsia"/>
                      <w:szCs w:val="21"/>
                    </w:rPr>
                    <w:t>少儿图书馆龙岗分馆及其他采购人指定地点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tcPr>
                <w:p>
                  <w:pPr>
                    <w:widowControl w:val="0"/>
                    <w:shd w:val="clear" w:color="auto" w:fill="auto"/>
                    <w:spacing w:line="240" w:lineRule="auto"/>
                    <w:jc w:val="center"/>
                    <w:rPr>
                      <w:szCs w:val="21"/>
                    </w:rPr>
                  </w:pPr>
                  <w:r>
                    <w:rPr>
                      <w:rFonts w:hint="eastAsia"/>
                      <w:szCs w:val="21"/>
                    </w:rPr>
                    <w:t>68</w:t>
                  </w:r>
                </w:p>
              </w:tc>
              <w:tc>
                <w:tcPr>
                  <w:tcW w:w="1500" w:type="dxa"/>
                </w:tcPr>
                <w:p>
                  <w:pPr>
                    <w:widowControl w:val="0"/>
                    <w:shd w:val="clear" w:color="auto" w:fill="auto"/>
                    <w:spacing w:line="240" w:lineRule="auto"/>
                    <w:jc w:val="center"/>
                    <w:rPr>
                      <w:szCs w:val="21"/>
                    </w:rPr>
                  </w:pPr>
                  <w:r>
                    <w:rPr>
                      <w:rFonts w:hint="eastAsia"/>
                      <w:szCs w:val="21"/>
                    </w:rPr>
                    <w:t>原木六人桌</w:t>
                  </w:r>
                </w:p>
              </w:tc>
              <w:tc>
                <w:tcPr>
                  <w:tcW w:w="816" w:type="dxa"/>
                </w:tcPr>
                <w:p>
                  <w:pPr>
                    <w:widowControl w:val="0"/>
                    <w:shd w:val="clear" w:color="auto" w:fill="auto"/>
                    <w:spacing w:line="240" w:lineRule="auto"/>
                    <w:jc w:val="center"/>
                    <w:rPr>
                      <w:szCs w:val="21"/>
                    </w:rPr>
                  </w:pPr>
                  <w:r>
                    <w:rPr>
                      <w:rFonts w:hint="eastAsia"/>
                      <w:szCs w:val="21"/>
                    </w:rPr>
                    <w:t>张</w:t>
                  </w:r>
                </w:p>
              </w:tc>
              <w:tc>
                <w:tcPr>
                  <w:tcW w:w="864" w:type="dxa"/>
                </w:tcPr>
                <w:p>
                  <w:pPr>
                    <w:widowControl w:val="0"/>
                    <w:shd w:val="clear" w:color="auto" w:fill="auto"/>
                    <w:spacing w:line="240" w:lineRule="auto"/>
                    <w:jc w:val="center"/>
                    <w:rPr>
                      <w:szCs w:val="21"/>
                    </w:rPr>
                  </w:pPr>
                  <w:r>
                    <w:rPr>
                      <w:rFonts w:hint="eastAsia"/>
                      <w:szCs w:val="21"/>
                    </w:rPr>
                    <w:t>1</w:t>
                  </w:r>
                </w:p>
              </w:tc>
              <w:tc>
                <w:tcPr>
                  <w:tcW w:w="2832" w:type="dxa"/>
                </w:tcPr>
                <w:p>
                  <w:pPr>
                    <w:widowControl w:val="0"/>
                    <w:shd w:val="clear" w:color="auto" w:fill="auto"/>
                    <w:spacing w:line="240" w:lineRule="auto"/>
                    <w:jc w:val="center"/>
                    <w:rPr>
                      <w:szCs w:val="21"/>
                    </w:rPr>
                  </w:pPr>
                  <w:r>
                    <w:rPr>
                      <w:rFonts w:hint="eastAsia"/>
                      <w:szCs w:val="21"/>
                    </w:rPr>
                    <w:t>拆装、打包、搬运、安放</w:t>
                  </w:r>
                </w:p>
              </w:tc>
              <w:tc>
                <w:tcPr>
                  <w:tcW w:w="1715" w:type="dxa"/>
                </w:tcPr>
                <w:p>
                  <w:pPr>
                    <w:widowControl w:val="0"/>
                    <w:shd w:val="clear" w:color="auto" w:fill="auto"/>
                    <w:spacing w:line="240" w:lineRule="auto"/>
                    <w:jc w:val="center"/>
                    <w:rPr>
                      <w:szCs w:val="21"/>
                    </w:rPr>
                  </w:pPr>
                  <w:r>
                    <w:rPr>
                      <w:rFonts w:hint="eastAsia"/>
                      <w:szCs w:val="21"/>
                    </w:rPr>
                    <w:t>少儿图书馆龙岗分馆及其他采购人指定地点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799" w:type="dxa"/>
                </w:tcPr>
                <w:p>
                  <w:pPr>
                    <w:widowControl w:val="0"/>
                    <w:shd w:val="clear" w:color="auto" w:fill="auto"/>
                    <w:spacing w:line="240" w:lineRule="auto"/>
                    <w:jc w:val="center"/>
                    <w:rPr>
                      <w:szCs w:val="21"/>
                    </w:rPr>
                  </w:pPr>
                  <w:r>
                    <w:rPr>
                      <w:rFonts w:hint="eastAsia"/>
                      <w:szCs w:val="21"/>
                    </w:rPr>
                    <w:t>69</w:t>
                  </w:r>
                </w:p>
              </w:tc>
              <w:tc>
                <w:tcPr>
                  <w:tcW w:w="1500" w:type="dxa"/>
                </w:tcPr>
                <w:p>
                  <w:pPr>
                    <w:widowControl w:val="0"/>
                    <w:shd w:val="clear" w:color="auto" w:fill="auto"/>
                    <w:spacing w:line="240" w:lineRule="auto"/>
                    <w:jc w:val="center"/>
                    <w:rPr>
                      <w:szCs w:val="21"/>
                    </w:rPr>
                  </w:pPr>
                  <w:r>
                    <w:rPr>
                      <w:rFonts w:hint="eastAsia"/>
                      <w:szCs w:val="21"/>
                    </w:rPr>
                    <w:t>电脑座椅</w:t>
                  </w:r>
                </w:p>
              </w:tc>
              <w:tc>
                <w:tcPr>
                  <w:tcW w:w="816" w:type="dxa"/>
                </w:tcPr>
                <w:p>
                  <w:pPr>
                    <w:widowControl w:val="0"/>
                    <w:shd w:val="clear" w:color="auto" w:fill="auto"/>
                    <w:spacing w:line="240" w:lineRule="auto"/>
                    <w:jc w:val="center"/>
                    <w:rPr>
                      <w:szCs w:val="21"/>
                    </w:rPr>
                  </w:pPr>
                  <w:r>
                    <w:rPr>
                      <w:rFonts w:hint="eastAsia"/>
                      <w:szCs w:val="21"/>
                    </w:rPr>
                    <w:t>把</w:t>
                  </w:r>
                </w:p>
              </w:tc>
              <w:tc>
                <w:tcPr>
                  <w:tcW w:w="864" w:type="dxa"/>
                </w:tcPr>
                <w:p>
                  <w:pPr>
                    <w:widowControl w:val="0"/>
                    <w:shd w:val="clear" w:color="auto" w:fill="auto"/>
                    <w:spacing w:line="240" w:lineRule="auto"/>
                    <w:jc w:val="center"/>
                    <w:rPr>
                      <w:szCs w:val="21"/>
                    </w:rPr>
                  </w:pPr>
                  <w:r>
                    <w:rPr>
                      <w:rFonts w:hint="eastAsia"/>
                      <w:szCs w:val="21"/>
                    </w:rPr>
                    <w:t>70</w:t>
                  </w:r>
                </w:p>
              </w:tc>
              <w:tc>
                <w:tcPr>
                  <w:tcW w:w="2832" w:type="dxa"/>
                </w:tcPr>
                <w:p>
                  <w:pPr>
                    <w:widowControl w:val="0"/>
                    <w:shd w:val="clear" w:color="auto" w:fill="auto"/>
                    <w:spacing w:line="240" w:lineRule="auto"/>
                    <w:jc w:val="center"/>
                    <w:rPr>
                      <w:szCs w:val="21"/>
                    </w:rPr>
                  </w:pPr>
                  <w:r>
                    <w:rPr>
                      <w:rFonts w:hint="eastAsia"/>
                      <w:szCs w:val="21"/>
                    </w:rPr>
                    <w:t>打包、搬迁运输、按要求放置到指定位置</w:t>
                  </w:r>
                </w:p>
              </w:tc>
              <w:tc>
                <w:tcPr>
                  <w:tcW w:w="1715" w:type="dxa"/>
                </w:tcPr>
                <w:p>
                  <w:pPr>
                    <w:widowControl w:val="0"/>
                    <w:shd w:val="clear" w:color="auto" w:fill="auto"/>
                    <w:spacing w:line="240" w:lineRule="auto"/>
                    <w:jc w:val="center"/>
                    <w:rPr>
                      <w:szCs w:val="21"/>
                    </w:rPr>
                  </w:pPr>
                  <w:r>
                    <w:rPr>
                      <w:rFonts w:hint="eastAsia"/>
                      <w:szCs w:val="21"/>
                    </w:rPr>
                    <w:t>少儿图书馆龙岗分馆及其他采购人指定地点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tcPr>
                <w:p>
                  <w:pPr>
                    <w:widowControl w:val="0"/>
                    <w:shd w:val="clear" w:color="auto" w:fill="auto"/>
                    <w:spacing w:line="240" w:lineRule="auto"/>
                    <w:jc w:val="center"/>
                    <w:rPr>
                      <w:szCs w:val="21"/>
                    </w:rPr>
                  </w:pPr>
                  <w:r>
                    <w:rPr>
                      <w:rFonts w:hint="eastAsia"/>
                      <w:szCs w:val="21"/>
                    </w:rPr>
                    <w:t>70</w:t>
                  </w:r>
                </w:p>
              </w:tc>
              <w:tc>
                <w:tcPr>
                  <w:tcW w:w="1500" w:type="dxa"/>
                </w:tcPr>
                <w:p>
                  <w:pPr>
                    <w:widowControl w:val="0"/>
                    <w:shd w:val="clear" w:color="auto" w:fill="auto"/>
                    <w:spacing w:line="240" w:lineRule="auto"/>
                    <w:jc w:val="center"/>
                    <w:rPr>
                      <w:szCs w:val="21"/>
                    </w:rPr>
                  </w:pPr>
                  <w:r>
                    <w:rPr>
                      <w:rFonts w:hint="eastAsia"/>
                      <w:szCs w:val="21"/>
                    </w:rPr>
                    <w:t>多媒体服务台座椅</w:t>
                  </w:r>
                </w:p>
              </w:tc>
              <w:tc>
                <w:tcPr>
                  <w:tcW w:w="816" w:type="dxa"/>
                </w:tcPr>
                <w:p>
                  <w:pPr>
                    <w:widowControl w:val="0"/>
                    <w:shd w:val="clear" w:color="auto" w:fill="auto"/>
                    <w:spacing w:line="240" w:lineRule="auto"/>
                    <w:jc w:val="center"/>
                    <w:rPr>
                      <w:szCs w:val="21"/>
                    </w:rPr>
                  </w:pPr>
                  <w:r>
                    <w:rPr>
                      <w:rFonts w:hint="eastAsia"/>
                      <w:szCs w:val="21"/>
                    </w:rPr>
                    <w:t>把</w:t>
                  </w:r>
                </w:p>
              </w:tc>
              <w:tc>
                <w:tcPr>
                  <w:tcW w:w="864" w:type="dxa"/>
                </w:tcPr>
                <w:p>
                  <w:pPr>
                    <w:widowControl w:val="0"/>
                    <w:shd w:val="clear" w:color="auto" w:fill="auto"/>
                    <w:spacing w:line="240" w:lineRule="auto"/>
                    <w:jc w:val="center"/>
                    <w:rPr>
                      <w:szCs w:val="21"/>
                    </w:rPr>
                  </w:pPr>
                  <w:r>
                    <w:rPr>
                      <w:rFonts w:hint="eastAsia"/>
                      <w:szCs w:val="21"/>
                    </w:rPr>
                    <w:t>2</w:t>
                  </w:r>
                </w:p>
              </w:tc>
              <w:tc>
                <w:tcPr>
                  <w:tcW w:w="2832" w:type="dxa"/>
                </w:tcPr>
                <w:p>
                  <w:pPr>
                    <w:widowControl w:val="0"/>
                    <w:shd w:val="clear" w:color="auto" w:fill="auto"/>
                    <w:spacing w:line="240" w:lineRule="auto"/>
                    <w:jc w:val="center"/>
                    <w:rPr>
                      <w:szCs w:val="21"/>
                    </w:rPr>
                  </w:pPr>
                  <w:r>
                    <w:rPr>
                      <w:rFonts w:hint="eastAsia"/>
                      <w:szCs w:val="21"/>
                    </w:rPr>
                    <w:t>打包、搬迁运输、按要求放置到指定位置</w:t>
                  </w:r>
                </w:p>
              </w:tc>
              <w:tc>
                <w:tcPr>
                  <w:tcW w:w="1715" w:type="dxa"/>
                </w:tcPr>
                <w:p>
                  <w:pPr>
                    <w:widowControl w:val="0"/>
                    <w:shd w:val="clear" w:color="auto" w:fill="auto"/>
                    <w:spacing w:line="240" w:lineRule="auto"/>
                    <w:jc w:val="center"/>
                    <w:rPr>
                      <w:szCs w:val="21"/>
                    </w:rPr>
                  </w:pPr>
                  <w:r>
                    <w:rPr>
                      <w:rFonts w:hint="eastAsia"/>
                      <w:szCs w:val="21"/>
                    </w:rPr>
                    <w:t>少儿图书馆龙岗分馆及其他采购人指定地点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tcPr>
                <w:p>
                  <w:pPr>
                    <w:widowControl w:val="0"/>
                    <w:shd w:val="clear" w:color="auto" w:fill="auto"/>
                    <w:spacing w:line="240" w:lineRule="auto"/>
                    <w:jc w:val="center"/>
                    <w:rPr>
                      <w:szCs w:val="21"/>
                    </w:rPr>
                  </w:pPr>
                  <w:r>
                    <w:rPr>
                      <w:rFonts w:hint="eastAsia"/>
                      <w:szCs w:val="21"/>
                    </w:rPr>
                    <w:t>71</w:t>
                  </w:r>
                </w:p>
              </w:tc>
              <w:tc>
                <w:tcPr>
                  <w:tcW w:w="1500" w:type="dxa"/>
                </w:tcPr>
                <w:p>
                  <w:pPr>
                    <w:widowControl w:val="0"/>
                    <w:shd w:val="clear" w:color="auto" w:fill="auto"/>
                    <w:spacing w:line="240" w:lineRule="auto"/>
                    <w:jc w:val="center"/>
                    <w:rPr>
                      <w:szCs w:val="21"/>
                    </w:rPr>
                  </w:pPr>
                  <w:r>
                    <w:rPr>
                      <w:rFonts w:hint="eastAsia"/>
                      <w:szCs w:val="21"/>
                    </w:rPr>
                    <w:t>方形小皮凳</w:t>
                  </w:r>
                </w:p>
              </w:tc>
              <w:tc>
                <w:tcPr>
                  <w:tcW w:w="816" w:type="dxa"/>
                </w:tcPr>
                <w:p>
                  <w:pPr>
                    <w:widowControl w:val="0"/>
                    <w:shd w:val="clear" w:color="auto" w:fill="auto"/>
                    <w:spacing w:line="240" w:lineRule="auto"/>
                    <w:jc w:val="center"/>
                    <w:rPr>
                      <w:szCs w:val="21"/>
                    </w:rPr>
                  </w:pPr>
                  <w:r>
                    <w:rPr>
                      <w:rFonts w:hint="eastAsia"/>
                      <w:szCs w:val="21"/>
                    </w:rPr>
                    <w:t>把</w:t>
                  </w:r>
                </w:p>
              </w:tc>
              <w:tc>
                <w:tcPr>
                  <w:tcW w:w="864" w:type="dxa"/>
                </w:tcPr>
                <w:p>
                  <w:pPr>
                    <w:widowControl w:val="0"/>
                    <w:shd w:val="clear" w:color="auto" w:fill="auto"/>
                    <w:spacing w:line="240" w:lineRule="auto"/>
                    <w:jc w:val="center"/>
                    <w:rPr>
                      <w:szCs w:val="21"/>
                    </w:rPr>
                  </w:pPr>
                  <w:r>
                    <w:rPr>
                      <w:rFonts w:hint="eastAsia"/>
                      <w:szCs w:val="21"/>
                    </w:rPr>
                    <w:t>4</w:t>
                  </w:r>
                </w:p>
              </w:tc>
              <w:tc>
                <w:tcPr>
                  <w:tcW w:w="2832" w:type="dxa"/>
                </w:tcPr>
                <w:p>
                  <w:pPr>
                    <w:widowControl w:val="0"/>
                    <w:shd w:val="clear" w:color="auto" w:fill="auto"/>
                    <w:spacing w:line="240" w:lineRule="auto"/>
                    <w:jc w:val="center"/>
                    <w:rPr>
                      <w:szCs w:val="21"/>
                    </w:rPr>
                  </w:pPr>
                  <w:r>
                    <w:rPr>
                      <w:rFonts w:hint="eastAsia"/>
                      <w:szCs w:val="21"/>
                    </w:rPr>
                    <w:t>打包、搬迁运输、按要求放置到指定位置</w:t>
                  </w:r>
                </w:p>
              </w:tc>
              <w:tc>
                <w:tcPr>
                  <w:tcW w:w="1715" w:type="dxa"/>
                </w:tcPr>
                <w:p>
                  <w:pPr>
                    <w:widowControl w:val="0"/>
                    <w:shd w:val="clear" w:color="auto" w:fill="auto"/>
                    <w:spacing w:line="240" w:lineRule="auto"/>
                    <w:jc w:val="center"/>
                    <w:rPr>
                      <w:szCs w:val="21"/>
                    </w:rPr>
                  </w:pPr>
                  <w:r>
                    <w:rPr>
                      <w:rFonts w:hint="eastAsia"/>
                      <w:szCs w:val="21"/>
                    </w:rPr>
                    <w:t>少儿图书馆龙岗分馆及其他采购人指定地点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tcPr>
                <w:p>
                  <w:pPr>
                    <w:widowControl w:val="0"/>
                    <w:shd w:val="clear" w:color="auto" w:fill="auto"/>
                    <w:spacing w:line="240" w:lineRule="auto"/>
                    <w:jc w:val="center"/>
                    <w:rPr>
                      <w:szCs w:val="21"/>
                    </w:rPr>
                  </w:pPr>
                  <w:r>
                    <w:rPr>
                      <w:rFonts w:hint="eastAsia"/>
                      <w:szCs w:val="21"/>
                    </w:rPr>
                    <w:t>72</w:t>
                  </w:r>
                </w:p>
              </w:tc>
              <w:tc>
                <w:tcPr>
                  <w:tcW w:w="1500" w:type="dxa"/>
                </w:tcPr>
                <w:p>
                  <w:pPr>
                    <w:widowControl w:val="0"/>
                    <w:shd w:val="clear" w:color="auto" w:fill="auto"/>
                    <w:spacing w:line="240" w:lineRule="auto"/>
                    <w:jc w:val="center"/>
                    <w:rPr>
                      <w:szCs w:val="21"/>
                    </w:rPr>
                  </w:pPr>
                  <w:r>
                    <w:rPr>
                      <w:rFonts w:hint="eastAsia"/>
                      <w:szCs w:val="21"/>
                    </w:rPr>
                    <w:t>富洛塔凳</w:t>
                  </w:r>
                </w:p>
              </w:tc>
              <w:tc>
                <w:tcPr>
                  <w:tcW w:w="816" w:type="dxa"/>
                </w:tcPr>
                <w:p>
                  <w:pPr>
                    <w:widowControl w:val="0"/>
                    <w:shd w:val="clear" w:color="auto" w:fill="auto"/>
                    <w:spacing w:line="240" w:lineRule="auto"/>
                    <w:jc w:val="center"/>
                    <w:rPr>
                      <w:szCs w:val="21"/>
                    </w:rPr>
                  </w:pPr>
                  <w:r>
                    <w:rPr>
                      <w:rFonts w:hint="eastAsia"/>
                      <w:szCs w:val="21"/>
                    </w:rPr>
                    <w:t>把</w:t>
                  </w:r>
                </w:p>
              </w:tc>
              <w:tc>
                <w:tcPr>
                  <w:tcW w:w="864" w:type="dxa"/>
                </w:tcPr>
                <w:p>
                  <w:pPr>
                    <w:widowControl w:val="0"/>
                    <w:shd w:val="clear" w:color="auto" w:fill="auto"/>
                    <w:spacing w:line="240" w:lineRule="auto"/>
                    <w:jc w:val="center"/>
                    <w:rPr>
                      <w:szCs w:val="21"/>
                    </w:rPr>
                  </w:pPr>
                  <w:r>
                    <w:rPr>
                      <w:rFonts w:hint="eastAsia"/>
                      <w:szCs w:val="21"/>
                    </w:rPr>
                    <w:t>19</w:t>
                  </w:r>
                </w:p>
              </w:tc>
              <w:tc>
                <w:tcPr>
                  <w:tcW w:w="2832" w:type="dxa"/>
                </w:tcPr>
                <w:p>
                  <w:pPr>
                    <w:widowControl w:val="0"/>
                    <w:shd w:val="clear" w:color="auto" w:fill="auto"/>
                    <w:spacing w:line="240" w:lineRule="auto"/>
                    <w:jc w:val="center"/>
                    <w:rPr>
                      <w:szCs w:val="21"/>
                    </w:rPr>
                  </w:pPr>
                  <w:r>
                    <w:rPr>
                      <w:rFonts w:hint="eastAsia"/>
                      <w:szCs w:val="21"/>
                    </w:rPr>
                    <w:t>打包、搬迁运输、按要求放置到指定位置</w:t>
                  </w:r>
                </w:p>
              </w:tc>
              <w:tc>
                <w:tcPr>
                  <w:tcW w:w="1715" w:type="dxa"/>
                </w:tcPr>
                <w:p>
                  <w:pPr>
                    <w:widowControl w:val="0"/>
                    <w:shd w:val="clear" w:color="auto" w:fill="auto"/>
                    <w:spacing w:line="240" w:lineRule="auto"/>
                    <w:jc w:val="center"/>
                    <w:rPr>
                      <w:szCs w:val="21"/>
                    </w:rPr>
                  </w:pPr>
                  <w:r>
                    <w:rPr>
                      <w:rFonts w:hint="eastAsia"/>
                      <w:szCs w:val="21"/>
                    </w:rPr>
                    <w:t>少儿图书馆龙岗分馆及其他采购人指定地点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tcPr>
                <w:p>
                  <w:pPr>
                    <w:widowControl w:val="0"/>
                    <w:shd w:val="clear" w:color="auto" w:fill="auto"/>
                    <w:spacing w:line="240" w:lineRule="auto"/>
                    <w:jc w:val="center"/>
                    <w:rPr>
                      <w:szCs w:val="21"/>
                    </w:rPr>
                  </w:pPr>
                  <w:r>
                    <w:rPr>
                      <w:rFonts w:hint="eastAsia"/>
                      <w:szCs w:val="21"/>
                    </w:rPr>
                    <w:t>73</w:t>
                  </w:r>
                </w:p>
              </w:tc>
              <w:tc>
                <w:tcPr>
                  <w:tcW w:w="1500" w:type="dxa"/>
                </w:tcPr>
                <w:p>
                  <w:pPr>
                    <w:widowControl w:val="0"/>
                    <w:shd w:val="clear" w:color="auto" w:fill="auto"/>
                    <w:spacing w:line="240" w:lineRule="auto"/>
                    <w:jc w:val="center"/>
                    <w:rPr>
                      <w:szCs w:val="21"/>
                    </w:rPr>
                  </w:pPr>
                  <w:r>
                    <w:rPr>
                      <w:rFonts w:hint="eastAsia"/>
                      <w:szCs w:val="21"/>
                    </w:rPr>
                    <w:t>家庭教育区办公椅</w:t>
                  </w:r>
                </w:p>
              </w:tc>
              <w:tc>
                <w:tcPr>
                  <w:tcW w:w="816" w:type="dxa"/>
                </w:tcPr>
                <w:p>
                  <w:pPr>
                    <w:widowControl w:val="0"/>
                    <w:shd w:val="clear" w:color="auto" w:fill="auto"/>
                    <w:spacing w:line="240" w:lineRule="auto"/>
                    <w:jc w:val="center"/>
                    <w:rPr>
                      <w:szCs w:val="21"/>
                    </w:rPr>
                  </w:pPr>
                  <w:r>
                    <w:rPr>
                      <w:rFonts w:hint="eastAsia"/>
                      <w:szCs w:val="21"/>
                    </w:rPr>
                    <w:t>把</w:t>
                  </w:r>
                </w:p>
              </w:tc>
              <w:tc>
                <w:tcPr>
                  <w:tcW w:w="864" w:type="dxa"/>
                </w:tcPr>
                <w:p>
                  <w:pPr>
                    <w:widowControl w:val="0"/>
                    <w:shd w:val="clear" w:color="auto" w:fill="auto"/>
                    <w:spacing w:line="240" w:lineRule="auto"/>
                    <w:jc w:val="center"/>
                    <w:rPr>
                      <w:szCs w:val="21"/>
                    </w:rPr>
                  </w:pPr>
                  <w:r>
                    <w:rPr>
                      <w:rFonts w:hint="eastAsia"/>
                      <w:szCs w:val="21"/>
                    </w:rPr>
                    <w:t>3</w:t>
                  </w:r>
                </w:p>
              </w:tc>
              <w:tc>
                <w:tcPr>
                  <w:tcW w:w="2832" w:type="dxa"/>
                </w:tcPr>
                <w:p>
                  <w:pPr>
                    <w:widowControl w:val="0"/>
                    <w:shd w:val="clear" w:color="auto" w:fill="auto"/>
                    <w:spacing w:line="240" w:lineRule="auto"/>
                    <w:jc w:val="center"/>
                    <w:rPr>
                      <w:szCs w:val="21"/>
                    </w:rPr>
                  </w:pPr>
                  <w:r>
                    <w:rPr>
                      <w:rFonts w:hint="eastAsia"/>
                      <w:szCs w:val="21"/>
                    </w:rPr>
                    <w:t>打包、搬迁运输、按要求放置到指定位置</w:t>
                  </w:r>
                </w:p>
              </w:tc>
              <w:tc>
                <w:tcPr>
                  <w:tcW w:w="1715" w:type="dxa"/>
                </w:tcPr>
                <w:p>
                  <w:pPr>
                    <w:widowControl w:val="0"/>
                    <w:shd w:val="clear" w:color="auto" w:fill="auto"/>
                    <w:spacing w:line="240" w:lineRule="auto"/>
                    <w:jc w:val="center"/>
                    <w:rPr>
                      <w:szCs w:val="21"/>
                    </w:rPr>
                  </w:pPr>
                  <w:r>
                    <w:rPr>
                      <w:rFonts w:hint="eastAsia"/>
                      <w:szCs w:val="21"/>
                    </w:rPr>
                    <w:t>少儿图书馆龙岗分馆及其他采购人指定地点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tcPr>
                <w:p>
                  <w:pPr>
                    <w:widowControl w:val="0"/>
                    <w:shd w:val="clear" w:color="auto" w:fill="auto"/>
                    <w:spacing w:line="240" w:lineRule="auto"/>
                    <w:jc w:val="center"/>
                    <w:rPr>
                      <w:szCs w:val="21"/>
                    </w:rPr>
                  </w:pPr>
                  <w:r>
                    <w:rPr>
                      <w:rFonts w:hint="eastAsia"/>
                      <w:szCs w:val="21"/>
                    </w:rPr>
                    <w:t>74</w:t>
                  </w:r>
                </w:p>
              </w:tc>
              <w:tc>
                <w:tcPr>
                  <w:tcW w:w="1500" w:type="dxa"/>
                </w:tcPr>
                <w:p>
                  <w:pPr>
                    <w:widowControl w:val="0"/>
                    <w:shd w:val="clear" w:color="auto" w:fill="auto"/>
                    <w:spacing w:line="240" w:lineRule="auto"/>
                    <w:jc w:val="center"/>
                    <w:rPr>
                      <w:szCs w:val="21"/>
                    </w:rPr>
                  </w:pPr>
                  <w:r>
                    <w:rPr>
                      <w:rFonts w:hint="eastAsia"/>
                      <w:szCs w:val="21"/>
                    </w:rPr>
                    <w:t>家庭教育区阅览椅</w:t>
                  </w:r>
                </w:p>
              </w:tc>
              <w:tc>
                <w:tcPr>
                  <w:tcW w:w="816" w:type="dxa"/>
                </w:tcPr>
                <w:p>
                  <w:pPr>
                    <w:widowControl w:val="0"/>
                    <w:shd w:val="clear" w:color="auto" w:fill="auto"/>
                    <w:spacing w:line="240" w:lineRule="auto"/>
                    <w:jc w:val="center"/>
                    <w:rPr>
                      <w:szCs w:val="21"/>
                    </w:rPr>
                  </w:pPr>
                  <w:r>
                    <w:rPr>
                      <w:rFonts w:hint="eastAsia"/>
                      <w:szCs w:val="21"/>
                    </w:rPr>
                    <w:t>把</w:t>
                  </w:r>
                </w:p>
              </w:tc>
              <w:tc>
                <w:tcPr>
                  <w:tcW w:w="864" w:type="dxa"/>
                </w:tcPr>
                <w:p>
                  <w:pPr>
                    <w:widowControl w:val="0"/>
                    <w:shd w:val="clear" w:color="auto" w:fill="auto"/>
                    <w:spacing w:line="240" w:lineRule="auto"/>
                    <w:jc w:val="center"/>
                    <w:rPr>
                      <w:szCs w:val="21"/>
                    </w:rPr>
                  </w:pPr>
                  <w:r>
                    <w:rPr>
                      <w:rFonts w:hint="eastAsia"/>
                      <w:szCs w:val="21"/>
                    </w:rPr>
                    <w:t>16</w:t>
                  </w:r>
                </w:p>
              </w:tc>
              <w:tc>
                <w:tcPr>
                  <w:tcW w:w="2832" w:type="dxa"/>
                </w:tcPr>
                <w:p>
                  <w:pPr>
                    <w:widowControl w:val="0"/>
                    <w:shd w:val="clear" w:color="auto" w:fill="auto"/>
                    <w:spacing w:line="240" w:lineRule="auto"/>
                    <w:jc w:val="center"/>
                    <w:rPr>
                      <w:szCs w:val="21"/>
                    </w:rPr>
                  </w:pPr>
                  <w:r>
                    <w:rPr>
                      <w:rFonts w:hint="eastAsia"/>
                      <w:szCs w:val="21"/>
                    </w:rPr>
                    <w:t>打包、搬迁运输、按要求放置到指定位置</w:t>
                  </w:r>
                </w:p>
              </w:tc>
              <w:tc>
                <w:tcPr>
                  <w:tcW w:w="1715" w:type="dxa"/>
                </w:tcPr>
                <w:p>
                  <w:pPr>
                    <w:widowControl w:val="0"/>
                    <w:shd w:val="clear" w:color="auto" w:fill="auto"/>
                    <w:spacing w:line="240" w:lineRule="auto"/>
                    <w:jc w:val="center"/>
                    <w:rPr>
                      <w:szCs w:val="21"/>
                    </w:rPr>
                  </w:pPr>
                  <w:r>
                    <w:rPr>
                      <w:rFonts w:hint="eastAsia"/>
                      <w:szCs w:val="21"/>
                    </w:rPr>
                    <w:t>少儿图书馆龙岗分馆及其他采购人指定地点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tcPr>
                <w:p>
                  <w:pPr>
                    <w:widowControl w:val="0"/>
                    <w:shd w:val="clear" w:color="auto" w:fill="auto"/>
                    <w:spacing w:line="240" w:lineRule="auto"/>
                    <w:jc w:val="center"/>
                    <w:rPr>
                      <w:szCs w:val="21"/>
                    </w:rPr>
                  </w:pPr>
                  <w:r>
                    <w:rPr>
                      <w:rFonts w:hint="eastAsia"/>
                      <w:szCs w:val="21"/>
                    </w:rPr>
                    <w:t>75</w:t>
                  </w:r>
                </w:p>
              </w:tc>
              <w:tc>
                <w:tcPr>
                  <w:tcW w:w="1500" w:type="dxa"/>
                </w:tcPr>
                <w:p>
                  <w:pPr>
                    <w:widowControl w:val="0"/>
                    <w:shd w:val="clear" w:color="auto" w:fill="auto"/>
                    <w:spacing w:line="240" w:lineRule="auto"/>
                    <w:jc w:val="center"/>
                    <w:rPr>
                      <w:szCs w:val="21"/>
                    </w:rPr>
                  </w:pPr>
                  <w:r>
                    <w:rPr>
                      <w:rFonts w:hint="eastAsia"/>
                      <w:szCs w:val="21"/>
                    </w:rPr>
                    <w:t>马库斯转椅</w:t>
                  </w:r>
                </w:p>
              </w:tc>
              <w:tc>
                <w:tcPr>
                  <w:tcW w:w="816" w:type="dxa"/>
                </w:tcPr>
                <w:p>
                  <w:pPr>
                    <w:widowControl w:val="0"/>
                    <w:shd w:val="clear" w:color="auto" w:fill="auto"/>
                    <w:spacing w:line="240" w:lineRule="auto"/>
                    <w:jc w:val="center"/>
                    <w:rPr>
                      <w:szCs w:val="21"/>
                    </w:rPr>
                  </w:pPr>
                  <w:r>
                    <w:rPr>
                      <w:rFonts w:hint="eastAsia"/>
                      <w:szCs w:val="21"/>
                    </w:rPr>
                    <w:t>把</w:t>
                  </w:r>
                </w:p>
              </w:tc>
              <w:tc>
                <w:tcPr>
                  <w:tcW w:w="864" w:type="dxa"/>
                </w:tcPr>
                <w:p>
                  <w:pPr>
                    <w:widowControl w:val="0"/>
                    <w:shd w:val="clear" w:color="auto" w:fill="auto"/>
                    <w:spacing w:line="240" w:lineRule="auto"/>
                    <w:jc w:val="center"/>
                    <w:rPr>
                      <w:szCs w:val="21"/>
                    </w:rPr>
                  </w:pPr>
                  <w:r>
                    <w:rPr>
                      <w:rFonts w:hint="eastAsia"/>
                      <w:szCs w:val="21"/>
                    </w:rPr>
                    <w:t>4</w:t>
                  </w:r>
                </w:p>
              </w:tc>
              <w:tc>
                <w:tcPr>
                  <w:tcW w:w="2832" w:type="dxa"/>
                </w:tcPr>
                <w:p>
                  <w:pPr>
                    <w:widowControl w:val="0"/>
                    <w:shd w:val="clear" w:color="auto" w:fill="auto"/>
                    <w:spacing w:line="240" w:lineRule="auto"/>
                    <w:jc w:val="center"/>
                    <w:rPr>
                      <w:szCs w:val="21"/>
                    </w:rPr>
                  </w:pPr>
                  <w:r>
                    <w:rPr>
                      <w:rFonts w:hint="eastAsia"/>
                      <w:szCs w:val="21"/>
                    </w:rPr>
                    <w:t>打包、搬迁运输、按要求放置到指定位置</w:t>
                  </w:r>
                </w:p>
              </w:tc>
              <w:tc>
                <w:tcPr>
                  <w:tcW w:w="1715" w:type="dxa"/>
                </w:tcPr>
                <w:p>
                  <w:pPr>
                    <w:widowControl w:val="0"/>
                    <w:shd w:val="clear" w:color="auto" w:fill="auto"/>
                    <w:spacing w:line="240" w:lineRule="auto"/>
                    <w:jc w:val="center"/>
                    <w:rPr>
                      <w:szCs w:val="21"/>
                    </w:rPr>
                  </w:pPr>
                  <w:r>
                    <w:rPr>
                      <w:rFonts w:hint="eastAsia"/>
                      <w:szCs w:val="21"/>
                    </w:rPr>
                    <w:t>少儿图书馆龙岗分馆及其他采购人指定地点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tcPr>
                <w:p>
                  <w:pPr>
                    <w:widowControl w:val="0"/>
                    <w:shd w:val="clear" w:color="auto" w:fill="auto"/>
                    <w:spacing w:line="240" w:lineRule="auto"/>
                    <w:jc w:val="center"/>
                    <w:rPr>
                      <w:szCs w:val="21"/>
                    </w:rPr>
                  </w:pPr>
                  <w:r>
                    <w:rPr>
                      <w:rFonts w:hint="eastAsia"/>
                      <w:szCs w:val="21"/>
                    </w:rPr>
                    <w:t>76</w:t>
                  </w:r>
                </w:p>
              </w:tc>
              <w:tc>
                <w:tcPr>
                  <w:tcW w:w="1500" w:type="dxa"/>
                </w:tcPr>
                <w:p>
                  <w:pPr>
                    <w:widowControl w:val="0"/>
                    <w:shd w:val="clear" w:color="auto" w:fill="auto"/>
                    <w:spacing w:line="240" w:lineRule="auto"/>
                    <w:jc w:val="center"/>
                    <w:rPr>
                      <w:szCs w:val="21"/>
                    </w:rPr>
                  </w:pPr>
                  <w:r>
                    <w:rPr>
                      <w:rFonts w:hint="eastAsia"/>
                      <w:szCs w:val="21"/>
                    </w:rPr>
                    <w:t>树脂椅</w:t>
                  </w:r>
                </w:p>
              </w:tc>
              <w:tc>
                <w:tcPr>
                  <w:tcW w:w="816" w:type="dxa"/>
                </w:tcPr>
                <w:p>
                  <w:pPr>
                    <w:widowControl w:val="0"/>
                    <w:shd w:val="clear" w:color="auto" w:fill="auto"/>
                    <w:spacing w:line="240" w:lineRule="auto"/>
                    <w:jc w:val="center"/>
                    <w:rPr>
                      <w:szCs w:val="21"/>
                    </w:rPr>
                  </w:pPr>
                  <w:r>
                    <w:rPr>
                      <w:rFonts w:hint="eastAsia"/>
                      <w:szCs w:val="21"/>
                    </w:rPr>
                    <w:t>把</w:t>
                  </w:r>
                </w:p>
              </w:tc>
              <w:tc>
                <w:tcPr>
                  <w:tcW w:w="864" w:type="dxa"/>
                </w:tcPr>
                <w:p>
                  <w:pPr>
                    <w:widowControl w:val="0"/>
                    <w:shd w:val="clear" w:color="auto" w:fill="auto"/>
                    <w:spacing w:line="240" w:lineRule="auto"/>
                    <w:jc w:val="center"/>
                    <w:rPr>
                      <w:szCs w:val="21"/>
                    </w:rPr>
                  </w:pPr>
                  <w:r>
                    <w:rPr>
                      <w:rFonts w:hint="eastAsia"/>
                      <w:szCs w:val="21"/>
                    </w:rPr>
                    <w:t>44</w:t>
                  </w:r>
                </w:p>
              </w:tc>
              <w:tc>
                <w:tcPr>
                  <w:tcW w:w="2832" w:type="dxa"/>
                </w:tcPr>
                <w:p>
                  <w:pPr>
                    <w:widowControl w:val="0"/>
                    <w:shd w:val="clear" w:color="auto" w:fill="auto"/>
                    <w:spacing w:line="240" w:lineRule="auto"/>
                    <w:jc w:val="center"/>
                    <w:rPr>
                      <w:szCs w:val="21"/>
                    </w:rPr>
                  </w:pPr>
                  <w:r>
                    <w:rPr>
                      <w:rFonts w:hint="eastAsia"/>
                      <w:szCs w:val="21"/>
                    </w:rPr>
                    <w:t>打包、搬迁运输、按要求放置到指定位置</w:t>
                  </w:r>
                </w:p>
              </w:tc>
              <w:tc>
                <w:tcPr>
                  <w:tcW w:w="1715" w:type="dxa"/>
                </w:tcPr>
                <w:p>
                  <w:pPr>
                    <w:widowControl w:val="0"/>
                    <w:shd w:val="clear" w:color="auto" w:fill="auto"/>
                    <w:spacing w:line="240" w:lineRule="auto"/>
                    <w:jc w:val="center"/>
                    <w:rPr>
                      <w:szCs w:val="21"/>
                    </w:rPr>
                  </w:pPr>
                  <w:r>
                    <w:rPr>
                      <w:rFonts w:hint="eastAsia"/>
                      <w:szCs w:val="21"/>
                    </w:rPr>
                    <w:t>少儿图书馆龙岗分馆及其他采购人指定地点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widowControl w:val="0"/>
                    <w:shd w:val="clear" w:color="auto" w:fill="auto"/>
                    <w:spacing w:line="240" w:lineRule="auto"/>
                    <w:jc w:val="center"/>
                    <w:rPr>
                      <w:szCs w:val="21"/>
                    </w:rPr>
                  </w:pPr>
                  <w:r>
                    <w:rPr>
                      <w:rFonts w:hint="eastAsia"/>
                      <w:szCs w:val="21"/>
                    </w:rPr>
                    <w:t>77</w:t>
                  </w:r>
                </w:p>
              </w:tc>
              <w:tc>
                <w:tcPr>
                  <w:tcW w:w="1500" w:type="dxa"/>
                  <w:vAlign w:val="center"/>
                </w:tcPr>
                <w:p>
                  <w:pPr>
                    <w:widowControl w:val="0"/>
                    <w:shd w:val="clear" w:color="auto" w:fill="auto"/>
                    <w:spacing w:line="240" w:lineRule="auto"/>
                    <w:jc w:val="center"/>
                    <w:rPr>
                      <w:szCs w:val="21"/>
                    </w:rPr>
                  </w:pPr>
                  <w:r>
                    <w:rPr>
                      <w:rFonts w:hint="eastAsia"/>
                      <w:szCs w:val="21"/>
                    </w:rPr>
                    <w:t>带靠背沙发</w:t>
                  </w:r>
                </w:p>
              </w:tc>
              <w:tc>
                <w:tcPr>
                  <w:tcW w:w="816" w:type="dxa"/>
                  <w:vAlign w:val="center"/>
                </w:tcPr>
                <w:p>
                  <w:pPr>
                    <w:widowControl w:val="0"/>
                    <w:shd w:val="clear" w:color="auto" w:fill="auto"/>
                    <w:spacing w:line="240" w:lineRule="auto"/>
                    <w:jc w:val="center"/>
                    <w:rPr>
                      <w:szCs w:val="21"/>
                    </w:rPr>
                  </w:pPr>
                  <w:r>
                    <w:rPr>
                      <w:rFonts w:hint="eastAsia"/>
                      <w:szCs w:val="21"/>
                    </w:rPr>
                    <w:t>张</w:t>
                  </w:r>
                </w:p>
              </w:tc>
              <w:tc>
                <w:tcPr>
                  <w:tcW w:w="864" w:type="dxa"/>
                  <w:vAlign w:val="center"/>
                </w:tcPr>
                <w:p>
                  <w:pPr>
                    <w:widowControl w:val="0"/>
                    <w:shd w:val="clear" w:color="auto" w:fill="auto"/>
                    <w:spacing w:line="240" w:lineRule="auto"/>
                    <w:jc w:val="center"/>
                    <w:rPr>
                      <w:szCs w:val="21"/>
                    </w:rPr>
                  </w:pPr>
                  <w:r>
                    <w:rPr>
                      <w:rFonts w:hint="eastAsia"/>
                      <w:szCs w:val="21"/>
                    </w:rPr>
                    <w:t>3</w:t>
                  </w:r>
                </w:p>
              </w:tc>
              <w:tc>
                <w:tcPr>
                  <w:tcW w:w="2832" w:type="dxa"/>
                  <w:vAlign w:val="center"/>
                </w:tcPr>
                <w:p>
                  <w:pPr>
                    <w:widowControl w:val="0"/>
                    <w:shd w:val="clear" w:color="auto" w:fill="auto"/>
                    <w:spacing w:line="240" w:lineRule="auto"/>
                    <w:jc w:val="center"/>
                    <w:rPr>
                      <w:szCs w:val="21"/>
                    </w:rPr>
                  </w:pPr>
                  <w:r>
                    <w:rPr>
                      <w:rFonts w:hint="eastAsia"/>
                      <w:szCs w:val="21"/>
                    </w:rPr>
                    <w:t>打包、搬迁运输、按要求放置到指定位置</w:t>
                  </w:r>
                </w:p>
              </w:tc>
              <w:tc>
                <w:tcPr>
                  <w:tcW w:w="1715" w:type="dxa"/>
                  <w:vAlign w:val="center"/>
                </w:tcPr>
                <w:p>
                  <w:pPr>
                    <w:widowControl w:val="0"/>
                    <w:shd w:val="clear" w:color="auto" w:fill="auto"/>
                    <w:spacing w:line="240" w:lineRule="auto"/>
                    <w:jc w:val="center"/>
                    <w:rPr>
                      <w:szCs w:val="21"/>
                    </w:rPr>
                  </w:pPr>
                  <w:r>
                    <w:rPr>
                      <w:rFonts w:hint="eastAsia"/>
                      <w:szCs w:val="21"/>
                    </w:rPr>
                    <w:t>少儿图书馆龙岗分馆及其他采购人指定地点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widowControl w:val="0"/>
                    <w:shd w:val="clear" w:color="auto" w:fill="auto"/>
                    <w:spacing w:line="240" w:lineRule="auto"/>
                    <w:jc w:val="center"/>
                    <w:rPr>
                      <w:szCs w:val="21"/>
                    </w:rPr>
                  </w:pPr>
                  <w:r>
                    <w:rPr>
                      <w:rFonts w:hint="eastAsia"/>
                      <w:szCs w:val="21"/>
                    </w:rPr>
                    <w:t>78</w:t>
                  </w:r>
                </w:p>
              </w:tc>
              <w:tc>
                <w:tcPr>
                  <w:tcW w:w="1500" w:type="dxa"/>
                  <w:vAlign w:val="center"/>
                </w:tcPr>
                <w:p>
                  <w:pPr>
                    <w:widowControl w:val="0"/>
                    <w:shd w:val="clear" w:color="auto" w:fill="auto"/>
                    <w:spacing w:line="240" w:lineRule="auto"/>
                    <w:jc w:val="center"/>
                    <w:rPr>
                      <w:szCs w:val="21"/>
                    </w:rPr>
                  </w:pPr>
                  <w:r>
                    <w:rPr>
                      <w:rFonts w:hint="eastAsia"/>
                      <w:szCs w:val="21"/>
                    </w:rPr>
                    <w:t>定做沙发座</w:t>
                  </w:r>
                </w:p>
              </w:tc>
              <w:tc>
                <w:tcPr>
                  <w:tcW w:w="816" w:type="dxa"/>
                  <w:vAlign w:val="center"/>
                </w:tcPr>
                <w:p>
                  <w:pPr>
                    <w:widowControl w:val="0"/>
                    <w:shd w:val="clear" w:color="auto" w:fill="auto"/>
                    <w:spacing w:line="240" w:lineRule="auto"/>
                    <w:jc w:val="center"/>
                    <w:rPr>
                      <w:szCs w:val="21"/>
                    </w:rPr>
                  </w:pPr>
                  <w:r>
                    <w:rPr>
                      <w:rFonts w:hint="eastAsia"/>
                      <w:szCs w:val="21"/>
                    </w:rPr>
                    <w:t>张</w:t>
                  </w:r>
                </w:p>
              </w:tc>
              <w:tc>
                <w:tcPr>
                  <w:tcW w:w="864" w:type="dxa"/>
                  <w:vAlign w:val="center"/>
                </w:tcPr>
                <w:p>
                  <w:pPr>
                    <w:widowControl w:val="0"/>
                    <w:shd w:val="clear" w:color="auto" w:fill="auto"/>
                    <w:spacing w:line="240" w:lineRule="auto"/>
                    <w:jc w:val="center"/>
                    <w:rPr>
                      <w:szCs w:val="21"/>
                    </w:rPr>
                  </w:pPr>
                  <w:r>
                    <w:rPr>
                      <w:rFonts w:hint="eastAsia"/>
                      <w:szCs w:val="21"/>
                    </w:rPr>
                    <w:t>4</w:t>
                  </w:r>
                </w:p>
              </w:tc>
              <w:tc>
                <w:tcPr>
                  <w:tcW w:w="2832" w:type="dxa"/>
                  <w:vAlign w:val="center"/>
                </w:tcPr>
                <w:p>
                  <w:pPr>
                    <w:widowControl w:val="0"/>
                    <w:shd w:val="clear" w:color="auto" w:fill="auto"/>
                    <w:spacing w:line="240" w:lineRule="auto"/>
                    <w:jc w:val="center"/>
                    <w:rPr>
                      <w:szCs w:val="21"/>
                    </w:rPr>
                  </w:pPr>
                  <w:r>
                    <w:rPr>
                      <w:rFonts w:hint="eastAsia"/>
                      <w:szCs w:val="21"/>
                    </w:rPr>
                    <w:t>打包、搬迁运输、按要求放置到指定位置</w:t>
                  </w:r>
                </w:p>
              </w:tc>
              <w:tc>
                <w:tcPr>
                  <w:tcW w:w="1715" w:type="dxa"/>
                  <w:vAlign w:val="center"/>
                </w:tcPr>
                <w:p>
                  <w:pPr>
                    <w:widowControl w:val="0"/>
                    <w:shd w:val="clear" w:color="auto" w:fill="auto"/>
                    <w:spacing w:line="240" w:lineRule="auto"/>
                    <w:jc w:val="center"/>
                    <w:rPr>
                      <w:szCs w:val="21"/>
                    </w:rPr>
                  </w:pPr>
                  <w:r>
                    <w:rPr>
                      <w:rFonts w:hint="eastAsia"/>
                      <w:szCs w:val="21"/>
                    </w:rPr>
                    <w:t>少儿图书馆龙岗分馆及其他采购人指定地点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widowControl w:val="0"/>
                    <w:shd w:val="clear" w:color="auto" w:fill="auto"/>
                    <w:spacing w:line="240" w:lineRule="auto"/>
                    <w:jc w:val="center"/>
                    <w:rPr>
                      <w:szCs w:val="21"/>
                    </w:rPr>
                  </w:pPr>
                  <w:r>
                    <w:rPr>
                      <w:rFonts w:hint="eastAsia"/>
                      <w:szCs w:val="21"/>
                    </w:rPr>
                    <w:t>79</w:t>
                  </w:r>
                </w:p>
              </w:tc>
              <w:tc>
                <w:tcPr>
                  <w:tcW w:w="1500" w:type="dxa"/>
                  <w:vAlign w:val="center"/>
                </w:tcPr>
                <w:p>
                  <w:pPr>
                    <w:widowControl w:val="0"/>
                    <w:shd w:val="clear" w:color="auto" w:fill="auto"/>
                    <w:spacing w:line="240" w:lineRule="auto"/>
                    <w:jc w:val="center"/>
                    <w:rPr>
                      <w:szCs w:val="21"/>
                    </w:rPr>
                  </w:pPr>
                  <w:r>
                    <w:rPr>
                      <w:rFonts w:hint="eastAsia"/>
                      <w:szCs w:val="21"/>
                    </w:rPr>
                    <w:t>家庭阅览区三人沙发</w:t>
                  </w:r>
                </w:p>
              </w:tc>
              <w:tc>
                <w:tcPr>
                  <w:tcW w:w="816" w:type="dxa"/>
                  <w:vAlign w:val="center"/>
                </w:tcPr>
                <w:p>
                  <w:pPr>
                    <w:widowControl w:val="0"/>
                    <w:shd w:val="clear" w:color="auto" w:fill="auto"/>
                    <w:spacing w:line="240" w:lineRule="auto"/>
                    <w:jc w:val="center"/>
                    <w:rPr>
                      <w:szCs w:val="21"/>
                    </w:rPr>
                  </w:pPr>
                  <w:r>
                    <w:rPr>
                      <w:rFonts w:hint="eastAsia"/>
                      <w:szCs w:val="21"/>
                    </w:rPr>
                    <w:t>张</w:t>
                  </w:r>
                </w:p>
              </w:tc>
              <w:tc>
                <w:tcPr>
                  <w:tcW w:w="864" w:type="dxa"/>
                  <w:vAlign w:val="center"/>
                </w:tcPr>
                <w:p>
                  <w:pPr>
                    <w:widowControl w:val="0"/>
                    <w:shd w:val="clear" w:color="auto" w:fill="auto"/>
                    <w:spacing w:line="240" w:lineRule="auto"/>
                    <w:jc w:val="center"/>
                    <w:rPr>
                      <w:szCs w:val="21"/>
                    </w:rPr>
                  </w:pPr>
                  <w:r>
                    <w:rPr>
                      <w:rFonts w:hint="eastAsia"/>
                      <w:szCs w:val="21"/>
                    </w:rPr>
                    <w:t>1</w:t>
                  </w:r>
                </w:p>
              </w:tc>
              <w:tc>
                <w:tcPr>
                  <w:tcW w:w="2832" w:type="dxa"/>
                  <w:vAlign w:val="center"/>
                </w:tcPr>
                <w:p>
                  <w:pPr>
                    <w:widowControl w:val="0"/>
                    <w:shd w:val="clear" w:color="auto" w:fill="auto"/>
                    <w:spacing w:line="240" w:lineRule="auto"/>
                    <w:jc w:val="center"/>
                    <w:rPr>
                      <w:szCs w:val="21"/>
                    </w:rPr>
                  </w:pPr>
                  <w:r>
                    <w:rPr>
                      <w:rFonts w:hint="eastAsia"/>
                      <w:szCs w:val="21"/>
                    </w:rPr>
                    <w:t>打包、搬迁运输、按要求放置到指定位置</w:t>
                  </w:r>
                </w:p>
              </w:tc>
              <w:tc>
                <w:tcPr>
                  <w:tcW w:w="1715" w:type="dxa"/>
                  <w:vAlign w:val="center"/>
                </w:tcPr>
                <w:p>
                  <w:pPr>
                    <w:widowControl w:val="0"/>
                    <w:shd w:val="clear" w:color="auto" w:fill="auto"/>
                    <w:spacing w:line="240" w:lineRule="auto"/>
                    <w:jc w:val="center"/>
                    <w:rPr>
                      <w:szCs w:val="21"/>
                    </w:rPr>
                  </w:pPr>
                  <w:r>
                    <w:rPr>
                      <w:rFonts w:hint="eastAsia"/>
                      <w:szCs w:val="21"/>
                    </w:rPr>
                    <w:t>少儿图书馆龙岗分馆及其他采购人指定地点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widowControl w:val="0"/>
                    <w:shd w:val="clear" w:color="auto" w:fill="auto"/>
                    <w:spacing w:line="240" w:lineRule="auto"/>
                    <w:jc w:val="center"/>
                    <w:rPr>
                      <w:szCs w:val="21"/>
                    </w:rPr>
                  </w:pPr>
                  <w:r>
                    <w:rPr>
                      <w:rFonts w:hint="eastAsia"/>
                      <w:szCs w:val="21"/>
                    </w:rPr>
                    <w:t>80</w:t>
                  </w:r>
                </w:p>
              </w:tc>
              <w:tc>
                <w:tcPr>
                  <w:tcW w:w="1500" w:type="dxa"/>
                  <w:vAlign w:val="center"/>
                </w:tcPr>
                <w:p>
                  <w:pPr>
                    <w:widowControl w:val="0"/>
                    <w:shd w:val="clear" w:color="auto" w:fill="auto"/>
                    <w:spacing w:line="240" w:lineRule="auto"/>
                    <w:jc w:val="center"/>
                    <w:rPr>
                      <w:szCs w:val="21"/>
                    </w:rPr>
                  </w:pPr>
                  <w:r>
                    <w:rPr>
                      <w:rFonts w:hint="eastAsia"/>
                      <w:szCs w:val="21"/>
                    </w:rPr>
                    <w:t>卡斯塔三人沙发</w:t>
                  </w:r>
                </w:p>
              </w:tc>
              <w:tc>
                <w:tcPr>
                  <w:tcW w:w="816" w:type="dxa"/>
                  <w:vAlign w:val="center"/>
                </w:tcPr>
                <w:p>
                  <w:pPr>
                    <w:widowControl w:val="0"/>
                    <w:shd w:val="clear" w:color="auto" w:fill="auto"/>
                    <w:spacing w:line="240" w:lineRule="auto"/>
                    <w:jc w:val="center"/>
                    <w:rPr>
                      <w:szCs w:val="21"/>
                    </w:rPr>
                  </w:pPr>
                  <w:r>
                    <w:rPr>
                      <w:rFonts w:hint="eastAsia"/>
                      <w:szCs w:val="21"/>
                    </w:rPr>
                    <w:t>张</w:t>
                  </w:r>
                </w:p>
              </w:tc>
              <w:tc>
                <w:tcPr>
                  <w:tcW w:w="864" w:type="dxa"/>
                  <w:vAlign w:val="center"/>
                </w:tcPr>
                <w:p>
                  <w:pPr>
                    <w:widowControl w:val="0"/>
                    <w:shd w:val="clear" w:color="auto" w:fill="auto"/>
                    <w:spacing w:line="240" w:lineRule="auto"/>
                    <w:jc w:val="center"/>
                    <w:rPr>
                      <w:szCs w:val="21"/>
                    </w:rPr>
                  </w:pPr>
                  <w:r>
                    <w:rPr>
                      <w:rFonts w:hint="eastAsia"/>
                      <w:szCs w:val="21"/>
                    </w:rPr>
                    <w:t>1</w:t>
                  </w:r>
                </w:p>
              </w:tc>
              <w:tc>
                <w:tcPr>
                  <w:tcW w:w="2832" w:type="dxa"/>
                  <w:vAlign w:val="center"/>
                </w:tcPr>
                <w:p>
                  <w:pPr>
                    <w:widowControl w:val="0"/>
                    <w:shd w:val="clear" w:color="auto" w:fill="auto"/>
                    <w:spacing w:line="240" w:lineRule="auto"/>
                    <w:jc w:val="center"/>
                    <w:rPr>
                      <w:szCs w:val="21"/>
                    </w:rPr>
                  </w:pPr>
                  <w:r>
                    <w:rPr>
                      <w:rFonts w:hint="eastAsia"/>
                      <w:szCs w:val="21"/>
                    </w:rPr>
                    <w:t>打包、搬迁运输、按要求放置到指定位置</w:t>
                  </w:r>
                </w:p>
              </w:tc>
              <w:tc>
                <w:tcPr>
                  <w:tcW w:w="1715" w:type="dxa"/>
                  <w:vAlign w:val="center"/>
                </w:tcPr>
                <w:p>
                  <w:pPr>
                    <w:widowControl w:val="0"/>
                    <w:shd w:val="clear" w:color="auto" w:fill="auto"/>
                    <w:spacing w:line="240" w:lineRule="auto"/>
                    <w:jc w:val="center"/>
                    <w:rPr>
                      <w:szCs w:val="21"/>
                    </w:rPr>
                  </w:pPr>
                  <w:r>
                    <w:rPr>
                      <w:rFonts w:hint="eastAsia"/>
                      <w:szCs w:val="21"/>
                    </w:rPr>
                    <w:t>少儿图书馆龙岗分馆及其他采购人指定地点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widowControl w:val="0"/>
                    <w:shd w:val="clear" w:color="auto" w:fill="auto"/>
                    <w:spacing w:line="240" w:lineRule="auto"/>
                    <w:jc w:val="center"/>
                    <w:rPr>
                      <w:szCs w:val="21"/>
                    </w:rPr>
                  </w:pPr>
                  <w:r>
                    <w:rPr>
                      <w:rFonts w:hint="eastAsia"/>
                      <w:szCs w:val="21"/>
                    </w:rPr>
                    <w:t>81</w:t>
                  </w:r>
                </w:p>
              </w:tc>
              <w:tc>
                <w:tcPr>
                  <w:tcW w:w="1500" w:type="dxa"/>
                  <w:vAlign w:val="center"/>
                </w:tcPr>
                <w:p>
                  <w:pPr>
                    <w:widowControl w:val="0"/>
                    <w:shd w:val="clear" w:color="auto" w:fill="auto"/>
                    <w:spacing w:line="240" w:lineRule="auto"/>
                    <w:jc w:val="center"/>
                    <w:rPr>
                      <w:szCs w:val="21"/>
                    </w:rPr>
                  </w:pPr>
                  <w:r>
                    <w:rPr>
                      <w:rFonts w:hint="eastAsia"/>
                      <w:szCs w:val="21"/>
                    </w:rPr>
                    <w:t>沙发长凳</w:t>
                  </w:r>
                </w:p>
              </w:tc>
              <w:tc>
                <w:tcPr>
                  <w:tcW w:w="816" w:type="dxa"/>
                  <w:vAlign w:val="center"/>
                </w:tcPr>
                <w:p>
                  <w:pPr>
                    <w:widowControl w:val="0"/>
                    <w:shd w:val="clear" w:color="auto" w:fill="auto"/>
                    <w:spacing w:line="240" w:lineRule="auto"/>
                    <w:jc w:val="center"/>
                    <w:rPr>
                      <w:szCs w:val="21"/>
                    </w:rPr>
                  </w:pPr>
                  <w:r>
                    <w:rPr>
                      <w:rFonts w:hint="eastAsia"/>
                      <w:szCs w:val="21"/>
                    </w:rPr>
                    <w:t>张</w:t>
                  </w:r>
                </w:p>
              </w:tc>
              <w:tc>
                <w:tcPr>
                  <w:tcW w:w="864" w:type="dxa"/>
                  <w:vAlign w:val="center"/>
                </w:tcPr>
                <w:p>
                  <w:pPr>
                    <w:widowControl w:val="0"/>
                    <w:shd w:val="clear" w:color="auto" w:fill="auto"/>
                    <w:spacing w:line="240" w:lineRule="auto"/>
                    <w:jc w:val="center"/>
                    <w:rPr>
                      <w:szCs w:val="21"/>
                    </w:rPr>
                  </w:pPr>
                  <w:r>
                    <w:rPr>
                      <w:rFonts w:hint="eastAsia"/>
                      <w:szCs w:val="21"/>
                    </w:rPr>
                    <w:t>9</w:t>
                  </w:r>
                </w:p>
              </w:tc>
              <w:tc>
                <w:tcPr>
                  <w:tcW w:w="2832" w:type="dxa"/>
                  <w:vAlign w:val="center"/>
                </w:tcPr>
                <w:p>
                  <w:pPr>
                    <w:widowControl w:val="0"/>
                    <w:shd w:val="clear" w:color="auto" w:fill="auto"/>
                    <w:spacing w:line="240" w:lineRule="auto"/>
                    <w:jc w:val="center"/>
                    <w:rPr>
                      <w:szCs w:val="21"/>
                    </w:rPr>
                  </w:pPr>
                  <w:r>
                    <w:rPr>
                      <w:rFonts w:hint="eastAsia"/>
                      <w:szCs w:val="21"/>
                    </w:rPr>
                    <w:t>打包、搬迁运输、按要求放置到指定位置</w:t>
                  </w:r>
                </w:p>
              </w:tc>
              <w:tc>
                <w:tcPr>
                  <w:tcW w:w="1715" w:type="dxa"/>
                  <w:vAlign w:val="center"/>
                </w:tcPr>
                <w:p>
                  <w:pPr>
                    <w:widowControl w:val="0"/>
                    <w:shd w:val="clear" w:color="auto" w:fill="auto"/>
                    <w:spacing w:line="240" w:lineRule="auto"/>
                    <w:jc w:val="center"/>
                    <w:rPr>
                      <w:szCs w:val="21"/>
                    </w:rPr>
                  </w:pPr>
                  <w:r>
                    <w:rPr>
                      <w:rFonts w:hint="eastAsia"/>
                      <w:szCs w:val="21"/>
                    </w:rPr>
                    <w:t>少儿图书馆龙岗分馆及其他采购人指定地点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widowControl w:val="0"/>
                    <w:shd w:val="clear" w:color="auto" w:fill="auto"/>
                    <w:spacing w:line="240" w:lineRule="auto"/>
                    <w:jc w:val="center"/>
                    <w:rPr>
                      <w:szCs w:val="21"/>
                    </w:rPr>
                  </w:pPr>
                  <w:r>
                    <w:rPr>
                      <w:rFonts w:hint="eastAsia"/>
                      <w:szCs w:val="21"/>
                    </w:rPr>
                    <w:t>82</w:t>
                  </w:r>
                </w:p>
              </w:tc>
              <w:tc>
                <w:tcPr>
                  <w:tcW w:w="1500" w:type="dxa"/>
                  <w:vAlign w:val="center"/>
                </w:tcPr>
                <w:p>
                  <w:pPr>
                    <w:widowControl w:val="0"/>
                    <w:shd w:val="clear" w:color="auto" w:fill="auto"/>
                    <w:spacing w:line="240" w:lineRule="auto"/>
                    <w:jc w:val="center"/>
                    <w:rPr>
                      <w:szCs w:val="21"/>
                    </w:rPr>
                  </w:pPr>
                  <w:r>
                    <w:rPr>
                      <w:rFonts w:hint="eastAsia"/>
                      <w:szCs w:val="21"/>
                    </w:rPr>
                    <w:t>多媒体茶水柜</w:t>
                  </w:r>
                </w:p>
              </w:tc>
              <w:tc>
                <w:tcPr>
                  <w:tcW w:w="816" w:type="dxa"/>
                  <w:vAlign w:val="center"/>
                </w:tcPr>
                <w:p>
                  <w:pPr>
                    <w:widowControl w:val="0"/>
                    <w:shd w:val="clear" w:color="auto" w:fill="auto"/>
                    <w:spacing w:line="240" w:lineRule="auto"/>
                    <w:jc w:val="center"/>
                    <w:rPr>
                      <w:szCs w:val="21"/>
                    </w:rPr>
                  </w:pPr>
                  <w:r>
                    <w:rPr>
                      <w:rFonts w:hint="eastAsia"/>
                      <w:szCs w:val="21"/>
                    </w:rPr>
                    <w:t>个</w:t>
                  </w:r>
                </w:p>
              </w:tc>
              <w:tc>
                <w:tcPr>
                  <w:tcW w:w="864" w:type="dxa"/>
                  <w:vAlign w:val="center"/>
                </w:tcPr>
                <w:p>
                  <w:pPr>
                    <w:widowControl w:val="0"/>
                    <w:shd w:val="clear" w:color="auto" w:fill="auto"/>
                    <w:spacing w:line="240" w:lineRule="auto"/>
                    <w:jc w:val="center"/>
                    <w:rPr>
                      <w:szCs w:val="21"/>
                    </w:rPr>
                  </w:pPr>
                  <w:r>
                    <w:rPr>
                      <w:rFonts w:hint="eastAsia"/>
                      <w:szCs w:val="21"/>
                    </w:rPr>
                    <w:t>1</w:t>
                  </w:r>
                </w:p>
              </w:tc>
              <w:tc>
                <w:tcPr>
                  <w:tcW w:w="2832" w:type="dxa"/>
                  <w:vAlign w:val="center"/>
                </w:tcPr>
                <w:p>
                  <w:pPr>
                    <w:widowControl w:val="0"/>
                    <w:shd w:val="clear" w:color="auto" w:fill="auto"/>
                    <w:spacing w:line="240" w:lineRule="auto"/>
                    <w:jc w:val="center"/>
                    <w:rPr>
                      <w:szCs w:val="21"/>
                    </w:rPr>
                  </w:pPr>
                  <w:r>
                    <w:rPr>
                      <w:rFonts w:hint="eastAsia"/>
                      <w:szCs w:val="21"/>
                    </w:rPr>
                    <w:t>打包、搬迁运输、按要求放置到指定位置</w:t>
                  </w:r>
                </w:p>
              </w:tc>
              <w:tc>
                <w:tcPr>
                  <w:tcW w:w="1715" w:type="dxa"/>
                  <w:vAlign w:val="center"/>
                </w:tcPr>
                <w:p>
                  <w:pPr>
                    <w:widowControl w:val="0"/>
                    <w:shd w:val="clear" w:color="auto" w:fill="auto"/>
                    <w:spacing w:line="240" w:lineRule="auto"/>
                    <w:jc w:val="center"/>
                    <w:rPr>
                      <w:szCs w:val="21"/>
                    </w:rPr>
                  </w:pPr>
                  <w:r>
                    <w:rPr>
                      <w:rFonts w:hint="eastAsia"/>
                      <w:szCs w:val="21"/>
                    </w:rPr>
                    <w:t>少儿图书馆龙岗分馆及其他采购人指定地点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widowControl w:val="0"/>
                    <w:shd w:val="clear" w:color="auto" w:fill="auto"/>
                    <w:spacing w:line="240" w:lineRule="auto"/>
                    <w:jc w:val="center"/>
                    <w:rPr>
                      <w:szCs w:val="21"/>
                    </w:rPr>
                  </w:pPr>
                  <w:r>
                    <w:rPr>
                      <w:rFonts w:hint="eastAsia"/>
                      <w:szCs w:val="21"/>
                    </w:rPr>
                    <w:t>83</w:t>
                  </w:r>
                </w:p>
              </w:tc>
              <w:tc>
                <w:tcPr>
                  <w:tcW w:w="1500" w:type="dxa"/>
                  <w:vAlign w:val="center"/>
                </w:tcPr>
                <w:p>
                  <w:pPr>
                    <w:widowControl w:val="0"/>
                    <w:shd w:val="clear" w:color="auto" w:fill="auto"/>
                    <w:spacing w:line="240" w:lineRule="auto"/>
                    <w:jc w:val="center"/>
                    <w:rPr>
                      <w:szCs w:val="21"/>
                    </w:rPr>
                  </w:pPr>
                  <w:r>
                    <w:rPr>
                      <w:rFonts w:hint="eastAsia"/>
                      <w:szCs w:val="21"/>
                    </w:rPr>
                    <w:t>防磁柜</w:t>
                  </w:r>
                </w:p>
              </w:tc>
              <w:tc>
                <w:tcPr>
                  <w:tcW w:w="816" w:type="dxa"/>
                  <w:vAlign w:val="center"/>
                </w:tcPr>
                <w:p>
                  <w:pPr>
                    <w:widowControl w:val="0"/>
                    <w:shd w:val="clear" w:color="auto" w:fill="auto"/>
                    <w:spacing w:line="240" w:lineRule="auto"/>
                    <w:jc w:val="center"/>
                    <w:rPr>
                      <w:szCs w:val="21"/>
                    </w:rPr>
                  </w:pPr>
                  <w:r>
                    <w:rPr>
                      <w:rFonts w:hint="eastAsia"/>
                      <w:szCs w:val="21"/>
                    </w:rPr>
                    <w:t>个</w:t>
                  </w:r>
                </w:p>
              </w:tc>
              <w:tc>
                <w:tcPr>
                  <w:tcW w:w="864" w:type="dxa"/>
                  <w:vAlign w:val="center"/>
                </w:tcPr>
                <w:p>
                  <w:pPr>
                    <w:widowControl w:val="0"/>
                    <w:shd w:val="clear" w:color="auto" w:fill="auto"/>
                    <w:spacing w:line="240" w:lineRule="auto"/>
                    <w:jc w:val="center"/>
                    <w:rPr>
                      <w:szCs w:val="21"/>
                    </w:rPr>
                  </w:pPr>
                  <w:r>
                    <w:rPr>
                      <w:rFonts w:hint="eastAsia"/>
                      <w:szCs w:val="21"/>
                    </w:rPr>
                    <w:t>1</w:t>
                  </w:r>
                </w:p>
              </w:tc>
              <w:tc>
                <w:tcPr>
                  <w:tcW w:w="2832" w:type="dxa"/>
                  <w:vAlign w:val="center"/>
                </w:tcPr>
                <w:p>
                  <w:pPr>
                    <w:widowControl w:val="0"/>
                    <w:shd w:val="clear" w:color="auto" w:fill="auto"/>
                    <w:spacing w:line="240" w:lineRule="auto"/>
                    <w:jc w:val="center"/>
                    <w:rPr>
                      <w:szCs w:val="21"/>
                    </w:rPr>
                  </w:pPr>
                  <w:r>
                    <w:rPr>
                      <w:rFonts w:hint="eastAsia"/>
                      <w:szCs w:val="21"/>
                    </w:rPr>
                    <w:t>打包、搬迁运输、按要求放置到指定位置</w:t>
                  </w:r>
                </w:p>
              </w:tc>
              <w:tc>
                <w:tcPr>
                  <w:tcW w:w="1715" w:type="dxa"/>
                  <w:vAlign w:val="center"/>
                </w:tcPr>
                <w:p>
                  <w:pPr>
                    <w:widowControl w:val="0"/>
                    <w:shd w:val="clear" w:color="auto" w:fill="auto"/>
                    <w:spacing w:line="240" w:lineRule="auto"/>
                    <w:jc w:val="center"/>
                    <w:rPr>
                      <w:szCs w:val="21"/>
                    </w:rPr>
                  </w:pPr>
                  <w:r>
                    <w:rPr>
                      <w:rFonts w:hint="eastAsia"/>
                      <w:szCs w:val="21"/>
                    </w:rPr>
                    <w:t>少儿图书馆龙岗分馆及其他采购人指定地点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widowControl w:val="0"/>
                    <w:shd w:val="clear" w:color="auto" w:fill="auto"/>
                    <w:spacing w:line="240" w:lineRule="auto"/>
                    <w:jc w:val="center"/>
                    <w:rPr>
                      <w:szCs w:val="21"/>
                    </w:rPr>
                  </w:pPr>
                  <w:r>
                    <w:rPr>
                      <w:rFonts w:hint="eastAsia"/>
                      <w:szCs w:val="21"/>
                    </w:rPr>
                    <w:t>84</w:t>
                  </w:r>
                </w:p>
              </w:tc>
              <w:tc>
                <w:tcPr>
                  <w:tcW w:w="1500" w:type="dxa"/>
                  <w:vAlign w:val="center"/>
                </w:tcPr>
                <w:p>
                  <w:pPr>
                    <w:widowControl w:val="0"/>
                    <w:shd w:val="clear" w:color="auto" w:fill="auto"/>
                    <w:spacing w:line="240" w:lineRule="auto"/>
                    <w:jc w:val="center"/>
                    <w:rPr>
                      <w:szCs w:val="21"/>
                    </w:rPr>
                  </w:pPr>
                  <w:r>
                    <w:rPr>
                      <w:rFonts w:hint="eastAsia"/>
                      <w:szCs w:val="21"/>
                    </w:rPr>
                    <w:t>汉尼斯坡门柜</w:t>
                  </w:r>
                </w:p>
              </w:tc>
              <w:tc>
                <w:tcPr>
                  <w:tcW w:w="816" w:type="dxa"/>
                  <w:vAlign w:val="center"/>
                </w:tcPr>
                <w:p>
                  <w:pPr>
                    <w:widowControl w:val="0"/>
                    <w:shd w:val="clear" w:color="auto" w:fill="auto"/>
                    <w:spacing w:line="240" w:lineRule="auto"/>
                    <w:jc w:val="center"/>
                    <w:rPr>
                      <w:szCs w:val="21"/>
                    </w:rPr>
                  </w:pPr>
                  <w:r>
                    <w:rPr>
                      <w:rFonts w:hint="eastAsia"/>
                      <w:szCs w:val="21"/>
                    </w:rPr>
                    <w:t>个</w:t>
                  </w:r>
                </w:p>
              </w:tc>
              <w:tc>
                <w:tcPr>
                  <w:tcW w:w="864" w:type="dxa"/>
                  <w:vAlign w:val="center"/>
                </w:tcPr>
                <w:p>
                  <w:pPr>
                    <w:widowControl w:val="0"/>
                    <w:shd w:val="clear" w:color="auto" w:fill="auto"/>
                    <w:spacing w:line="240" w:lineRule="auto"/>
                    <w:jc w:val="center"/>
                    <w:rPr>
                      <w:szCs w:val="21"/>
                    </w:rPr>
                  </w:pPr>
                  <w:r>
                    <w:rPr>
                      <w:rFonts w:hint="eastAsia"/>
                      <w:szCs w:val="21"/>
                    </w:rPr>
                    <w:t>2</w:t>
                  </w:r>
                </w:p>
              </w:tc>
              <w:tc>
                <w:tcPr>
                  <w:tcW w:w="2832" w:type="dxa"/>
                  <w:vAlign w:val="center"/>
                </w:tcPr>
                <w:p>
                  <w:pPr>
                    <w:widowControl w:val="0"/>
                    <w:shd w:val="clear" w:color="auto" w:fill="auto"/>
                    <w:spacing w:line="240" w:lineRule="auto"/>
                    <w:jc w:val="center"/>
                    <w:rPr>
                      <w:szCs w:val="21"/>
                    </w:rPr>
                  </w:pPr>
                  <w:r>
                    <w:rPr>
                      <w:rFonts w:hint="eastAsia"/>
                      <w:szCs w:val="21"/>
                    </w:rPr>
                    <w:t>拆装、打包、搬运、安放</w:t>
                  </w:r>
                </w:p>
              </w:tc>
              <w:tc>
                <w:tcPr>
                  <w:tcW w:w="1715" w:type="dxa"/>
                  <w:vAlign w:val="center"/>
                </w:tcPr>
                <w:p>
                  <w:pPr>
                    <w:widowControl w:val="0"/>
                    <w:shd w:val="clear" w:color="auto" w:fill="auto"/>
                    <w:spacing w:line="240" w:lineRule="auto"/>
                    <w:jc w:val="center"/>
                    <w:rPr>
                      <w:szCs w:val="21"/>
                    </w:rPr>
                  </w:pPr>
                  <w:r>
                    <w:rPr>
                      <w:rFonts w:hint="eastAsia"/>
                      <w:szCs w:val="21"/>
                    </w:rPr>
                    <w:t>少儿图书馆龙岗分馆及其他采购人指定地点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widowControl w:val="0"/>
                    <w:shd w:val="clear" w:color="auto" w:fill="auto"/>
                    <w:spacing w:line="240" w:lineRule="auto"/>
                    <w:jc w:val="center"/>
                    <w:rPr>
                      <w:szCs w:val="21"/>
                    </w:rPr>
                  </w:pPr>
                  <w:r>
                    <w:rPr>
                      <w:rFonts w:hint="eastAsia"/>
                      <w:szCs w:val="21"/>
                    </w:rPr>
                    <w:t>85</w:t>
                  </w:r>
                </w:p>
              </w:tc>
              <w:tc>
                <w:tcPr>
                  <w:tcW w:w="1500" w:type="dxa"/>
                  <w:vAlign w:val="center"/>
                </w:tcPr>
                <w:p>
                  <w:pPr>
                    <w:widowControl w:val="0"/>
                    <w:shd w:val="clear" w:color="auto" w:fill="auto"/>
                    <w:spacing w:line="240" w:lineRule="auto"/>
                    <w:jc w:val="center"/>
                    <w:rPr>
                      <w:szCs w:val="21"/>
                    </w:rPr>
                  </w:pPr>
                  <w:r>
                    <w:rPr>
                      <w:rFonts w:hint="eastAsia"/>
                      <w:szCs w:val="21"/>
                    </w:rPr>
                    <w:t>佳兰特搁板柜1</w:t>
                  </w:r>
                </w:p>
              </w:tc>
              <w:tc>
                <w:tcPr>
                  <w:tcW w:w="816" w:type="dxa"/>
                  <w:vAlign w:val="center"/>
                </w:tcPr>
                <w:p>
                  <w:pPr>
                    <w:widowControl w:val="0"/>
                    <w:shd w:val="clear" w:color="auto" w:fill="auto"/>
                    <w:spacing w:line="240" w:lineRule="auto"/>
                    <w:jc w:val="center"/>
                    <w:rPr>
                      <w:szCs w:val="21"/>
                    </w:rPr>
                  </w:pPr>
                  <w:r>
                    <w:rPr>
                      <w:rFonts w:hint="eastAsia"/>
                      <w:szCs w:val="21"/>
                    </w:rPr>
                    <w:t>个</w:t>
                  </w:r>
                </w:p>
              </w:tc>
              <w:tc>
                <w:tcPr>
                  <w:tcW w:w="864" w:type="dxa"/>
                  <w:vAlign w:val="center"/>
                </w:tcPr>
                <w:p>
                  <w:pPr>
                    <w:widowControl w:val="0"/>
                    <w:shd w:val="clear" w:color="auto" w:fill="auto"/>
                    <w:spacing w:line="240" w:lineRule="auto"/>
                    <w:jc w:val="center"/>
                    <w:rPr>
                      <w:szCs w:val="21"/>
                    </w:rPr>
                  </w:pPr>
                  <w:r>
                    <w:rPr>
                      <w:rFonts w:hint="eastAsia"/>
                      <w:szCs w:val="21"/>
                    </w:rPr>
                    <w:t>5</w:t>
                  </w:r>
                </w:p>
              </w:tc>
              <w:tc>
                <w:tcPr>
                  <w:tcW w:w="2832" w:type="dxa"/>
                  <w:vAlign w:val="center"/>
                </w:tcPr>
                <w:p>
                  <w:pPr>
                    <w:widowControl w:val="0"/>
                    <w:shd w:val="clear" w:color="auto" w:fill="auto"/>
                    <w:spacing w:line="240" w:lineRule="auto"/>
                    <w:jc w:val="center"/>
                    <w:rPr>
                      <w:szCs w:val="21"/>
                    </w:rPr>
                  </w:pPr>
                  <w:r>
                    <w:rPr>
                      <w:rFonts w:hint="eastAsia"/>
                      <w:szCs w:val="21"/>
                    </w:rPr>
                    <w:t>拆装、打包、搬运、安放</w:t>
                  </w:r>
                </w:p>
              </w:tc>
              <w:tc>
                <w:tcPr>
                  <w:tcW w:w="1715" w:type="dxa"/>
                  <w:vAlign w:val="center"/>
                </w:tcPr>
                <w:p>
                  <w:pPr>
                    <w:widowControl w:val="0"/>
                    <w:shd w:val="clear" w:color="auto" w:fill="auto"/>
                    <w:spacing w:line="240" w:lineRule="auto"/>
                    <w:jc w:val="center"/>
                    <w:rPr>
                      <w:szCs w:val="21"/>
                    </w:rPr>
                  </w:pPr>
                  <w:r>
                    <w:rPr>
                      <w:rFonts w:hint="eastAsia"/>
                      <w:szCs w:val="21"/>
                    </w:rPr>
                    <w:t>少儿图书馆龙岗分馆及其他采购人指定地点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widowControl w:val="0"/>
                    <w:shd w:val="clear" w:color="auto" w:fill="auto"/>
                    <w:spacing w:line="240" w:lineRule="auto"/>
                    <w:jc w:val="center"/>
                    <w:rPr>
                      <w:szCs w:val="21"/>
                    </w:rPr>
                  </w:pPr>
                  <w:r>
                    <w:rPr>
                      <w:rFonts w:hint="eastAsia"/>
                      <w:szCs w:val="21"/>
                    </w:rPr>
                    <w:t>86</w:t>
                  </w:r>
                </w:p>
              </w:tc>
              <w:tc>
                <w:tcPr>
                  <w:tcW w:w="1500" w:type="dxa"/>
                  <w:vAlign w:val="center"/>
                </w:tcPr>
                <w:p>
                  <w:pPr>
                    <w:widowControl w:val="0"/>
                    <w:shd w:val="clear" w:color="auto" w:fill="auto"/>
                    <w:spacing w:line="240" w:lineRule="auto"/>
                    <w:jc w:val="center"/>
                    <w:rPr>
                      <w:szCs w:val="21"/>
                    </w:rPr>
                  </w:pPr>
                  <w:r>
                    <w:rPr>
                      <w:rFonts w:hint="eastAsia"/>
                      <w:szCs w:val="21"/>
                    </w:rPr>
                    <w:t>佳兰特搁板柜2</w:t>
                  </w:r>
                </w:p>
              </w:tc>
              <w:tc>
                <w:tcPr>
                  <w:tcW w:w="816" w:type="dxa"/>
                  <w:vAlign w:val="center"/>
                </w:tcPr>
                <w:p>
                  <w:pPr>
                    <w:widowControl w:val="0"/>
                    <w:shd w:val="clear" w:color="auto" w:fill="auto"/>
                    <w:spacing w:line="240" w:lineRule="auto"/>
                    <w:jc w:val="center"/>
                    <w:rPr>
                      <w:szCs w:val="21"/>
                    </w:rPr>
                  </w:pPr>
                  <w:r>
                    <w:rPr>
                      <w:rFonts w:hint="eastAsia"/>
                      <w:szCs w:val="21"/>
                    </w:rPr>
                    <w:t>个</w:t>
                  </w:r>
                </w:p>
              </w:tc>
              <w:tc>
                <w:tcPr>
                  <w:tcW w:w="864" w:type="dxa"/>
                  <w:vAlign w:val="center"/>
                </w:tcPr>
                <w:p>
                  <w:pPr>
                    <w:widowControl w:val="0"/>
                    <w:shd w:val="clear" w:color="auto" w:fill="auto"/>
                    <w:spacing w:line="240" w:lineRule="auto"/>
                    <w:jc w:val="center"/>
                    <w:rPr>
                      <w:szCs w:val="21"/>
                    </w:rPr>
                  </w:pPr>
                  <w:r>
                    <w:rPr>
                      <w:rFonts w:hint="eastAsia"/>
                      <w:szCs w:val="21"/>
                    </w:rPr>
                    <w:t>7</w:t>
                  </w:r>
                </w:p>
              </w:tc>
              <w:tc>
                <w:tcPr>
                  <w:tcW w:w="2832" w:type="dxa"/>
                  <w:vAlign w:val="center"/>
                </w:tcPr>
                <w:p>
                  <w:pPr>
                    <w:widowControl w:val="0"/>
                    <w:shd w:val="clear" w:color="auto" w:fill="auto"/>
                    <w:spacing w:line="240" w:lineRule="auto"/>
                    <w:jc w:val="center"/>
                    <w:rPr>
                      <w:szCs w:val="21"/>
                    </w:rPr>
                  </w:pPr>
                  <w:r>
                    <w:rPr>
                      <w:rFonts w:hint="eastAsia"/>
                      <w:szCs w:val="21"/>
                    </w:rPr>
                    <w:t>拆装、打包、搬运、安放</w:t>
                  </w:r>
                </w:p>
              </w:tc>
              <w:tc>
                <w:tcPr>
                  <w:tcW w:w="1715" w:type="dxa"/>
                  <w:vAlign w:val="center"/>
                </w:tcPr>
                <w:p>
                  <w:pPr>
                    <w:widowControl w:val="0"/>
                    <w:shd w:val="clear" w:color="auto" w:fill="auto"/>
                    <w:spacing w:line="240" w:lineRule="auto"/>
                    <w:jc w:val="center"/>
                    <w:rPr>
                      <w:szCs w:val="21"/>
                    </w:rPr>
                  </w:pPr>
                  <w:r>
                    <w:rPr>
                      <w:rFonts w:hint="eastAsia"/>
                      <w:szCs w:val="21"/>
                    </w:rPr>
                    <w:t>少儿图书馆龙岗分馆及其他采购人指定地点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widowControl w:val="0"/>
                    <w:shd w:val="clear" w:color="auto" w:fill="auto"/>
                    <w:spacing w:line="240" w:lineRule="auto"/>
                    <w:jc w:val="center"/>
                    <w:rPr>
                      <w:szCs w:val="21"/>
                    </w:rPr>
                  </w:pPr>
                  <w:r>
                    <w:rPr>
                      <w:rFonts w:hint="eastAsia"/>
                      <w:szCs w:val="21"/>
                    </w:rPr>
                    <w:t>87</w:t>
                  </w:r>
                </w:p>
              </w:tc>
              <w:tc>
                <w:tcPr>
                  <w:tcW w:w="1500" w:type="dxa"/>
                  <w:vAlign w:val="center"/>
                </w:tcPr>
                <w:p>
                  <w:pPr>
                    <w:widowControl w:val="0"/>
                    <w:shd w:val="clear" w:color="auto" w:fill="auto"/>
                    <w:spacing w:line="240" w:lineRule="auto"/>
                    <w:jc w:val="center"/>
                    <w:rPr>
                      <w:szCs w:val="21"/>
                    </w:rPr>
                  </w:pPr>
                  <w:r>
                    <w:rPr>
                      <w:rFonts w:hint="eastAsia"/>
                      <w:szCs w:val="21"/>
                    </w:rPr>
                    <w:t>家庭教育区书柜01</w:t>
                  </w:r>
                </w:p>
              </w:tc>
              <w:tc>
                <w:tcPr>
                  <w:tcW w:w="816" w:type="dxa"/>
                  <w:vAlign w:val="center"/>
                </w:tcPr>
                <w:p>
                  <w:pPr>
                    <w:widowControl w:val="0"/>
                    <w:shd w:val="clear" w:color="auto" w:fill="auto"/>
                    <w:spacing w:line="240" w:lineRule="auto"/>
                    <w:jc w:val="center"/>
                    <w:rPr>
                      <w:szCs w:val="21"/>
                    </w:rPr>
                  </w:pPr>
                  <w:r>
                    <w:rPr>
                      <w:rFonts w:hint="eastAsia"/>
                      <w:szCs w:val="21"/>
                    </w:rPr>
                    <w:t>个</w:t>
                  </w:r>
                </w:p>
              </w:tc>
              <w:tc>
                <w:tcPr>
                  <w:tcW w:w="864" w:type="dxa"/>
                  <w:vAlign w:val="center"/>
                </w:tcPr>
                <w:p>
                  <w:pPr>
                    <w:widowControl w:val="0"/>
                    <w:shd w:val="clear" w:color="auto" w:fill="auto"/>
                    <w:spacing w:line="240" w:lineRule="auto"/>
                    <w:jc w:val="center"/>
                    <w:rPr>
                      <w:szCs w:val="21"/>
                    </w:rPr>
                  </w:pPr>
                  <w:r>
                    <w:rPr>
                      <w:rFonts w:hint="eastAsia"/>
                      <w:szCs w:val="21"/>
                    </w:rPr>
                    <w:t>4</w:t>
                  </w:r>
                </w:p>
              </w:tc>
              <w:tc>
                <w:tcPr>
                  <w:tcW w:w="2832" w:type="dxa"/>
                  <w:vAlign w:val="center"/>
                </w:tcPr>
                <w:p>
                  <w:pPr>
                    <w:widowControl w:val="0"/>
                    <w:shd w:val="clear" w:color="auto" w:fill="auto"/>
                    <w:spacing w:line="240" w:lineRule="auto"/>
                    <w:jc w:val="center"/>
                    <w:rPr>
                      <w:szCs w:val="21"/>
                    </w:rPr>
                  </w:pPr>
                  <w:r>
                    <w:rPr>
                      <w:rFonts w:hint="eastAsia"/>
                      <w:szCs w:val="21"/>
                    </w:rPr>
                    <w:t>拆装、打包、搬运、安放</w:t>
                  </w:r>
                </w:p>
              </w:tc>
              <w:tc>
                <w:tcPr>
                  <w:tcW w:w="1715" w:type="dxa"/>
                  <w:vAlign w:val="center"/>
                </w:tcPr>
                <w:p>
                  <w:pPr>
                    <w:widowControl w:val="0"/>
                    <w:shd w:val="clear" w:color="auto" w:fill="auto"/>
                    <w:spacing w:line="240" w:lineRule="auto"/>
                    <w:jc w:val="center"/>
                    <w:rPr>
                      <w:szCs w:val="21"/>
                    </w:rPr>
                  </w:pPr>
                  <w:r>
                    <w:rPr>
                      <w:rFonts w:hint="eastAsia"/>
                      <w:szCs w:val="21"/>
                    </w:rPr>
                    <w:t>少儿图书馆龙岗分馆及其他采购人指定地点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widowControl w:val="0"/>
                    <w:shd w:val="clear" w:color="auto" w:fill="auto"/>
                    <w:spacing w:line="240" w:lineRule="auto"/>
                    <w:jc w:val="center"/>
                    <w:rPr>
                      <w:szCs w:val="21"/>
                    </w:rPr>
                  </w:pPr>
                  <w:r>
                    <w:rPr>
                      <w:rFonts w:hint="eastAsia"/>
                      <w:szCs w:val="21"/>
                    </w:rPr>
                    <w:t>88</w:t>
                  </w:r>
                </w:p>
              </w:tc>
              <w:tc>
                <w:tcPr>
                  <w:tcW w:w="1500" w:type="dxa"/>
                  <w:vAlign w:val="center"/>
                </w:tcPr>
                <w:p>
                  <w:pPr>
                    <w:widowControl w:val="0"/>
                    <w:shd w:val="clear" w:color="auto" w:fill="auto"/>
                    <w:spacing w:line="240" w:lineRule="auto"/>
                    <w:jc w:val="center"/>
                    <w:rPr>
                      <w:szCs w:val="21"/>
                    </w:rPr>
                  </w:pPr>
                  <w:r>
                    <w:rPr>
                      <w:rFonts w:hint="eastAsia"/>
                      <w:szCs w:val="21"/>
                    </w:rPr>
                    <w:t>家庭教育区书柜02</w:t>
                  </w:r>
                </w:p>
              </w:tc>
              <w:tc>
                <w:tcPr>
                  <w:tcW w:w="816" w:type="dxa"/>
                  <w:vAlign w:val="center"/>
                </w:tcPr>
                <w:p>
                  <w:pPr>
                    <w:widowControl w:val="0"/>
                    <w:shd w:val="clear" w:color="auto" w:fill="auto"/>
                    <w:spacing w:line="240" w:lineRule="auto"/>
                    <w:jc w:val="center"/>
                    <w:rPr>
                      <w:szCs w:val="21"/>
                    </w:rPr>
                  </w:pPr>
                  <w:r>
                    <w:rPr>
                      <w:rFonts w:hint="eastAsia"/>
                      <w:szCs w:val="21"/>
                    </w:rPr>
                    <w:t>个</w:t>
                  </w:r>
                </w:p>
              </w:tc>
              <w:tc>
                <w:tcPr>
                  <w:tcW w:w="864" w:type="dxa"/>
                  <w:vAlign w:val="center"/>
                </w:tcPr>
                <w:p>
                  <w:pPr>
                    <w:widowControl w:val="0"/>
                    <w:shd w:val="clear" w:color="auto" w:fill="auto"/>
                    <w:spacing w:line="240" w:lineRule="auto"/>
                    <w:jc w:val="center"/>
                    <w:rPr>
                      <w:szCs w:val="21"/>
                    </w:rPr>
                  </w:pPr>
                  <w:r>
                    <w:rPr>
                      <w:rFonts w:hint="eastAsia"/>
                      <w:szCs w:val="21"/>
                    </w:rPr>
                    <w:t>3</w:t>
                  </w:r>
                </w:p>
              </w:tc>
              <w:tc>
                <w:tcPr>
                  <w:tcW w:w="2832" w:type="dxa"/>
                  <w:vAlign w:val="center"/>
                </w:tcPr>
                <w:p>
                  <w:pPr>
                    <w:widowControl w:val="0"/>
                    <w:shd w:val="clear" w:color="auto" w:fill="auto"/>
                    <w:spacing w:line="240" w:lineRule="auto"/>
                    <w:jc w:val="center"/>
                    <w:rPr>
                      <w:szCs w:val="21"/>
                    </w:rPr>
                  </w:pPr>
                  <w:r>
                    <w:rPr>
                      <w:rFonts w:hint="eastAsia"/>
                      <w:szCs w:val="21"/>
                    </w:rPr>
                    <w:t>拆装、打包、搬运、安放</w:t>
                  </w:r>
                </w:p>
              </w:tc>
              <w:tc>
                <w:tcPr>
                  <w:tcW w:w="1715" w:type="dxa"/>
                  <w:vAlign w:val="center"/>
                </w:tcPr>
                <w:p>
                  <w:pPr>
                    <w:widowControl w:val="0"/>
                    <w:shd w:val="clear" w:color="auto" w:fill="auto"/>
                    <w:spacing w:line="240" w:lineRule="auto"/>
                    <w:jc w:val="center"/>
                    <w:rPr>
                      <w:szCs w:val="21"/>
                    </w:rPr>
                  </w:pPr>
                  <w:r>
                    <w:rPr>
                      <w:rFonts w:hint="eastAsia"/>
                      <w:szCs w:val="21"/>
                    </w:rPr>
                    <w:t>少儿图书馆龙岗分馆及其他采购人指定地点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widowControl w:val="0"/>
                    <w:shd w:val="clear" w:color="auto" w:fill="auto"/>
                    <w:spacing w:line="240" w:lineRule="auto"/>
                    <w:jc w:val="center"/>
                    <w:rPr>
                      <w:szCs w:val="21"/>
                    </w:rPr>
                  </w:pPr>
                  <w:r>
                    <w:rPr>
                      <w:rFonts w:hint="eastAsia"/>
                      <w:szCs w:val="21"/>
                    </w:rPr>
                    <w:t>89</w:t>
                  </w:r>
                </w:p>
              </w:tc>
              <w:tc>
                <w:tcPr>
                  <w:tcW w:w="1500" w:type="dxa"/>
                  <w:vAlign w:val="center"/>
                </w:tcPr>
                <w:p>
                  <w:pPr>
                    <w:widowControl w:val="0"/>
                    <w:shd w:val="clear" w:color="auto" w:fill="auto"/>
                    <w:spacing w:line="240" w:lineRule="auto"/>
                    <w:jc w:val="center"/>
                    <w:rPr>
                      <w:szCs w:val="21"/>
                    </w:rPr>
                  </w:pPr>
                  <w:r>
                    <w:rPr>
                      <w:rFonts w:hint="eastAsia"/>
                      <w:szCs w:val="21"/>
                    </w:rPr>
                    <w:t>家庭教育区双门书柜</w:t>
                  </w:r>
                </w:p>
              </w:tc>
              <w:tc>
                <w:tcPr>
                  <w:tcW w:w="816" w:type="dxa"/>
                  <w:vAlign w:val="center"/>
                </w:tcPr>
                <w:p>
                  <w:pPr>
                    <w:widowControl w:val="0"/>
                    <w:shd w:val="clear" w:color="auto" w:fill="auto"/>
                    <w:spacing w:line="240" w:lineRule="auto"/>
                    <w:jc w:val="center"/>
                    <w:rPr>
                      <w:szCs w:val="21"/>
                    </w:rPr>
                  </w:pPr>
                  <w:r>
                    <w:rPr>
                      <w:rFonts w:hint="eastAsia"/>
                      <w:szCs w:val="21"/>
                    </w:rPr>
                    <w:t>个</w:t>
                  </w:r>
                </w:p>
              </w:tc>
              <w:tc>
                <w:tcPr>
                  <w:tcW w:w="864" w:type="dxa"/>
                  <w:vAlign w:val="center"/>
                </w:tcPr>
                <w:p>
                  <w:pPr>
                    <w:widowControl w:val="0"/>
                    <w:shd w:val="clear" w:color="auto" w:fill="auto"/>
                    <w:spacing w:line="240" w:lineRule="auto"/>
                    <w:jc w:val="center"/>
                    <w:rPr>
                      <w:szCs w:val="21"/>
                    </w:rPr>
                  </w:pPr>
                  <w:r>
                    <w:rPr>
                      <w:rFonts w:hint="eastAsia"/>
                      <w:szCs w:val="21"/>
                    </w:rPr>
                    <w:t>2</w:t>
                  </w:r>
                </w:p>
              </w:tc>
              <w:tc>
                <w:tcPr>
                  <w:tcW w:w="2832" w:type="dxa"/>
                  <w:vAlign w:val="center"/>
                </w:tcPr>
                <w:p>
                  <w:pPr>
                    <w:widowControl w:val="0"/>
                    <w:shd w:val="clear" w:color="auto" w:fill="auto"/>
                    <w:spacing w:line="240" w:lineRule="auto"/>
                    <w:jc w:val="center"/>
                    <w:rPr>
                      <w:szCs w:val="21"/>
                    </w:rPr>
                  </w:pPr>
                  <w:r>
                    <w:rPr>
                      <w:rFonts w:hint="eastAsia"/>
                      <w:szCs w:val="21"/>
                    </w:rPr>
                    <w:t>拆装、打包、搬运、安放</w:t>
                  </w:r>
                </w:p>
              </w:tc>
              <w:tc>
                <w:tcPr>
                  <w:tcW w:w="1715" w:type="dxa"/>
                  <w:vAlign w:val="center"/>
                </w:tcPr>
                <w:p>
                  <w:pPr>
                    <w:widowControl w:val="0"/>
                    <w:shd w:val="clear" w:color="auto" w:fill="auto"/>
                    <w:spacing w:line="240" w:lineRule="auto"/>
                    <w:jc w:val="center"/>
                    <w:rPr>
                      <w:szCs w:val="21"/>
                    </w:rPr>
                  </w:pPr>
                  <w:r>
                    <w:rPr>
                      <w:rFonts w:hint="eastAsia"/>
                      <w:szCs w:val="21"/>
                    </w:rPr>
                    <w:t>少儿图书馆龙岗分馆及其他采购人指定地点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widowControl w:val="0"/>
                    <w:shd w:val="clear" w:color="auto" w:fill="auto"/>
                    <w:spacing w:line="240" w:lineRule="auto"/>
                    <w:jc w:val="center"/>
                    <w:rPr>
                      <w:szCs w:val="21"/>
                    </w:rPr>
                  </w:pPr>
                  <w:r>
                    <w:rPr>
                      <w:rFonts w:hint="eastAsia"/>
                      <w:szCs w:val="21"/>
                    </w:rPr>
                    <w:t>90</w:t>
                  </w:r>
                </w:p>
              </w:tc>
              <w:tc>
                <w:tcPr>
                  <w:tcW w:w="1500" w:type="dxa"/>
                  <w:vAlign w:val="center"/>
                </w:tcPr>
                <w:p>
                  <w:pPr>
                    <w:widowControl w:val="0"/>
                    <w:shd w:val="clear" w:color="auto" w:fill="auto"/>
                    <w:spacing w:line="240" w:lineRule="auto"/>
                    <w:jc w:val="center"/>
                    <w:rPr>
                      <w:szCs w:val="21"/>
                    </w:rPr>
                  </w:pPr>
                  <w:r>
                    <w:rPr>
                      <w:rFonts w:hint="eastAsia"/>
                      <w:szCs w:val="21"/>
                    </w:rPr>
                    <w:t>榉木书柜</w:t>
                  </w:r>
                </w:p>
              </w:tc>
              <w:tc>
                <w:tcPr>
                  <w:tcW w:w="816" w:type="dxa"/>
                  <w:vAlign w:val="center"/>
                </w:tcPr>
                <w:p>
                  <w:pPr>
                    <w:widowControl w:val="0"/>
                    <w:shd w:val="clear" w:color="auto" w:fill="auto"/>
                    <w:spacing w:line="240" w:lineRule="auto"/>
                    <w:jc w:val="center"/>
                    <w:rPr>
                      <w:szCs w:val="21"/>
                    </w:rPr>
                  </w:pPr>
                  <w:r>
                    <w:rPr>
                      <w:rFonts w:hint="eastAsia"/>
                      <w:szCs w:val="21"/>
                    </w:rPr>
                    <w:t>个</w:t>
                  </w:r>
                </w:p>
              </w:tc>
              <w:tc>
                <w:tcPr>
                  <w:tcW w:w="864" w:type="dxa"/>
                  <w:vAlign w:val="center"/>
                </w:tcPr>
                <w:p>
                  <w:pPr>
                    <w:widowControl w:val="0"/>
                    <w:shd w:val="clear" w:color="auto" w:fill="auto"/>
                    <w:spacing w:line="240" w:lineRule="auto"/>
                    <w:jc w:val="center"/>
                    <w:rPr>
                      <w:szCs w:val="21"/>
                    </w:rPr>
                  </w:pPr>
                  <w:r>
                    <w:rPr>
                      <w:rFonts w:hint="eastAsia"/>
                      <w:szCs w:val="21"/>
                    </w:rPr>
                    <w:t>8</w:t>
                  </w:r>
                </w:p>
              </w:tc>
              <w:tc>
                <w:tcPr>
                  <w:tcW w:w="2832" w:type="dxa"/>
                  <w:vAlign w:val="center"/>
                </w:tcPr>
                <w:p>
                  <w:pPr>
                    <w:widowControl w:val="0"/>
                    <w:shd w:val="clear" w:color="auto" w:fill="auto"/>
                    <w:spacing w:line="240" w:lineRule="auto"/>
                    <w:jc w:val="center"/>
                    <w:rPr>
                      <w:szCs w:val="21"/>
                    </w:rPr>
                  </w:pPr>
                  <w:r>
                    <w:rPr>
                      <w:rFonts w:hint="eastAsia"/>
                      <w:szCs w:val="21"/>
                    </w:rPr>
                    <w:t>拆装、打包、搬运、安放</w:t>
                  </w:r>
                </w:p>
              </w:tc>
              <w:tc>
                <w:tcPr>
                  <w:tcW w:w="1715" w:type="dxa"/>
                  <w:vAlign w:val="center"/>
                </w:tcPr>
                <w:p>
                  <w:pPr>
                    <w:widowControl w:val="0"/>
                    <w:shd w:val="clear" w:color="auto" w:fill="auto"/>
                    <w:spacing w:line="240" w:lineRule="auto"/>
                    <w:jc w:val="center"/>
                    <w:rPr>
                      <w:szCs w:val="21"/>
                    </w:rPr>
                  </w:pPr>
                  <w:r>
                    <w:rPr>
                      <w:rFonts w:hint="eastAsia"/>
                      <w:szCs w:val="21"/>
                    </w:rPr>
                    <w:t>银湖实验小学及其他采购人指定地点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widowControl w:val="0"/>
                    <w:shd w:val="clear" w:color="auto" w:fill="auto"/>
                    <w:spacing w:line="240" w:lineRule="auto"/>
                    <w:jc w:val="center"/>
                    <w:rPr>
                      <w:szCs w:val="21"/>
                    </w:rPr>
                  </w:pPr>
                  <w:r>
                    <w:rPr>
                      <w:rFonts w:hint="eastAsia"/>
                      <w:szCs w:val="21"/>
                    </w:rPr>
                    <w:t>91</w:t>
                  </w:r>
                </w:p>
              </w:tc>
              <w:tc>
                <w:tcPr>
                  <w:tcW w:w="1500" w:type="dxa"/>
                  <w:vAlign w:val="center"/>
                </w:tcPr>
                <w:p>
                  <w:pPr>
                    <w:widowControl w:val="0"/>
                    <w:shd w:val="clear" w:color="auto" w:fill="auto"/>
                    <w:spacing w:line="240" w:lineRule="auto"/>
                    <w:jc w:val="center"/>
                    <w:rPr>
                      <w:szCs w:val="21"/>
                    </w:rPr>
                  </w:pPr>
                  <w:r>
                    <w:rPr>
                      <w:rFonts w:hint="eastAsia"/>
                      <w:szCs w:val="21"/>
                    </w:rPr>
                    <w:t>密码存包柜</w:t>
                  </w:r>
                </w:p>
              </w:tc>
              <w:tc>
                <w:tcPr>
                  <w:tcW w:w="816" w:type="dxa"/>
                  <w:vAlign w:val="center"/>
                </w:tcPr>
                <w:p>
                  <w:pPr>
                    <w:widowControl w:val="0"/>
                    <w:shd w:val="clear" w:color="auto" w:fill="auto"/>
                    <w:spacing w:line="240" w:lineRule="auto"/>
                    <w:jc w:val="center"/>
                    <w:rPr>
                      <w:szCs w:val="21"/>
                    </w:rPr>
                  </w:pPr>
                  <w:r>
                    <w:rPr>
                      <w:rFonts w:hint="eastAsia"/>
                      <w:szCs w:val="21"/>
                    </w:rPr>
                    <w:t>个</w:t>
                  </w:r>
                </w:p>
              </w:tc>
              <w:tc>
                <w:tcPr>
                  <w:tcW w:w="864" w:type="dxa"/>
                  <w:vAlign w:val="center"/>
                </w:tcPr>
                <w:p>
                  <w:pPr>
                    <w:widowControl w:val="0"/>
                    <w:shd w:val="clear" w:color="auto" w:fill="auto"/>
                    <w:spacing w:line="240" w:lineRule="auto"/>
                    <w:jc w:val="center"/>
                    <w:rPr>
                      <w:szCs w:val="21"/>
                    </w:rPr>
                  </w:pPr>
                  <w:r>
                    <w:rPr>
                      <w:rFonts w:hint="eastAsia"/>
                      <w:szCs w:val="21"/>
                    </w:rPr>
                    <w:t>3</w:t>
                  </w:r>
                </w:p>
              </w:tc>
              <w:tc>
                <w:tcPr>
                  <w:tcW w:w="2832" w:type="dxa"/>
                  <w:vAlign w:val="center"/>
                </w:tcPr>
                <w:p>
                  <w:pPr>
                    <w:widowControl w:val="0"/>
                    <w:shd w:val="clear" w:color="auto" w:fill="auto"/>
                    <w:spacing w:line="240" w:lineRule="auto"/>
                    <w:jc w:val="center"/>
                    <w:rPr>
                      <w:szCs w:val="21"/>
                    </w:rPr>
                  </w:pPr>
                  <w:r>
                    <w:rPr>
                      <w:rFonts w:hint="eastAsia"/>
                      <w:szCs w:val="21"/>
                    </w:rPr>
                    <w:t>拆装、打包、搬运、安放</w:t>
                  </w:r>
                </w:p>
              </w:tc>
              <w:tc>
                <w:tcPr>
                  <w:tcW w:w="1715" w:type="dxa"/>
                  <w:vAlign w:val="center"/>
                </w:tcPr>
                <w:p>
                  <w:pPr>
                    <w:widowControl w:val="0"/>
                    <w:shd w:val="clear" w:color="auto" w:fill="auto"/>
                    <w:spacing w:line="240" w:lineRule="auto"/>
                    <w:jc w:val="center"/>
                    <w:rPr>
                      <w:szCs w:val="21"/>
                    </w:rPr>
                  </w:pPr>
                  <w:r>
                    <w:rPr>
                      <w:rFonts w:hint="eastAsia"/>
                      <w:szCs w:val="21"/>
                    </w:rPr>
                    <w:t>银湖实验小学及其他采购人指定地点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tcPr>
                <w:p>
                  <w:pPr>
                    <w:widowControl w:val="0"/>
                    <w:shd w:val="clear" w:color="auto" w:fill="auto"/>
                    <w:spacing w:line="240" w:lineRule="auto"/>
                    <w:jc w:val="center"/>
                    <w:rPr>
                      <w:szCs w:val="21"/>
                    </w:rPr>
                  </w:pPr>
                  <w:r>
                    <w:rPr>
                      <w:rFonts w:hint="eastAsia"/>
                      <w:szCs w:val="21"/>
                    </w:rPr>
                    <w:t>92</w:t>
                  </w:r>
                </w:p>
              </w:tc>
              <w:tc>
                <w:tcPr>
                  <w:tcW w:w="1500" w:type="dxa"/>
                </w:tcPr>
                <w:p>
                  <w:pPr>
                    <w:widowControl w:val="0"/>
                    <w:shd w:val="clear" w:color="auto" w:fill="auto"/>
                    <w:spacing w:line="240" w:lineRule="auto"/>
                    <w:jc w:val="center"/>
                    <w:rPr>
                      <w:szCs w:val="21"/>
                    </w:rPr>
                  </w:pPr>
                  <w:r>
                    <w:rPr>
                      <w:rFonts w:hint="eastAsia"/>
                      <w:szCs w:val="21"/>
                    </w:rPr>
                    <w:t>影像区壁柜</w:t>
                  </w:r>
                </w:p>
              </w:tc>
              <w:tc>
                <w:tcPr>
                  <w:tcW w:w="816" w:type="dxa"/>
                </w:tcPr>
                <w:p>
                  <w:pPr>
                    <w:widowControl w:val="0"/>
                    <w:shd w:val="clear" w:color="auto" w:fill="auto"/>
                    <w:spacing w:line="240" w:lineRule="auto"/>
                    <w:jc w:val="center"/>
                    <w:rPr>
                      <w:szCs w:val="21"/>
                    </w:rPr>
                  </w:pPr>
                  <w:r>
                    <w:rPr>
                      <w:rFonts w:hint="eastAsia"/>
                      <w:szCs w:val="21"/>
                    </w:rPr>
                    <w:t>个</w:t>
                  </w:r>
                </w:p>
              </w:tc>
              <w:tc>
                <w:tcPr>
                  <w:tcW w:w="864" w:type="dxa"/>
                </w:tcPr>
                <w:p>
                  <w:pPr>
                    <w:widowControl w:val="0"/>
                    <w:shd w:val="clear" w:color="auto" w:fill="auto"/>
                    <w:spacing w:line="240" w:lineRule="auto"/>
                    <w:jc w:val="center"/>
                    <w:rPr>
                      <w:szCs w:val="21"/>
                    </w:rPr>
                  </w:pPr>
                  <w:r>
                    <w:rPr>
                      <w:rFonts w:hint="eastAsia"/>
                      <w:szCs w:val="21"/>
                    </w:rPr>
                    <w:t>1</w:t>
                  </w:r>
                </w:p>
              </w:tc>
              <w:tc>
                <w:tcPr>
                  <w:tcW w:w="2832" w:type="dxa"/>
                </w:tcPr>
                <w:p>
                  <w:pPr>
                    <w:widowControl w:val="0"/>
                    <w:shd w:val="clear" w:color="auto" w:fill="auto"/>
                    <w:spacing w:line="240" w:lineRule="auto"/>
                    <w:jc w:val="center"/>
                    <w:rPr>
                      <w:szCs w:val="21"/>
                    </w:rPr>
                  </w:pPr>
                  <w:r>
                    <w:rPr>
                      <w:rFonts w:hint="eastAsia"/>
                      <w:szCs w:val="21"/>
                    </w:rPr>
                    <w:t>拆装、打包、搬运、安放</w:t>
                  </w:r>
                </w:p>
              </w:tc>
              <w:tc>
                <w:tcPr>
                  <w:tcW w:w="1715" w:type="dxa"/>
                </w:tcPr>
                <w:p>
                  <w:pPr>
                    <w:widowControl w:val="0"/>
                    <w:shd w:val="clear" w:color="auto" w:fill="auto"/>
                    <w:spacing w:line="240" w:lineRule="auto"/>
                    <w:jc w:val="center"/>
                    <w:rPr>
                      <w:szCs w:val="21"/>
                    </w:rPr>
                  </w:pPr>
                  <w:r>
                    <w:rPr>
                      <w:rFonts w:hint="eastAsia"/>
                      <w:szCs w:val="21"/>
                    </w:rPr>
                    <w:t>银湖实验小学及其他采购人指定地点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tcPr>
                <w:p>
                  <w:pPr>
                    <w:widowControl w:val="0"/>
                    <w:shd w:val="clear" w:color="auto" w:fill="auto"/>
                    <w:spacing w:line="240" w:lineRule="auto"/>
                    <w:jc w:val="center"/>
                    <w:rPr>
                      <w:szCs w:val="21"/>
                    </w:rPr>
                  </w:pPr>
                  <w:r>
                    <w:rPr>
                      <w:rFonts w:hint="eastAsia"/>
                      <w:szCs w:val="21"/>
                    </w:rPr>
                    <w:t>93</w:t>
                  </w:r>
                </w:p>
              </w:tc>
              <w:tc>
                <w:tcPr>
                  <w:tcW w:w="1500" w:type="dxa"/>
                </w:tcPr>
                <w:p>
                  <w:pPr>
                    <w:widowControl w:val="0"/>
                    <w:shd w:val="clear" w:color="auto" w:fill="auto"/>
                    <w:spacing w:line="240" w:lineRule="auto"/>
                    <w:jc w:val="center"/>
                    <w:rPr>
                      <w:szCs w:val="21"/>
                    </w:rPr>
                  </w:pPr>
                  <w:r>
                    <w:rPr>
                      <w:rFonts w:hint="eastAsia"/>
                      <w:szCs w:val="21"/>
                    </w:rPr>
                    <w:t>北欧阿拉卡书架</w:t>
                  </w:r>
                </w:p>
              </w:tc>
              <w:tc>
                <w:tcPr>
                  <w:tcW w:w="816" w:type="dxa"/>
                </w:tcPr>
                <w:p>
                  <w:pPr>
                    <w:widowControl w:val="0"/>
                    <w:shd w:val="clear" w:color="auto" w:fill="auto"/>
                    <w:spacing w:line="240" w:lineRule="auto"/>
                    <w:jc w:val="center"/>
                    <w:rPr>
                      <w:szCs w:val="21"/>
                    </w:rPr>
                  </w:pPr>
                  <w:r>
                    <w:rPr>
                      <w:rFonts w:hint="eastAsia"/>
                      <w:szCs w:val="21"/>
                    </w:rPr>
                    <w:t>个</w:t>
                  </w:r>
                </w:p>
              </w:tc>
              <w:tc>
                <w:tcPr>
                  <w:tcW w:w="864" w:type="dxa"/>
                </w:tcPr>
                <w:p>
                  <w:pPr>
                    <w:widowControl w:val="0"/>
                    <w:shd w:val="clear" w:color="auto" w:fill="auto"/>
                    <w:spacing w:line="240" w:lineRule="auto"/>
                    <w:jc w:val="center"/>
                    <w:rPr>
                      <w:szCs w:val="21"/>
                    </w:rPr>
                  </w:pPr>
                  <w:r>
                    <w:rPr>
                      <w:rFonts w:hint="eastAsia"/>
                      <w:szCs w:val="21"/>
                    </w:rPr>
                    <w:t>3</w:t>
                  </w:r>
                </w:p>
              </w:tc>
              <w:tc>
                <w:tcPr>
                  <w:tcW w:w="2832" w:type="dxa"/>
                </w:tcPr>
                <w:p>
                  <w:pPr>
                    <w:widowControl w:val="0"/>
                    <w:shd w:val="clear" w:color="auto" w:fill="auto"/>
                    <w:spacing w:line="240" w:lineRule="auto"/>
                    <w:jc w:val="center"/>
                    <w:rPr>
                      <w:szCs w:val="21"/>
                    </w:rPr>
                  </w:pPr>
                  <w:r>
                    <w:rPr>
                      <w:rFonts w:hint="eastAsia"/>
                      <w:szCs w:val="21"/>
                    </w:rPr>
                    <w:t>拆装、打包、搬运、安放</w:t>
                  </w:r>
                </w:p>
              </w:tc>
              <w:tc>
                <w:tcPr>
                  <w:tcW w:w="1715" w:type="dxa"/>
                </w:tcPr>
                <w:p>
                  <w:pPr>
                    <w:widowControl w:val="0"/>
                    <w:shd w:val="clear" w:color="auto" w:fill="auto"/>
                    <w:spacing w:line="240" w:lineRule="auto"/>
                    <w:jc w:val="center"/>
                    <w:rPr>
                      <w:szCs w:val="21"/>
                    </w:rPr>
                  </w:pPr>
                  <w:r>
                    <w:rPr>
                      <w:rFonts w:hint="eastAsia"/>
                      <w:szCs w:val="21"/>
                    </w:rPr>
                    <w:t>银湖实验小学及其他采购人指定地点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tcPr>
                <w:p>
                  <w:pPr>
                    <w:widowControl w:val="0"/>
                    <w:shd w:val="clear" w:color="auto" w:fill="auto"/>
                    <w:spacing w:line="240" w:lineRule="auto"/>
                    <w:jc w:val="center"/>
                    <w:rPr>
                      <w:szCs w:val="21"/>
                    </w:rPr>
                  </w:pPr>
                  <w:r>
                    <w:rPr>
                      <w:rFonts w:hint="eastAsia"/>
                      <w:szCs w:val="21"/>
                    </w:rPr>
                    <w:t>94</w:t>
                  </w:r>
                </w:p>
              </w:tc>
              <w:tc>
                <w:tcPr>
                  <w:tcW w:w="1500" w:type="dxa"/>
                </w:tcPr>
                <w:p>
                  <w:pPr>
                    <w:widowControl w:val="0"/>
                    <w:shd w:val="clear" w:color="auto" w:fill="auto"/>
                    <w:spacing w:line="240" w:lineRule="auto"/>
                    <w:jc w:val="center"/>
                    <w:rPr>
                      <w:szCs w:val="21"/>
                    </w:rPr>
                  </w:pPr>
                  <w:r>
                    <w:rPr>
                      <w:rFonts w:hint="eastAsia"/>
                      <w:szCs w:val="21"/>
                    </w:rPr>
                    <w:t>多媒体书架</w:t>
                  </w:r>
                </w:p>
              </w:tc>
              <w:tc>
                <w:tcPr>
                  <w:tcW w:w="816" w:type="dxa"/>
                </w:tcPr>
                <w:p>
                  <w:pPr>
                    <w:widowControl w:val="0"/>
                    <w:shd w:val="clear" w:color="auto" w:fill="auto"/>
                    <w:spacing w:line="240" w:lineRule="auto"/>
                    <w:jc w:val="center"/>
                    <w:rPr>
                      <w:szCs w:val="21"/>
                    </w:rPr>
                  </w:pPr>
                  <w:r>
                    <w:rPr>
                      <w:rFonts w:hint="eastAsia"/>
                      <w:szCs w:val="21"/>
                    </w:rPr>
                    <w:t>个</w:t>
                  </w:r>
                </w:p>
              </w:tc>
              <w:tc>
                <w:tcPr>
                  <w:tcW w:w="864" w:type="dxa"/>
                </w:tcPr>
                <w:p>
                  <w:pPr>
                    <w:widowControl w:val="0"/>
                    <w:shd w:val="clear" w:color="auto" w:fill="auto"/>
                    <w:spacing w:line="240" w:lineRule="auto"/>
                    <w:jc w:val="center"/>
                    <w:rPr>
                      <w:szCs w:val="21"/>
                    </w:rPr>
                  </w:pPr>
                  <w:r>
                    <w:rPr>
                      <w:rFonts w:hint="eastAsia"/>
                      <w:szCs w:val="21"/>
                    </w:rPr>
                    <w:t>1</w:t>
                  </w:r>
                </w:p>
              </w:tc>
              <w:tc>
                <w:tcPr>
                  <w:tcW w:w="2832" w:type="dxa"/>
                </w:tcPr>
                <w:p>
                  <w:pPr>
                    <w:widowControl w:val="0"/>
                    <w:shd w:val="clear" w:color="auto" w:fill="auto"/>
                    <w:spacing w:line="240" w:lineRule="auto"/>
                    <w:jc w:val="center"/>
                    <w:rPr>
                      <w:szCs w:val="21"/>
                    </w:rPr>
                  </w:pPr>
                  <w:r>
                    <w:rPr>
                      <w:rFonts w:hint="eastAsia"/>
                      <w:szCs w:val="21"/>
                    </w:rPr>
                    <w:t>拆装、打包、搬运、安放</w:t>
                  </w:r>
                </w:p>
              </w:tc>
              <w:tc>
                <w:tcPr>
                  <w:tcW w:w="1715" w:type="dxa"/>
                </w:tcPr>
                <w:p>
                  <w:pPr>
                    <w:widowControl w:val="0"/>
                    <w:shd w:val="clear" w:color="auto" w:fill="auto"/>
                    <w:spacing w:line="240" w:lineRule="auto"/>
                    <w:jc w:val="center"/>
                    <w:rPr>
                      <w:szCs w:val="21"/>
                    </w:rPr>
                  </w:pPr>
                  <w:r>
                    <w:rPr>
                      <w:rFonts w:hint="eastAsia"/>
                      <w:szCs w:val="21"/>
                    </w:rPr>
                    <w:t>银湖实验小学及其他采购人指定地点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tcPr>
                <w:p>
                  <w:pPr>
                    <w:widowControl w:val="0"/>
                    <w:shd w:val="clear" w:color="auto" w:fill="auto"/>
                    <w:spacing w:line="240" w:lineRule="auto"/>
                    <w:jc w:val="center"/>
                    <w:rPr>
                      <w:szCs w:val="21"/>
                    </w:rPr>
                  </w:pPr>
                  <w:r>
                    <w:rPr>
                      <w:rFonts w:hint="eastAsia"/>
                      <w:szCs w:val="21"/>
                    </w:rPr>
                    <w:t>95</w:t>
                  </w:r>
                </w:p>
              </w:tc>
              <w:tc>
                <w:tcPr>
                  <w:tcW w:w="1500" w:type="dxa"/>
                </w:tcPr>
                <w:p>
                  <w:pPr>
                    <w:widowControl w:val="0"/>
                    <w:shd w:val="clear" w:color="auto" w:fill="auto"/>
                    <w:spacing w:line="240" w:lineRule="auto"/>
                    <w:jc w:val="center"/>
                    <w:rPr>
                      <w:szCs w:val="21"/>
                    </w:rPr>
                  </w:pPr>
                  <w:r>
                    <w:rPr>
                      <w:rFonts w:hint="eastAsia"/>
                      <w:szCs w:val="21"/>
                    </w:rPr>
                    <w:t>汉尼斯书架1</w:t>
                  </w:r>
                </w:p>
              </w:tc>
              <w:tc>
                <w:tcPr>
                  <w:tcW w:w="816" w:type="dxa"/>
                </w:tcPr>
                <w:p>
                  <w:pPr>
                    <w:widowControl w:val="0"/>
                    <w:shd w:val="clear" w:color="auto" w:fill="auto"/>
                    <w:spacing w:line="240" w:lineRule="auto"/>
                    <w:jc w:val="center"/>
                    <w:rPr>
                      <w:szCs w:val="21"/>
                    </w:rPr>
                  </w:pPr>
                  <w:r>
                    <w:rPr>
                      <w:rFonts w:hint="eastAsia"/>
                      <w:szCs w:val="21"/>
                    </w:rPr>
                    <w:t>个</w:t>
                  </w:r>
                </w:p>
              </w:tc>
              <w:tc>
                <w:tcPr>
                  <w:tcW w:w="864" w:type="dxa"/>
                </w:tcPr>
                <w:p>
                  <w:pPr>
                    <w:widowControl w:val="0"/>
                    <w:shd w:val="clear" w:color="auto" w:fill="auto"/>
                    <w:spacing w:line="240" w:lineRule="auto"/>
                    <w:jc w:val="center"/>
                    <w:rPr>
                      <w:szCs w:val="21"/>
                    </w:rPr>
                  </w:pPr>
                  <w:r>
                    <w:rPr>
                      <w:rFonts w:hint="eastAsia"/>
                      <w:szCs w:val="21"/>
                    </w:rPr>
                    <w:t>6</w:t>
                  </w:r>
                </w:p>
              </w:tc>
              <w:tc>
                <w:tcPr>
                  <w:tcW w:w="2832" w:type="dxa"/>
                </w:tcPr>
                <w:p>
                  <w:pPr>
                    <w:widowControl w:val="0"/>
                    <w:shd w:val="clear" w:color="auto" w:fill="auto"/>
                    <w:spacing w:line="240" w:lineRule="auto"/>
                    <w:jc w:val="center"/>
                    <w:rPr>
                      <w:szCs w:val="21"/>
                    </w:rPr>
                  </w:pPr>
                  <w:r>
                    <w:rPr>
                      <w:rFonts w:hint="eastAsia"/>
                      <w:szCs w:val="21"/>
                    </w:rPr>
                    <w:t>拆装、打包、搬运、安放</w:t>
                  </w:r>
                </w:p>
              </w:tc>
              <w:tc>
                <w:tcPr>
                  <w:tcW w:w="1715" w:type="dxa"/>
                </w:tcPr>
                <w:p>
                  <w:pPr>
                    <w:widowControl w:val="0"/>
                    <w:shd w:val="clear" w:color="auto" w:fill="auto"/>
                    <w:spacing w:line="240" w:lineRule="auto"/>
                    <w:jc w:val="center"/>
                    <w:rPr>
                      <w:szCs w:val="21"/>
                    </w:rPr>
                  </w:pPr>
                  <w:r>
                    <w:rPr>
                      <w:rFonts w:hint="eastAsia"/>
                      <w:szCs w:val="21"/>
                    </w:rPr>
                    <w:t>银湖实验小学及其他采购人指定地点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tcPr>
                <w:p>
                  <w:pPr>
                    <w:widowControl w:val="0"/>
                    <w:shd w:val="clear" w:color="auto" w:fill="auto"/>
                    <w:spacing w:line="240" w:lineRule="auto"/>
                    <w:jc w:val="center"/>
                    <w:rPr>
                      <w:szCs w:val="21"/>
                    </w:rPr>
                  </w:pPr>
                  <w:r>
                    <w:rPr>
                      <w:rFonts w:hint="eastAsia"/>
                      <w:szCs w:val="21"/>
                    </w:rPr>
                    <w:t>96</w:t>
                  </w:r>
                </w:p>
              </w:tc>
              <w:tc>
                <w:tcPr>
                  <w:tcW w:w="1500" w:type="dxa"/>
                </w:tcPr>
                <w:p>
                  <w:pPr>
                    <w:widowControl w:val="0"/>
                    <w:shd w:val="clear" w:color="auto" w:fill="auto"/>
                    <w:spacing w:line="240" w:lineRule="auto"/>
                    <w:jc w:val="center"/>
                    <w:rPr>
                      <w:szCs w:val="21"/>
                    </w:rPr>
                  </w:pPr>
                  <w:r>
                    <w:rPr>
                      <w:rFonts w:hint="eastAsia"/>
                      <w:szCs w:val="21"/>
                    </w:rPr>
                    <w:t>汉尼斯书架2</w:t>
                  </w:r>
                </w:p>
              </w:tc>
              <w:tc>
                <w:tcPr>
                  <w:tcW w:w="816" w:type="dxa"/>
                </w:tcPr>
                <w:p>
                  <w:pPr>
                    <w:widowControl w:val="0"/>
                    <w:shd w:val="clear" w:color="auto" w:fill="auto"/>
                    <w:spacing w:line="240" w:lineRule="auto"/>
                    <w:jc w:val="center"/>
                    <w:rPr>
                      <w:szCs w:val="21"/>
                    </w:rPr>
                  </w:pPr>
                  <w:r>
                    <w:rPr>
                      <w:rFonts w:hint="eastAsia"/>
                      <w:szCs w:val="21"/>
                    </w:rPr>
                    <w:t>个</w:t>
                  </w:r>
                </w:p>
              </w:tc>
              <w:tc>
                <w:tcPr>
                  <w:tcW w:w="864" w:type="dxa"/>
                </w:tcPr>
                <w:p>
                  <w:pPr>
                    <w:widowControl w:val="0"/>
                    <w:shd w:val="clear" w:color="auto" w:fill="auto"/>
                    <w:spacing w:line="240" w:lineRule="auto"/>
                    <w:jc w:val="center"/>
                    <w:rPr>
                      <w:szCs w:val="21"/>
                    </w:rPr>
                  </w:pPr>
                  <w:r>
                    <w:rPr>
                      <w:rFonts w:hint="eastAsia"/>
                      <w:szCs w:val="21"/>
                    </w:rPr>
                    <w:t>8</w:t>
                  </w:r>
                </w:p>
              </w:tc>
              <w:tc>
                <w:tcPr>
                  <w:tcW w:w="2832" w:type="dxa"/>
                </w:tcPr>
                <w:p>
                  <w:pPr>
                    <w:widowControl w:val="0"/>
                    <w:shd w:val="clear" w:color="auto" w:fill="auto"/>
                    <w:spacing w:line="240" w:lineRule="auto"/>
                    <w:jc w:val="center"/>
                    <w:rPr>
                      <w:szCs w:val="21"/>
                    </w:rPr>
                  </w:pPr>
                  <w:r>
                    <w:rPr>
                      <w:rFonts w:hint="eastAsia"/>
                      <w:szCs w:val="21"/>
                    </w:rPr>
                    <w:t>拆装、打包、搬运、安放</w:t>
                  </w:r>
                </w:p>
              </w:tc>
              <w:tc>
                <w:tcPr>
                  <w:tcW w:w="1715" w:type="dxa"/>
                </w:tcPr>
                <w:p>
                  <w:pPr>
                    <w:widowControl w:val="0"/>
                    <w:shd w:val="clear" w:color="auto" w:fill="auto"/>
                    <w:spacing w:line="240" w:lineRule="auto"/>
                    <w:jc w:val="center"/>
                    <w:rPr>
                      <w:szCs w:val="21"/>
                    </w:rPr>
                  </w:pPr>
                  <w:r>
                    <w:rPr>
                      <w:rFonts w:hint="eastAsia"/>
                      <w:szCs w:val="21"/>
                    </w:rPr>
                    <w:t>银湖实验小学及其他采购人指定地点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tcPr>
                <w:p>
                  <w:pPr>
                    <w:widowControl w:val="0"/>
                    <w:shd w:val="clear" w:color="auto" w:fill="auto"/>
                    <w:spacing w:line="240" w:lineRule="auto"/>
                    <w:jc w:val="center"/>
                    <w:rPr>
                      <w:szCs w:val="21"/>
                    </w:rPr>
                  </w:pPr>
                  <w:r>
                    <w:rPr>
                      <w:rFonts w:hint="eastAsia"/>
                      <w:szCs w:val="21"/>
                    </w:rPr>
                    <w:t>97</w:t>
                  </w:r>
                </w:p>
              </w:tc>
              <w:tc>
                <w:tcPr>
                  <w:tcW w:w="1500" w:type="dxa"/>
                </w:tcPr>
                <w:p>
                  <w:pPr>
                    <w:widowControl w:val="0"/>
                    <w:shd w:val="clear" w:color="auto" w:fill="auto"/>
                    <w:spacing w:line="240" w:lineRule="auto"/>
                    <w:jc w:val="center"/>
                    <w:rPr>
                      <w:szCs w:val="21"/>
                    </w:rPr>
                  </w:pPr>
                  <w:r>
                    <w:rPr>
                      <w:rFonts w:hint="eastAsia"/>
                      <w:szCs w:val="21"/>
                    </w:rPr>
                    <w:t>书架GM-B12</w:t>
                  </w:r>
                </w:p>
              </w:tc>
              <w:tc>
                <w:tcPr>
                  <w:tcW w:w="816" w:type="dxa"/>
                </w:tcPr>
                <w:p>
                  <w:pPr>
                    <w:widowControl w:val="0"/>
                    <w:shd w:val="clear" w:color="auto" w:fill="auto"/>
                    <w:spacing w:line="240" w:lineRule="auto"/>
                    <w:jc w:val="center"/>
                    <w:rPr>
                      <w:szCs w:val="21"/>
                    </w:rPr>
                  </w:pPr>
                  <w:r>
                    <w:rPr>
                      <w:rFonts w:hint="eastAsia"/>
                      <w:szCs w:val="21"/>
                    </w:rPr>
                    <w:t>个</w:t>
                  </w:r>
                </w:p>
              </w:tc>
              <w:tc>
                <w:tcPr>
                  <w:tcW w:w="864" w:type="dxa"/>
                </w:tcPr>
                <w:p>
                  <w:pPr>
                    <w:widowControl w:val="0"/>
                    <w:shd w:val="clear" w:color="auto" w:fill="auto"/>
                    <w:spacing w:line="240" w:lineRule="auto"/>
                    <w:jc w:val="center"/>
                    <w:rPr>
                      <w:szCs w:val="21"/>
                    </w:rPr>
                  </w:pPr>
                  <w:r>
                    <w:rPr>
                      <w:rFonts w:hint="eastAsia"/>
                      <w:szCs w:val="21"/>
                    </w:rPr>
                    <w:t>19</w:t>
                  </w:r>
                </w:p>
              </w:tc>
              <w:tc>
                <w:tcPr>
                  <w:tcW w:w="2832" w:type="dxa"/>
                </w:tcPr>
                <w:p>
                  <w:pPr>
                    <w:widowControl w:val="0"/>
                    <w:shd w:val="clear" w:color="auto" w:fill="auto"/>
                    <w:spacing w:line="240" w:lineRule="auto"/>
                    <w:jc w:val="center"/>
                    <w:rPr>
                      <w:szCs w:val="21"/>
                    </w:rPr>
                  </w:pPr>
                  <w:r>
                    <w:rPr>
                      <w:rFonts w:hint="eastAsia"/>
                      <w:szCs w:val="21"/>
                    </w:rPr>
                    <w:t>拆装、打包、搬运、安放</w:t>
                  </w:r>
                </w:p>
              </w:tc>
              <w:tc>
                <w:tcPr>
                  <w:tcW w:w="1715" w:type="dxa"/>
                </w:tcPr>
                <w:p>
                  <w:pPr>
                    <w:widowControl w:val="0"/>
                    <w:shd w:val="clear" w:color="auto" w:fill="auto"/>
                    <w:spacing w:line="240" w:lineRule="auto"/>
                    <w:jc w:val="center"/>
                    <w:rPr>
                      <w:szCs w:val="21"/>
                    </w:rPr>
                  </w:pPr>
                  <w:r>
                    <w:rPr>
                      <w:rFonts w:hint="eastAsia"/>
                      <w:szCs w:val="21"/>
                    </w:rPr>
                    <w:t>银湖实验小学及其他采购人指定地点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tcPr>
                <w:p>
                  <w:pPr>
                    <w:widowControl w:val="0"/>
                    <w:shd w:val="clear" w:color="auto" w:fill="auto"/>
                    <w:spacing w:line="240" w:lineRule="auto"/>
                    <w:jc w:val="center"/>
                    <w:rPr>
                      <w:szCs w:val="21"/>
                    </w:rPr>
                  </w:pPr>
                  <w:r>
                    <w:rPr>
                      <w:rFonts w:hint="eastAsia"/>
                      <w:szCs w:val="21"/>
                    </w:rPr>
                    <w:t>98</w:t>
                  </w:r>
                </w:p>
              </w:tc>
              <w:tc>
                <w:tcPr>
                  <w:tcW w:w="1500" w:type="dxa"/>
                </w:tcPr>
                <w:p>
                  <w:pPr>
                    <w:widowControl w:val="0"/>
                    <w:shd w:val="clear" w:color="auto" w:fill="auto"/>
                    <w:spacing w:line="240" w:lineRule="auto"/>
                    <w:jc w:val="center"/>
                    <w:rPr>
                      <w:szCs w:val="21"/>
                    </w:rPr>
                  </w:pPr>
                  <w:r>
                    <w:rPr>
                      <w:rFonts w:hint="eastAsia"/>
                      <w:szCs w:val="21"/>
                    </w:rPr>
                    <w:t>灯箱</w:t>
                  </w:r>
                </w:p>
              </w:tc>
              <w:tc>
                <w:tcPr>
                  <w:tcW w:w="816" w:type="dxa"/>
                </w:tcPr>
                <w:p>
                  <w:pPr>
                    <w:widowControl w:val="0"/>
                    <w:shd w:val="clear" w:color="auto" w:fill="auto"/>
                    <w:spacing w:line="240" w:lineRule="auto"/>
                    <w:jc w:val="center"/>
                    <w:rPr>
                      <w:szCs w:val="21"/>
                    </w:rPr>
                  </w:pPr>
                  <w:r>
                    <w:rPr>
                      <w:rFonts w:hint="eastAsia"/>
                      <w:szCs w:val="21"/>
                    </w:rPr>
                    <w:t>个</w:t>
                  </w:r>
                </w:p>
              </w:tc>
              <w:tc>
                <w:tcPr>
                  <w:tcW w:w="864" w:type="dxa"/>
                </w:tcPr>
                <w:p>
                  <w:pPr>
                    <w:widowControl w:val="0"/>
                    <w:shd w:val="clear" w:color="auto" w:fill="auto"/>
                    <w:spacing w:line="240" w:lineRule="auto"/>
                    <w:jc w:val="center"/>
                    <w:rPr>
                      <w:szCs w:val="21"/>
                    </w:rPr>
                  </w:pPr>
                  <w:r>
                    <w:rPr>
                      <w:rFonts w:hint="eastAsia"/>
                      <w:szCs w:val="21"/>
                    </w:rPr>
                    <w:t>1</w:t>
                  </w:r>
                </w:p>
              </w:tc>
              <w:tc>
                <w:tcPr>
                  <w:tcW w:w="2832" w:type="dxa"/>
                </w:tcPr>
                <w:p>
                  <w:pPr>
                    <w:widowControl w:val="0"/>
                    <w:shd w:val="clear" w:color="auto" w:fill="auto"/>
                    <w:spacing w:line="240" w:lineRule="auto"/>
                    <w:jc w:val="center"/>
                    <w:rPr>
                      <w:szCs w:val="21"/>
                    </w:rPr>
                  </w:pPr>
                  <w:r>
                    <w:rPr>
                      <w:rFonts w:hint="eastAsia"/>
                      <w:szCs w:val="21"/>
                    </w:rPr>
                    <w:t>拆装、打包、搬运、安放</w:t>
                  </w:r>
                </w:p>
              </w:tc>
              <w:tc>
                <w:tcPr>
                  <w:tcW w:w="1715" w:type="dxa"/>
                </w:tcPr>
                <w:p>
                  <w:pPr>
                    <w:widowControl w:val="0"/>
                    <w:shd w:val="clear" w:color="auto" w:fill="auto"/>
                    <w:spacing w:line="240" w:lineRule="auto"/>
                    <w:jc w:val="center"/>
                    <w:rPr>
                      <w:szCs w:val="21"/>
                    </w:rPr>
                  </w:pPr>
                  <w:r>
                    <w:rPr>
                      <w:rFonts w:hint="eastAsia"/>
                      <w:szCs w:val="21"/>
                    </w:rPr>
                    <w:t>银湖实验小学及其他采购人指定地点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tcPr>
                <w:p>
                  <w:pPr>
                    <w:widowControl w:val="0"/>
                    <w:shd w:val="clear" w:color="auto" w:fill="auto"/>
                    <w:spacing w:line="240" w:lineRule="auto"/>
                    <w:jc w:val="center"/>
                    <w:rPr>
                      <w:szCs w:val="21"/>
                    </w:rPr>
                  </w:pPr>
                  <w:r>
                    <w:rPr>
                      <w:rFonts w:hint="eastAsia"/>
                      <w:szCs w:val="21"/>
                    </w:rPr>
                    <w:t>99</w:t>
                  </w:r>
                </w:p>
              </w:tc>
              <w:tc>
                <w:tcPr>
                  <w:tcW w:w="1500" w:type="dxa"/>
                </w:tcPr>
                <w:p>
                  <w:pPr>
                    <w:widowControl w:val="0"/>
                    <w:shd w:val="clear" w:color="auto" w:fill="auto"/>
                    <w:spacing w:line="240" w:lineRule="auto"/>
                    <w:jc w:val="center"/>
                    <w:rPr>
                      <w:szCs w:val="21"/>
                    </w:rPr>
                  </w:pPr>
                  <w:r>
                    <w:rPr>
                      <w:rFonts w:hint="eastAsia"/>
                      <w:szCs w:val="21"/>
                    </w:rPr>
                    <w:t>组合窗帘</w:t>
                  </w:r>
                </w:p>
              </w:tc>
              <w:tc>
                <w:tcPr>
                  <w:tcW w:w="816" w:type="dxa"/>
                </w:tcPr>
                <w:p>
                  <w:pPr>
                    <w:widowControl w:val="0"/>
                    <w:shd w:val="clear" w:color="auto" w:fill="auto"/>
                    <w:spacing w:line="240" w:lineRule="auto"/>
                    <w:jc w:val="center"/>
                    <w:rPr>
                      <w:szCs w:val="21"/>
                    </w:rPr>
                  </w:pPr>
                  <w:r>
                    <w:rPr>
                      <w:rFonts w:hint="eastAsia"/>
                      <w:szCs w:val="21"/>
                    </w:rPr>
                    <w:t>个</w:t>
                  </w:r>
                </w:p>
              </w:tc>
              <w:tc>
                <w:tcPr>
                  <w:tcW w:w="864" w:type="dxa"/>
                </w:tcPr>
                <w:p>
                  <w:pPr>
                    <w:widowControl w:val="0"/>
                    <w:shd w:val="clear" w:color="auto" w:fill="auto"/>
                    <w:spacing w:line="240" w:lineRule="auto"/>
                    <w:jc w:val="center"/>
                    <w:rPr>
                      <w:szCs w:val="21"/>
                    </w:rPr>
                  </w:pPr>
                  <w:r>
                    <w:rPr>
                      <w:rFonts w:hint="eastAsia"/>
                      <w:szCs w:val="21"/>
                    </w:rPr>
                    <w:t>5</w:t>
                  </w:r>
                </w:p>
              </w:tc>
              <w:tc>
                <w:tcPr>
                  <w:tcW w:w="2832" w:type="dxa"/>
                </w:tcPr>
                <w:p>
                  <w:pPr>
                    <w:widowControl w:val="0"/>
                    <w:shd w:val="clear" w:color="auto" w:fill="auto"/>
                    <w:spacing w:line="240" w:lineRule="auto"/>
                    <w:jc w:val="center"/>
                    <w:rPr>
                      <w:szCs w:val="21"/>
                    </w:rPr>
                  </w:pPr>
                  <w:r>
                    <w:rPr>
                      <w:rFonts w:hint="eastAsia"/>
                      <w:szCs w:val="21"/>
                    </w:rPr>
                    <w:t>拆装、打包、搬运、安放</w:t>
                  </w:r>
                </w:p>
              </w:tc>
              <w:tc>
                <w:tcPr>
                  <w:tcW w:w="1715" w:type="dxa"/>
                </w:tcPr>
                <w:p>
                  <w:pPr>
                    <w:widowControl w:val="0"/>
                    <w:shd w:val="clear" w:color="auto" w:fill="auto"/>
                    <w:spacing w:line="240" w:lineRule="auto"/>
                    <w:jc w:val="center"/>
                    <w:rPr>
                      <w:szCs w:val="21"/>
                    </w:rPr>
                  </w:pPr>
                  <w:r>
                    <w:rPr>
                      <w:rFonts w:hint="eastAsia"/>
                      <w:szCs w:val="21"/>
                    </w:rPr>
                    <w:t>银湖实验小学及其他采购人指定地点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tcPr>
                <w:p>
                  <w:pPr>
                    <w:widowControl w:val="0"/>
                    <w:shd w:val="clear" w:color="auto" w:fill="auto"/>
                    <w:spacing w:line="240" w:lineRule="auto"/>
                    <w:jc w:val="center"/>
                    <w:rPr>
                      <w:szCs w:val="21"/>
                    </w:rPr>
                  </w:pPr>
                  <w:r>
                    <w:rPr>
                      <w:rFonts w:hint="eastAsia"/>
                      <w:szCs w:val="21"/>
                    </w:rPr>
                    <w:t>100</w:t>
                  </w:r>
                </w:p>
              </w:tc>
              <w:tc>
                <w:tcPr>
                  <w:tcW w:w="1500" w:type="dxa"/>
                </w:tcPr>
                <w:p>
                  <w:pPr>
                    <w:widowControl w:val="0"/>
                    <w:shd w:val="clear" w:color="auto" w:fill="auto"/>
                    <w:spacing w:line="240" w:lineRule="auto"/>
                    <w:jc w:val="center"/>
                    <w:rPr>
                      <w:szCs w:val="21"/>
                    </w:rPr>
                  </w:pPr>
                  <w:r>
                    <w:rPr>
                      <w:rFonts w:hint="eastAsia"/>
                      <w:szCs w:val="21"/>
                    </w:rPr>
                    <w:t>乒乓球桌</w:t>
                  </w:r>
                </w:p>
              </w:tc>
              <w:tc>
                <w:tcPr>
                  <w:tcW w:w="816" w:type="dxa"/>
                </w:tcPr>
                <w:p>
                  <w:pPr>
                    <w:widowControl w:val="0"/>
                    <w:shd w:val="clear" w:color="auto" w:fill="auto"/>
                    <w:spacing w:line="240" w:lineRule="auto"/>
                    <w:jc w:val="center"/>
                    <w:rPr>
                      <w:szCs w:val="21"/>
                    </w:rPr>
                  </w:pPr>
                  <w:r>
                    <w:rPr>
                      <w:rFonts w:hint="eastAsia"/>
                      <w:szCs w:val="21"/>
                    </w:rPr>
                    <w:t>个</w:t>
                  </w:r>
                </w:p>
              </w:tc>
              <w:tc>
                <w:tcPr>
                  <w:tcW w:w="864" w:type="dxa"/>
                </w:tcPr>
                <w:p>
                  <w:pPr>
                    <w:widowControl w:val="0"/>
                    <w:shd w:val="clear" w:color="auto" w:fill="auto"/>
                    <w:spacing w:line="240" w:lineRule="auto"/>
                    <w:jc w:val="center"/>
                    <w:rPr>
                      <w:szCs w:val="21"/>
                    </w:rPr>
                  </w:pPr>
                  <w:r>
                    <w:rPr>
                      <w:rFonts w:hint="eastAsia"/>
                      <w:szCs w:val="21"/>
                    </w:rPr>
                    <w:t>1</w:t>
                  </w:r>
                </w:p>
              </w:tc>
              <w:tc>
                <w:tcPr>
                  <w:tcW w:w="2832" w:type="dxa"/>
                </w:tcPr>
                <w:p>
                  <w:pPr>
                    <w:widowControl w:val="0"/>
                    <w:shd w:val="clear" w:color="auto" w:fill="auto"/>
                    <w:spacing w:line="240" w:lineRule="auto"/>
                    <w:jc w:val="center"/>
                    <w:rPr>
                      <w:szCs w:val="21"/>
                    </w:rPr>
                  </w:pPr>
                  <w:r>
                    <w:rPr>
                      <w:rFonts w:hint="eastAsia"/>
                      <w:szCs w:val="21"/>
                    </w:rPr>
                    <w:t>打包、搬迁运输、按要求放置到指定位置</w:t>
                  </w:r>
                </w:p>
              </w:tc>
              <w:tc>
                <w:tcPr>
                  <w:tcW w:w="1715" w:type="dxa"/>
                </w:tcPr>
                <w:p>
                  <w:pPr>
                    <w:widowControl w:val="0"/>
                    <w:shd w:val="clear" w:color="auto" w:fill="auto"/>
                    <w:spacing w:line="240" w:lineRule="auto"/>
                    <w:jc w:val="center"/>
                    <w:rPr>
                      <w:szCs w:val="21"/>
                    </w:rPr>
                  </w:pPr>
                  <w:r>
                    <w:rPr>
                      <w:rFonts w:hint="eastAsia"/>
                      <w:szCs w:val="21"/>
                    </w:rPr>
                    <w:t>银湖实验小学及其他采购人指定地点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tcPr>
                <w:p>
                  <w:pPr>
                    <w:widowControl w:val="0"/>
                    <w:shd w:val="clear" w:color="auto" w:fill="auto"/>
                    <w:spacing w:line="240" w:lineRule="auto"/>
                    <w:jc w:val="center"/>
                    <w:rPr>
                      <w:szCs w:val="21"/>
                    </w:rPr>
                  </w:pPr>
                  <w:r>
                    <w:rPr>
                      <w:rFonts w:hint="eastAsia"/>
                      <w:szCs w:val="21"/>
                    </w:rPr>
                    <w:t>101</w:t>
                  </w:r>
                </w:p>
              </w:tc>
              <w:tc>
                <w:tcPr>
                  <w:tcW w:w="1500" w:type="dxa"/>
                </w:tcPr>
                <w:p>
                  <w:pPr>
                    <w:widowControl w:val="0"/>
                    <w:shd w:val="clear" w:color="auto" w:fill="auto"/>
                    <w:spacing w:line="240" w:lineRule="auto"/>
                    <w:jc w:val="center"/>
                    <w:rPr>
                      <w:szCs w:val="21"/>
                    </w:rPr>
                  </w:pPr>
                  <w:r>
                    <w:rPr>
                      <w:rFonts w:hint="eastAsia"/>
                      <w:szCs w:val="21"/>
                    </w:rPr>
                    <w:t>铁皮衣柜</w:t>
                  </w:r>
                </w:p>
              </w:tc>
              <w:tc>
                <w:tcPr>
                  <w:tcW w:w="816" w:type="dxa"/>
                </w:tcPr>
                <w:p>
                  <w:pPr>
                    <w:widowControl w:val="0"/>
                    <w:shd w:val="clear" w:color="auto" w:fill="auto"/>
                    <w:spacing w:line="240" w:lineRule="auto"/>
                    <w:jc w:val="center"/>
                    <w:rPr>
                      <w:szCs w:val="21"/>
                    </w:rPr>
                  </w:pPr>
                  <w:r>
                    <w:rPr>
                      <w:rFonts w:hint="eastAsia"/>
                      <w:szCs w:val="21"/>
                    </w:rPr>
                    <w:t>个</w:t>
                  </w:r>
                </w:p>
              </w:tc>
              <w:tc>
                <w:tcPr>
                  <w:tcW w:w="864" w:type="dxa"/>
                </w:tcPr>
                <w:p>
                  <w:pPr>
                    <w:widowControl w:val="0"/>
                    <w:shd w:val="clear" w:color="auto" w:fill="auto"/>
                    <w:spacing w:line="240" w:lineRule="auto"/>
                    <w:jc w:val="center"/>
                    <w:rPr>
                      <w:szCs w:val="21"/>
                    </w:rPr>
                  </w:pPr>
                  <w:r>
                    <w:rPr>
                      <w:rFonts w:hint="eastAsia"/>
                      <w:szCs w:val="21"/>
                    </w:rPr>
                    <w:t>23</w:t>
                  </w:r>
                </w:p>
              </w:tc>
              <w:tc>
                <w:tcPr>
                  <w:tcW w:w="2832" w:type="dxa"/>
                </w:tcPr>
                <w:p>
                  <w:pPr>
                    <w:widowControl w:val="0"/>
                    <w:shd w:val="clear" w:color="auto" w:fill="auto"/>
                    <w:spacing w:line="240" w:lineRule="auto"/>
                    <w:jc w:val="center"/>
                    <w:rPr>
                      <w:szCs w:val="21"/>
                    </w:rPr>
                  </w:pPr>
                  <w:r>
                    <w:rPr>
                      <w:rFonts w:hint="eastAsia"/>
                      <w:szCs w:val="21"/>
                    </w:rPr>
                    <w:t>打包、搬迁运输、按要求放置到指定位置</w:t>
                  </w:r>
                </w:p>
              </w:tc>
              <w:tc>
                <w:tcPr>
                  <w:tcW w:w="1715" w:type="dxa"/>
                </w:tcPr>
                <w:p>
                  <w:pPr>
                    <w:widowControl w:val="0"/>
                    <w:shd w:val="clear" w:color="auto" w:fill="auto"/>
                    <w:spacing w:line="240" w:lineRule="auto"/>
                    <w:jc w:val="center"/>
                    <w:rPr>
                      <w:szCs w:val="21"/>
                    </w:rPr>
                  </w:pPr>
                  <w:r>
                    <w:rPr>
                      <w:rFonts w:hint="eastAsia"/>
                      <w:szCs w:val="21"/>
                    </w:rPr>
                    <w:t>银湖实验小学及其他采购人指定地点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tcPr>
                <w:p>
                  <w:pPr>
                    <w:widowControl w:val="0"/>
                    <w:shd w:val="clear" w:color="auto" w:fill="auto"/>
                    <w:spacing w:line="240" w:lineRule="auto"/>
                    <w:jc w:val="center"/>
                    <w:rPr>
                      <w:szCs w:val="21"/>
                    </w:rPr>
                  </w:pPr>
                  <w:r>
                    <w:rPr>
                      <w:rFonts w:hint="eastAsia"/>
                      <w:szCs w:val="21"/>
                    </w:rPr>
                    <w:t>102</w:t>
                  </w:r>
                </w:p>
              </w:tc>
              <w:tc>
                <w:tcPr>
                  <w:tcW w:w="1500" w:type="dxa"/>
                </w:tcPr>
                <w:p>
                  <w:pPr>
                    <w:widowControl w:val="0"/>
                    <w:shd w:val="clear" w:color="auto" w:fill="auto"/>
                    <w:spacing w:line="240" w:lineRule="auto"/>
                    <w:jc w:val="center"/>
                    <w:rPr>
                      <w:szCs w:val="21"/>
                    </w:rPr>
                  </w:pPr>
                  <w:r>
                    <w:rPr>
                      <w:rFonts w:hint="eastAsia"/>
                      <w:szCs w:val="21"/>
                    </w:rPr>
                    <w:t>服务台</w:t>
                  </w:r>
                </w:p>
              </w:tc>
              <w:tc>
                <w:tcPr>
                  <w:tcW w:w="816" w:type="dxa"/>
                </w:tcPr>
                <w:p>
                  <w:pPr>
                    <w:widowControl w:val="0"/>
                    <w:shd w:val="clear" w:color="auto" w:fill="auto"/>
                    <w:spacing w:line="240" w:lineRule="auto"/>
                    <w:jc w:val="center"/>
                    <w:rPr>
                      <w:szCs w:val="21"/>
                    </w:rPr>
                  </w:pPr>
                  <w:r>
                    <w:rPr>
                      <w:rFonts w:hint="eastAsia"/>
                      <w:szCs w:val="21"/>
                    </w:rPr>
                    <w:t>个</w:t>
                  </w:r>
                </w:p>
              </w:tc>
              <w:tc>
                <w:tcPr>
                  <w:tcW w:w="864" w:type="dxa"/>
                </w:tcPr>
                <w:p>
                  <w:pPr>
                    <w:widowControl w:val="0"/>
                    <w:shd w:val="clear" w:color="auto" w:fill="auto"/>
                    <w:spacing w:line="240" w:lineRule="auto"/>
                    <w:jc w:val="center"/>
                    <w:rPr>
                      <w:szCs w:val="21"/>
                    </w:rPr>
                  </w:pPr>
                  <w:r>
                    <w:rPr>
                      <w:rFonts w:hint="eastAsia"/>
                      <w:szCs w:val="21"/>
                    </w:rPr>
                    <w:t>7</w:t>
                  </w:r>
                </w:p>
              </w:tc>
              <w:tc>
                <w:tcPr>
                  <w:tcW w:w="2832" w:type="dxa"/>
                </w:tcPr>
                <w:p>
                  <w:pPr>
                    <w:widowControl w:val="0"/>
                    <w:shd w:val="clear" w:color="auto" w:fill="auto"/>
                    <w:spacing w:line="240" w:lineRule="auto"/>
                    <w:jc w:val="center"/>
                    <w:rPr>
                      <w:szCs w:val="21"/>
                    </w:rPr>
                  </w:pPr>
                  <w:r>
                    <w:rPr>
                      <w:rFonts w:hint="eastAsia"/>
                      <w:szCs w:val="21"/>
                    </w:rPr>
                    <w:t>打包、搬迁运输、按要求放置到指定位置</w:t>
                  </w:r>
                </w:p>
              </w:tc>
              <w:tc>
                <w:tcPr>
                  <w:tcW w:w="1715" w:type="dxa"/>
                </w:tcPr>
                <w:p>
                  <w:pPr>
                    <w:widowControl w:val="0"/>
                    <w:shd w:val="clear" w:color="auto" w:fill="auto"/>
                    <w:spacing w:line="240" w:lineRule="auto"/>
                    <w:jc w:val="center"/>
                    <w:rPr>
                      <w:szCs w:val="21"/>
                    </w:rPr>
                  </w:pPr>
                  <w:r>
                    <w:rPr>
                      <w:rFonts w:hint="eastAsia"/>
                      <w:szCs w:val="21"/>
                    </w:rPr>
                    <w:t>银湖实验小学及其他采购人指定地点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tcPr>
                <w:p>
                  <w:pPr>
                    <w:widowControl w:val="0"/>
                    <w:shd w:val="clear" w:color="auto" w:fill="auto"/>
                    <w:spacing w:line="240" w:lineRule="auto"/>
                    <w:jc w:val="center"/>
                    <w:rPr>
                      <w:szCs w:val="21"/>
                    </w:rPr>
                  </w:pPr>
                  <w:r>
                    <w:rPr>
                      <w:rFonts w:hint="eastAsia"/>
                      <w:szCs w:val="21"/>
                    </w:rPr>
                    <w:t>103</w:t>
                  </w:r>
                </w:p>
              </w:tc>
              <w:tc>
                <w:tcPr>
                  <w:tcW w:w="1500" w:type="dxa"/>
                </w:tcPr>
                <w:p>
                  <w:pPr>
                    <w:widowControl w:val="0"/>
                    <w:shd w:val="clear" w:color="auto" w:fill="auto"/>
                    <w:spacing w:line="240" w:lineRule="auto"/>
                    <w:jc w:val="center"/>
                    <w:rPr>
                      <w:szCs w:val="21"/>
                    </w:rPr>
                  </w:pPr>
                  <w:r>
                    <w:rPr>
                      <w:rFonts w:hint="eastAsia"/>
                      <w:szCs w:val="21"/>
                    </w:rPr>
                    <w:t>平板车</w:t>
                  </w:r>
                </w:p>
              </w:tc>
              <w:tc>
                <w:tcPr>
                  <w:tcW w:w="816" w:type="dxa"/>
                </w:tcPr>
                <w:p>
                  <w:pPr>
                    <w:widowControl w:val="0"/>
                    <w:shd w:val="clear" w:color="auto" w:fill="auto"/>
                    <w:spacing w:line="240" w:lineRule="auto"/>
                    <w:jc w:val="center"/>
                    <w:rPr>
                      <w:szCs w:val="21"/>
                    </w:rPr>
                  </w:pPr>
                </w:p>
              </w:tc>
              <w:tc>
                <w:tcPr>
                  <w:tcW w:w="864" w:type="dxa"/>
                </w:tcPr>
                <w:p>
                  <w:pPr>
                    <w:widowControl w:val="0"/>
                    <w:shd w:val="clear" w:color="auto" w:fill="auto"/>
                    <w:spacing w:line="240" w:lineRule="auto"/>
                    <w:jc w:val="center"/>
                    <w:rPr>
                      <w:szCs w:val="21"/>
                    </w:rPr>
                  </w:pPr>
                  <w:r>
                    <w:rPr>
                      <w:rFonts w:hint="eastAsia"/>
                      <w:szCs w:val="21"/>
                    </w:rPr>
                    <w:t>16</w:t>
                  </w:r>
                </w:p>
              </w:tc>
              <w:tc>
                <w:tcPr>
                  <w:tcW w:w="2832" w:type="dxa"/>
                </w:tcPr>
                <w:p>
                  <w:pPr>
                    <w:widowControl w:val="0"/>
                    <w:shd w:val="clear" w:color="auto" w:fill="auto"/>
                    <w:spacing w:line="240" w:lineRule="auto"/>
                    <w:jc w:val="center"/>
                    <w:rPr>
                      <w:szCs w:val="21"/>
                    </w:rPr>
                  </w:pPr>
                  <w:r>
                    <w:rPr>
                      <w:rFonts w:hint="eastAsia"/>
                      <w:szCs w:val="21"/>
                    </w:rPr>
                    <w:t>打包、搬迁运输、按要求放置到指定位置</w:t>
                  </w:r>
                </w:p>
              </w:tc>
              <w:tc>
                <w:tcPr>
                  <w:tcW w:w="1715" w:type="dxa"/>
                </w:tcPr>
                <w:p>
                  <w:pPr>
                    <w:widowControl w:val="0"/>
                    <w:shd w:val="clear" w:color="auto" w:fill="auto"/>
                    <w:spacing w:line="240" w:lineRule="auto"/>
                    <w:jc w:val="center"/>
                    <w:rPr>
                      <w:szCs w:val="21"/>
                    </w:rPr>
                  </w:pPr>
                  <w:r>
                    <w:rPr>
                      <w:rFonts w:hint="eastAsia"/>
                      <w:szCs w:val="21"/>
                    </w:rPr>
                    <w:t>银湖实验小学及其他采购人指定地点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tcPr>
                <w:p>
                  <w:pPr>
                    <w:widowControl w:val="0"/>
                    <w:shd w:val="clear" w:color="auto" w:fill="auto"/>
                    <w:spacing w:line="240" w:lineRule="auto"/>
                    <w:jc w:val="center"/>
                    <w:rPr>
                      <w:szCs w:val="21"/>
                    </w:rPr>
                  </w:pPr>
                  <w:r>
                    <w:rPr>
                      <w:rFonts w:hint="eastAsia"/>
                      <w:szCs w:val="21"/>
                    </w:rPr>
                    <w:t>104</w:t>
                  </w:r>
                </w:p>
              </w:tc>
              <w:tc>
                <w:tcPr>
                  <w:tcW w:w="1500" w:type="dxa"/>
                </w:tcPr>
                <w:p>
                  <w:pPr>
                    <w:widowControl w:val="0"/>
                    <w:shd w:val="clear" w:color="auto" w:fill="auto"/>
                    <w:spacing w:line="240" w:lineRule="auto"/>
                    <w:jc w:val="center"/>
                    <w:rPr>
                      <w:szCs w:val="21"/>
                    </w:rPr>
                  </w:pPr>
                  <w:r>
                    <w:rPr>
                      <w:rFonts w:hint="eastAsia"/>
                      <w:szCs w:val="21"/>
                    </w:rPr>
                    <w:t>铁皮电脑柜</w:t>
                  </w:r>
                </w:p>
              </w:tc>
              <w:tc>
                <w:tcPr>
                  <w:tcW w:w="816" w:type="dxa"/>
                </w:tcPr>
                <w:p>
                  <w:pPr>
                    <w:widowControl w:val="0"/>
                    <w:shd w:val="clear" w:color="auto" w:fill="auto"/>
                    <w:spacing w:line="240" w:lineRule="auto"/>
                    <w:jc w:val="center"/>
                    <w:rPr>
                      <w:szCs w:val="21"/>
                    </w:rPr>
                  </w:pPr>
                  <w:r>
                    <w:rPr>
                      <w:rFonts w:hint="eastAsia"/>
                      <w:szCs w:val="21"/>
                    </w:rPr>
                    <w:t>张</w:t>
                  </w:r>
                </w:p>
              </w:tc>
              <w:tc>
                <w:tcPr>
                  <w:tcW w:w="864" w:type="dxa"/>
                </w:tcPr>
                <w:p>
                  <w:pPr>
                    <w:widowControl w:val="0"/>
                    <w:shd w:val="clear" w:color="auto" w:fill="auto"/>
                    <w:spacing w:line="240" w:lineRule="auto"/>
                    <w:jc w:val="center"/>
                    <w:rPr>
                      <w:szCs w:val="21"/>
                    </w:rPr>
                  </w:pPr>
                  <w:r>
                    <w:rPr>
                      <w:rFonts w:hint="eastAsia"/>
                      <w:szCs w:val="21"/>
                    </w:rPr>
                    <w:t>5</w:t>
                  </w:r>
                </w:p>
              </w:tc>
              <w:tc>
                <w:tcPr>
                  <w:tcW w:w="2832" w:type="dxa"/>
                </w:tcPr>
                <w:p>
                  <w:pPr>
                    <w:widowControl w:val="0"/>
                    <w:shd w:val="clear" w:color="auto" w:fill="auto"/>
                    <w:spacing w:line="240" w:lineRule="auto"/>
                    <w:jc w:val="center"/>
                    <w:rPr>
                      <w:szCs w:val="21"/>
                    </w:rPr>
                  </w:pPr>
                  <w:r>
                    <w:rPr>
                      <w:rFonts w:hint="eastAsia"/>
                      <w:szCs w:val="21"/>
                    </w:rPr>
                    <w:t>打包、搬迁运输、按要求放置到指定位置</w:t>
                  </w:r>
                </w:p>
              </w:tc>
              <w:tc>
                <w:tcPr>
                  <w:tcW w:w="1715" w:type="dxa"/>
                </w:tcPr>
                <w:p>
                  <w:pPr>
                    <w:widowControl w:val="0"/>
                    <w:shd w:val="clear" w:color="auto" w:fill="auto"/>
                    <w:spacing w:line="240" w:lineRule="auto"/>
                    <w:jc w:val="center"/>
                    <w:rPr>
                      <w:szCs w:val="21"/>
                    </w:rPr>
                  </w:pPr>
                  <w:r>
                    <w:rPr>
                      <w:rFonts w:hint="eastAsia"/>
                      <w:szCs w:val="21"/>
                    </w:rPr>
                    <w:t>银湖实验小学及其他采购人指定地点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tcPr>
                <w:p>
                  <w:pPr>
                    <w:widowControl w:val="0"/>
                    <w:shd w:val="clear" w:color="auto" w:fill="auto"/>
                    <w:spacing w:line="240" w:lineRule="auto"/>
                    <w:jc w:val="center"/>
                    <w:rPr>
                      <w:szCs w:val="21"/>
                    </w:rPr>
                  </w:pPr>
                  <w:r>
                    <w:rPr>
                      <w:rFonts w:hint="eastAsia"/>
                      <w:szCs w:val="21"/>
                    </w:rPr>
                    <w:t>105</w:t>
                  </w:r>
                </w:p>
              </w:tc>
              <w:tc>
                <w:tcPr>
                  <w:tcW w:w="1500" w:type="dxa"/>
                </w:tcPr>
                <w:p>
                  <w:pPr>
                    <w:widowControl w:val="0"/>
                    <w:shd w:val="clear" w:color="auto" w:fill="auto"/>
                    <w:spacing w:line="240" w:lineRule="auto"/>
                    <w:jc w:val="center"/>
                    <w:rPr>
                      <w:szCs w:val="21"/>
                    </w:rPr>
                  </w:pPr>
                  <w:r>
                    <w:rPr>
                      <w:rFonts w:hint="eastAsia"/>
                      <w:szCs w:val="21"/>
                    </w:rPr>
                    <w:t>多功能厅排椅</w:t>
                  </w:r>
                </w:p>
              </w:tc>
              <w:tc>
                <w:tcPr>
                  <w:tcW w:w="816" w:type="dxa"/>
                </w:tcPr>
                <w:p>
                  <w:pPr>
                    <w:widowControl w:val="0"/>
                    <w:shd w:val="clear" w:color="auto" w:fill="auto"/>
                    <w:spacing w:line="240" w:lineRule="auto"/>
                    <w:jc w:val="center"/>
                    <w:rPr>
                      <w:szCs w:val="21"/>
                    </w:rPr>
                  </w:pPr>
                  <w:r>
                    <w:rPr>
                      <w:rFonts w:hint="eastAsia"/>
                      <w:szCs w:val="21"/>
                    </w:rPr>
                    <w:t>张</w:t>
                  </w:r>
                </w:p>
              </w:tc>
              <w:tc>
                <w:tcPr>
                  <w:tcW w:w="864" w:type="dxa"/>
                </w:tcPr>
                <w:p>
                  <w:pPr>
                    <w:widowControl w:val="0"/>
                    <w:shd w:val="clear" w:color="auto" w:fill="auto"/>
                    <w:spacing w:line="240" w:lineRule="auto"/>
                    <w:jc w:val="center"/>
                    <w:rPr>
                      <w:szCs w:val="21"/>
                    </w:rPr>
                  </w:pPr>
                  <w:r>
                    <w:rPr>
                      <w:rFonts w:hint="eastAsia"/>
                      <w:szCs w:val="21"/>
                    </w:rPr>
                    <w:t>195</w:t>
                  </w:r>
                </w:p>
              </w:tc>
              <w:tc>
                <w:tcPr>
                  <w:tcW w:w="2832" w:type="dxa"/>
                </w:tcPr>
                <w:p>
                  <w:pPr>
                    <w:widowControl w:val="0"/>
                    <w:shd w:val="clear" w:color="auto" w:fill="auto"/>
                    <w:spacing w:line="240" w:lineRule="auto"/>
                    <w:jc w:val="center"/>
                    <w:rPr>
                      <w:szCs w:val="21"/>
                    </w:rPr>
                  </w:pPr>
                  <w:r>
                    <w:rPr>
                      <w:rFonts w:hint="eastAsia"/>
                      <w:szCs w:val="21"/>
                    </w:rPr>
                    <w:t>打包、搬迁运输、按要求放置到指定位置</w:t>
                  </w:r>
                </w:p>
              </w:tc>
              <w:tc>
                <w:tcPr>
                  <w:tcW w:w="1715" w:type="dxa"/>
                </w:tcPr>
                <w:p>
                  <w:pPr>
                    <w:widowControl w:val="0"/>
                    <w:shd w:val="clear" w:color="auto" w:fill="auto"/>
                    <w:spacing w:line="240" w:lineRule="auto"/>
                    <w:jc w:val="center"/>
                    <w:rPr>
                      <w:szCs w:val="21"/>
                    </w:rPr>
                  </w:pPr>
                  <w:r>
                    <w:rPr>
                      <w:rFonts w:hint="eastAsia"/>
                      <w:szCs w:val="21"/>
                    </w:rPr>
                    <w:t>银湖实验小学及其他采购人指定地点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tcPr>
                <w:p>
                  <w:pPr>
                    <w:widowControl w:val="0"/>
                    <w:shd w:val="clear" w:color="auto" w:fill="auto"/>
                    <w:spacing w:line="240" w:lineRule="auto"/>
                    <w:jc w:val="center"/>
                    <w:rPr>
                      <w:szCs w:val="21"/>
                    </w:rPr>
                  </w:pPr>
                  <w:r>
                    <w:rPr>
                      <w:rFonts w:hint="eastAsia"/>
                      <w:szCs w:val="21"/>
                    </w:rPr>
                    <w:t>106</w:t>
                  </w:r>
                </w:p>
              </w:tc>
              <w:tc>
                <w:tcPr>
                  <w:tcW w:w="1500" w:type="dxa"/>
                </w:tcPr>
                <w:p>
                  <w:pPr>
                    <w:widowControl w:val="0"/>
                    <w:shd w:val="clear" w:color="auto" w:fill="auto"/>
                    <w:spacing w:line="240" w:lineRule="auto"/>
                    <w:jc w:val="center"/>
                    <w:rPr>
                      <w:szCs w:val="21"/>
                    </w:rPr>
                  </w:pPr>
                  <w:r>
                    <w:rPr>
                      <w:rFonts w:hint="eastAsia"/>
                      <w:szCs w:val="21"/>
                    </w:rPr>
                    <w:t>防盗仪</w:t>
                  </w:r>
                </w:p>
              </w:tc>
              <w:tc>
                <w:tcPr>
                  <w:tcW w:w="816" w:type="dxa"/>
                </w:tcPr>
                <w:p>
                  <w:pPr>
                    <w:widowControl w:val="0"/>
                    <w:shd w:val="clear" w:color="auto" w:fill="auto"/>
                    <w:spacing w:line="240" w:lineRule="auto"/>
                    <w:jc w:val="center"/>
                    <w:rPr>
                      <w:szCs w:val="21"/>
                    </w:rPr>
                  </w:pPr>
                  <w:r>
                    <w:rPr>
                      <w:rFonts w:hint="eastAsia"/>
                      <w:szCs w:val="21"/>
                    </w:rPr>
                    <w:t>个</w:t>
                  </w:r>
                </w:p>
              </w:tc>
              <w:tc>
                <w:tcPr>
                  <w:tcW w:w="864" w:type="dxa"/>
                </w:tcPr>
                <w:p>
                  <w:pPr>
                    <w:widowControl w:val="0"/>
                    <w:shd w:val="clear" w:color="auto" w:fill="auto"/>
                    <w:spacing w:line="240" w:lineRule="auto"/>
                    <w:jc w:val="center"/>
                    <w:rPr>
                      <w:szCs w:val="21"/>
                    </w:rPr>
                  </w:pPr>
                  <w:r>
                    <w:rPr>
                      <w:rFonts w:hint="eastAsia"/>
                      <w:szCs w:val="21"/>
                    </w:rPr>
                    <w:t>2</w:t>
                  </w:r>
                </w:p>
              </w:tc>
              <w:tc>
                <w:tcPr>
                  <w:tcW w:w="2832" w:type="dxa"/>
                </w:tcPr>
                <w:p>
                  <w:pPr>
                    <w:widowControl w:val="0"/>
                    <w:shd w:val="clear" w:color="auto" w:fill="auto"/>
                    <w:spacing w:line="240" w:lineRule="auto"/>
                    <w:jc w:val="center"/>
                    <w:rPr>
                      <w:szCs w:val="21"/>
                    </w:rPr>
                  </w:pPr>
                  <w:r>
                    <w:rPr>
                      <w:rFonts w:hint="eastAsia"/>
                      <w:szCs w:val="21"/>
                    </w:rPr>
                    <w:t>打包、搬迁运输、按要求放置到指定位置</w:t>
                  </w:r>
                </w:p>
              </w:tc>
              <w:tc>
                <w:tcPr>
                  <w:tcW w:w="1715" w:type="dxa"/>
                </w:tcPr>
                <w:p>
                  <w:pPr>
                    <w:widowControl w:val="0"/>
                    <w:shd w:val="clear" w:color="auto" w:fill="auto"/>
                    <w:spacing w:line="240" w:lineRule="auto"/>
                    <w:jc w:val="center"/>
                    <w:rPr>
                      <w:szCs w:val="21"/>
                    </w:rPr>
                  </w:pPr>
                  <w:r>
                    <w:rPr>
                      <w:rFonts w:hint="eastAsia"/>
                      <w:szCs w:val="21"/>
                    </w:rPr>
                    <w:t>银湖实验小学及其他采购人指定地点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tcPr>
                <w:p>
                  <w:pPr>
                    <w:widowControl w:val="0"/>
                    <w:shd w:val="clear" w:color="auto" w:fill="auto"/>
                    <w:spacing w:line="240" w:lineRule="auto"/>
                    <w:jc w:val="center"/>
                    <w:rPr>
                      <w:szCs w:val="21"/>
                    </w:rPr>
                  </w:pPr>
                  <w:r>
                    <w:rPr>
                      <w:rFonts w:hint="eastAsia"/>
                      <w:szCs w:val="21"/>
                    </w:rPr>
                    <w:t>107</w:t>
                  </w:r>
                </w:p>
              </w:tc>
              <w:tc>
                <w:tcPr>
                  <w:tcW w:w="1500" w:type="dxa"/>
                </w:tcPr>
                <w:p>
                  <w:pPr>
                    <w:widowControl w:val="0"/>
                    <w:shd w:val="clear" w:color="auto" w:fill="auto"/>
                    <w:spacing w:line="240" w:lineRule="auto"/>
                    <w:jc w:val="center"/>
                    <w:rPr>
                      <w:szCs w:val="21"/>
                    </w:rPr>
                  </w:pPr>
                  <w:r>
                    <w:rPr>
                      <w:rFonts w:hint="eastAsia"/>
                      <w:szCs w:val="21"/>
                    </w:rPr>
                    <w:t>藤桌</w:t>
                  </w:r>
                </w:p>
              </w:tc>
              <w:tc>
                <w:tcPr>
                  <w:tcW w:w="816" w:type="dxa"/>
                </w:tcPr>
                <w:p>
                  <w:pPr>
                    <w:widowControl w:val="0"/>
                    <w:shd w:val="clear" w:color="auto" w:fill="auto"/>
                    <w:spacing w:line="240" w:lineRule="auto"/>
                    <w:jc w:val="center"/>
                    <w:rPr>
                      <w:szCs w:val="21"/>
                    </w:rPr>
                  </w:pPr>
                  <w:r>
                    <w:rPr>
                      <w:rFonts w:hint="eastAsia"/>
                      <w:szCs w:val="21"/>
                    </w:rPr>
                    <w:t>张</w:t>
                  </w:r>
                </w:p>
              </w:tc>
              <w:tc>
                <w:tcPr>
                  <w:tcW w:w="864" w:type="dxa"/>
                </w:tcPr>
                <w:p>
                  <w:pPr>
                    <w:widowControl w:val="0"/>
                    <w:shd w:val="clear" w:color="auto" w:fill="auto"/>
                    <w:spacing w:line="240" w:lineRule="auto"/>
                    <w:jc w:val="center"/>
                    <w:rPr>
                      <w:szCs w:val="21"/>
                    </w:rPr>
                  </w:pPr>
                  <w:r>
                    <w:rPr>
                      <w:rFonts w:hint="eastAsia"/>
                      <w:szCs w:val="21"/>
                    </w:rPr>
                    <w:t>7</w:t>
                  </w:r>
                </w:p>
              </w:tc>
              <w:tc>
                <w:tcPr>
                  <w:tcW w:w="2832" w:type="dxa"/>
                </w:tcPr>
                <w:p>
                  <w:pPr>
                    <w:widowControl w:val="0"/>
                    <w:shd w:val="clear" w:color="auto" w:fill="auto"/>
                    <w:spacing w:line="240" w:lineRule="auto"/>
                    <w:jc w:val="center"/>
                    <w:rPr>
                      <w:szCs w:val="21"/>
                    </w:rPr>
                  </w:pPr>
                  <w:r>
                    <w:rPr>
                      <w:rFonts w:hint="eastAsia"/>
                      <w:szCs w:val="21"/>
                    </w:rPr>
                    <w:t>打包、搬迁运输、按要求放置到指定位置</w:t>
                  </w:r>
                </w:p>
              </w:tc>
              <w:tc>
                <w:tcPr>
                  <w:tcW w:w="1715" w:type="dxa"/>
                </w:tcPr>
                <w:p>
                  <w:pPr>
                    <w:widowControl w:val="0"/>
                    <w:shd w:val="clear" w:color="auto" w:fill="auto"/>
                    <w:spacing w:line="240" w:lineRule="auto"/>
                    <w:jc w:val="center"/>
                    <w:rPr>
                      <w:szCs w:val="21"/>
                    </w:rPr>
                  </w:pPr>
                  <w:r>
                    <w:rPr>
                      <w:rFonts w:hint="eastAsia"/>
                      <w:szCs w:val="21"/>
                    </w:rPr>
                    <w:t>银湖实验小学及其他采购人指定地点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tcPr>
                <w:p>
                  <w:pPr>
                    <w:widowControl w:val="0"/>
                    <w:shd w:val="clear" w:color="auto" w:fill="auto"/>
                    <w:spacing w:line="240" w:lineRule="auto"/>
                    <w:jc w:val="center"/>
                    <w:rPr>
                      <w:szCs w:val="21"/>
                    </w:rPr>
                  </w:pPr>
                  <w:r>
                    <w:rPr>
                      <w:rFonts w:hint="eastAsia"/>
                      <w:szCs w:val="21"/>
                    </w:rPr>
                    <w:t>108</w:t>
                  </w:r>
                </w:p>
              </w:tc>
              <w:tc>
                <w:tcPr>
                  <w:tcW w:w="1500" w:type="dxa"/>
                </w:tcPr>
                <w:p>
                  <w:pPr>
                    <w:widowControl w:val="0"/>
                    <w:shd w:val="clear" w:color="auto" w:fill="auto"/>
                    <w:spacing w:line="240" w:lineRule="auto"/>
                    <w:jc w:val="center"/>
                    <w:rPr>
                      <w:szCs w:val="21"/>
                    </w:rPr>
                  </w:pPr>
                  <w:r>
                    <w:rPr>
                      <w:rFonts w:hint="eastAsia"/>
                      <w:szCs w:val="21"/>
                    </w:rPr>
                    <w:t>藤椅</w:t>
                  </w:r>
                </w:p>
              </w:tc>
              <w:tc>
                <w:tcPr>
                  <w:tcW w:w="816" w:type="dxa"/>
                </w:tcPr>
                <w:p>
                  <w:pPr>
                    <w:widowControl w:val="0"/>
                    <w:shd w:val="clear" w:color="auto" w:fill="auto"/>
                    <w:spacing w:line="240" w:lineRule="auto"/>
                    <w:jc w:val="center"/>
                    <w:rPr>
                      <w:szCs w:val="21"/>
                    </w:rPr>
                  </w:pPr>
                  <w:r>
                    <w:rPr>
                      <w:rFonts w:hint="eastAsia"/>
                      <w:szCs w:val="21"/>
                    </w:rPr>
                    <w:t>张</w:t>
                  </w:r>
                </w:p>
              </w:tc>
              <w:tc>
                <w:tcPr>
                  <w:tcW w:w="864" w:type="dxa"/>
                </w:tcPr>
                <w:p>
                  <w:pPr>
                    <w:widowControl w:val="0"/>
                    <w:shd w:val="clear" w:color="auto" w:fill="auto"/>
                    <w:spacing w:line="240" w:lineRule="auto"/>
                    <w:jc w:val="center"/>
                    <w:rPr>
                      <w:szCs w:val="21"/>
                    </w:rPr>
                  </w:pPr>
                  <w:r>
                    <w:rPr>
                      <w:rFonts w:hint="eastAsia"/>
                      <w:szCs w:val="21"/>
                    </w:rPr>
                    <w:t>36</w:t>
                  </w:r>
                </w:p>
              </w:tc>
              <w:tc>
                <w:tcPr>
                  <w:tcW w:w="2832" w:type="dxa"/>
                </w:tcPr>
                <w:p>
                  <w:pPr>
                    <w:widowControl w:val="0"/>
                    <w:shd w:val="clear" w:color="auto" w:fill="auto"/>
                    <w:spacing w:line="240" w:lineRule="auto"/>
                    <w:jc w:val="center"/>
                    <w:rPr>
                      <w:szCs w:val="21"/>
                    </w:rPr>
                  </w:pPr>
                  <w:r>
                    <w:rPr>
                      <w:rFonts w:hint="eastAsia"/>
                      <w:szCs w:val="21"/>
                    </w:rPr>
                    <w:t>打包、搬迁运输、按要求放置到指定位置</w:t>
                  </w:r>
                </w:p>
              </w:tc>
              <w:tc>
                <w:tcPr>
                  <w:tcW w:w="1715" w:type="dxa"/>
                </w:tcPr>
                <w:p>
                  <w:pPr>
                    <w:widowControl w:val="0"/>
                    <w:shd w:val="clear" w:color="auto" w:fill="auto"/>
                    <w:spacing w:line="240" w:lineRule="auto"/>
                    <w:jc w:val="center"/>
                    <w:rPr>
                      <w:szCs w:val="21"/>
                    </w:rPr>
                  </w:pPr>
                  <w:r>
                    <w:rPr>
                      <w:rFonts w:hint="eastAsia"/>
                      <w:szCs w:val="21"/>
                    </w:rPr>
                    <w:t>银湖实验小学及其他采购人指定地点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tcPr>
                <w:p>
                  <w:pPr>
                    <w:widowControl w:val="0"/>
                    <w:shd w:val="clear" w:color="auto" w:fill="auto"/>
                    <w:spacing w:line="240" w:lineRule="auto"/>
                    <w:jc w:val="center"/>
                    <w:rPr>
                      <w:szCs w:val="21"/>
                    </w:rPr>
                  </w:pPr>
                  <w:r>
                    <w:rPr>
                      <w:rFonts w:hint="eastAsia"/>
                      <w:szCs w:val="21"/>
                    </w:rPr>
                    <w:t>109</w:t>
                  </w:r>
                </w:p>
              </w:tc>
              <w:tc>
                <w:tcPr>
                  <w:tcW w:w="1500" w:type="dxa"/>
                </w:tcPr>
                <w:p>
                  <w:pPr>
                    <w:widowControl w:val="0"/>
                    <w:shd w:val="clear" w:color="auto" w:fill="auto"/>
                    <w:spacing w:line="240" w:lineRule="auto"/>
                    <w:jc w:val="center"/>
                    <w:rPr>
                      <w:szCs w:val="21"/>
                    </w:rPr>
                  </w:pPr>
                  <w:r>
                    <w:rPr>
                      <w:rFonts w:hint="eastAsia"/>
                      <w:szCs w:val="21"/>
                    </w:rPr>
                    <w:t>电子相册</w:t>
                  </w:r>
                </w:p>
              </w:tc>
              <w:tc>
                <w:tcPr>
                  <w:tcW w:w="816" w:type="dxa"/>
                </w:tcPr>
                <w:p>
                  <w:pPr>
                    <w:widowControl w:val="0"/>
                    <w:shd w:val="clear" w:color="auto" w:fill="auto"/>
                    <w:spacing w:line="240" w:lineRule="auto"/>
                    <w:jc w:val="center"/>
                    <w:rPr>
                      <w:szCs w:val="21"/>
                    </w:rPr>
                  </w:pPr>
                  <w:r>
                    <w:rPr>
                      <w:rFonts w:hint="eastAsia"/>
                      <w:szCs w:val="21"/>
                    </w:rPr>
                    <w:t>册</w:t>
                  </w:r>
                </w:p>
              </w:tc>
              <w:tc>
                <w:tcPr>
                  <w:tcW w:w="864" w:type="dxa"/>
                </w:tcPr>
                <w:p>
                  <w:pPr>
                    <w:widowControl w:val="0"/>
                    <w:shd w:val="clear" w:color="auto" w:fill="auto"/>
                    <w:spacing w:line="240" w:lineRule="auto"/>
                    <w:jc w:val="center"/>
                    <w:rPr>
                      <w:szCs w:val="21"/>
                    </w:rPr>
                  </w:pPr>
                  <w:r>
                    <w:rPr>
                      <w:rFonts w:hint="eastAsia"/>
                      <w:szCs w:val="21"/>
                    </w:rPr>
                    <w:t>7</w:t>
                  </w:r>
                </w:p>
              </w:tc>
              <w:tc>
                <w:tcPr>
                  <w:tcW w:w="2832" w:type="dxa"/>
                </w:tcPr>
                <w:p>
                  <w:pPr>
                    <w:widowControl w:val="0"/>
                    <w:shd w:val="clear" w:color="auto" w:fill="auto"/>
                    <w:spacing w:line="240" w:lineRule="auto"/>
                    <w:jc w:val="center"/>
                    <w:rPr>
                      <w:szCs w:val="21"/>
                    </w:rPr>
                  </w:pPr>
                  <w:r>
                    <w:rPr>
                      <w:rFonts w:hint="eastAsia"/>
                      <w:szCs w:val="21"/>
                    </w:rPr>
                    <w:t>上下架、打包、分类、搬运、运输</w:t>
                  </w:r>
                </w:p>
              </w:tc>
              <w:tc>
                <w:tcPr>
                  <w:tcW w:w="1715" w:type="dxa"/>
                </w:tcPr>
                <w:p>
                  <w:pPr>
                    <w:widowControl w:val="0"/>
                    <w:shd w:val="clear" w:color="auto" w:fill="auto"/>
                    <w:spacing w:line="240" w:lineRule="auto"/>
                    <w:jc w:val="center"/>
                    <w:rPr>
                      <w:szCs w:val="21"/>
                    </w:rPr>
                  </w:pPr>
                  <w:r>
                    <w:rPr>
                      <w:rFonts w:hint="eastAsia"/>
                      <w:szCs w:val="21"/>
                    </w:rPr>
                    <w:t>银湖实验小学及其他采购人指定地点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widowControl w:val="0"/>
                    <w:shd w:val="clear" w:color="auto" w:fill="auto"/>
                    <w:spacing w:line="240" w:lineRule="auto"/>
                    <w:jc w:val="center"/>
                    <w:rPr>
                      <w:szCs w:val="21"/>
                    </w:rPr>
                  </w:pPr>
                  <w:r>
                    <w:rPr>
                      <w:rFonts w:hint="eastAsia"/>
                      <w:szCs w:val="21"/>
                    </w:rPr>
                    <w:t>110</w:t>
                  </w:r>
                </w:p>
              </w:tc>
              <w:tc>
                <w:tcPr>
                  <w:tcW w:w="1500" w:type="dxa"/>
                  <w:vAlign w:val="center"/>
                </w:tcPr>
                <w:p>
                  <w:pPr>
                    <w:widowControl w:val="0"/>
                    <w:shd w:val="clear" w:color="auto" w:fill="auto"/>
                    <w:spacing w:line="240" w:lineRule="auto"/>
                    <w:jc w:val="center"/>
                    <w:rPr>
                      <w:szCs w:val="21"/>
                    </w:rPr>
                  </w:pPr>
                  <w:r>
                    <w:rPr>
                      <w:rFonts w:hint="eastAsia"/>
                      <w:szCs w:val="21"/>
                    </w:rPr>
                    <w:t>挂机空调</w:t>
                  </w:r>
                </w:p>
              </w:tc>
              <w:tc>
                <w:tcPr>
                  <w:tcW w:w="816" w:type="dxa"/>
                  <w:vAlign w:val="center"/>
                </w:tcPr>
                <w:p>
                  <w:pPr>
                    <w:widowControl w:val="0"/>
                    <w:shd w:val="clear" w:color="auto" w:fill="auto"/>
                    <w:spacing w:line="240" w:lineRule="auto"/>
                    <w:jc w:val="center"/>
                    <w:rPr>
                      <w:szCs w:val="21"/>
                    </w:rPr>
                  </w:pPr>
                  <w:r>
                    <w:rPr>
                      <w:rFonts w:hint="eastAsia"/>
                      <w:szCs w:val="21"/>
                    </w:rPr>
                    <w:t>台</w:t>
                  </w:r>
                </w:p>
              </w:tc>
              <w:tc>
                <w:tcPr>
                  <w:tcW w:w="864" w:type="dxa"/>
                  <w:vAlign w:val="center"/>
                </w:tcPr>
                <w:p>
                  <w:pPr>
                    <w:widowControl w:val="0"/>
                    <w:shd w:val="clear" w:color="auto" w:fill="auto"/>
                    <w:spacing w:line="240" w:lineRule="auto"/>
                    <w:jc w:val="center"/>
                    <w:rPr>
                      <w:szCs w:val="21"/>
                    </w:rPr>
                  </w:pPr>
                  <w:r>
                    <w:rPr>
                      <w:rFonts w:hint="eastAsia"/>
                      <w:szCs w:val="21"/>
                    </w:rPr>
                    <w:t>20</w:t>
                  </w:r>
                </w:p>
              </w:tc>
              <w:tc>
                <w:tcPr>
                  <w:tcW w:w="2832" w:type="dxa"/>
                  <w:vAlign w:val="center"/>
                </w:tcPr>
                <w:p>
                  <w:pPr>
                    <w:widowControl w:val="0"/>
                    <w:shd w:val="clear" w:color="auto" w:fill="auto"/>
                    <w:spacing w:line="240" w:lineRule="auto"/>
                    <w:jc w:val="center"/>
                    <w:rPr>
                      <w:szCs w:val="21"/>
                    </w:rPr>
                  </w:pPr>
                  <w:r>
                    <w:rPr>
                      <w:rFonts w:hint="eastAsia"/>
                      <w:szCs w:val="21"/>
                    </w:rPr>
                    <w:t>上下架、打包、分类、搬运、运输</w:t>
                  </w:r>
                </w:p>
              </w:tc>
              <w:tc>
                <w:tcPr>
                  <w:tcW w:w="1715" w:type="dxa"/>
                  <w:vAlign w:val="center"/>
                </w:tcPr>
                <w:p>
                  <w:pPr>
                    <w:widowControl w:val="0"/>
                    <w:shd w:val="clear" w:color="auto" w:fill="auto"/>
                    <w:spacing w:line="240" w:lineRule="auto"/>
                    <w:jc w:val="center"/>
                    <w:rPr>
                      <w:szCs w:val="21"/>
                    </w:rPr>
                  </w:pPr>
                  <w:r>
                    <w:rPr>
                      <w:rFonts w:hint="eastAsia"/>
                      <w:szCs w:val="21"/>
                    </w:rPr>
                    <w:t>银湖实验小学及其他采购人指定地点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widowControl w:val="0"/>
                    <w:shd w:val="clear" w:color="auto" w:fill="auto"/>
                    <w:spacing w:line="240" w:lineRule="auto"/>
                    <w:jc w:val="center"/>
                    <w:rPr>
                      <w:szCs w:val="21"/>
                    </w:rPr>
                  </w:pPr>
                  <w:r>
                    <w:rPr>
                      <w:rFonts w:hint="eastAsia"/>
                      <w:szCs w:val="21"/>
                    </w:rPr>
                    <w:t>111</w:t>
                  </w:r>
                </w:p>
              </w:tc>
              <w:tc>
                <w:tcPr>
                  <w:tcW w:w="1500" w:type="dxa"/>
                  <w:vAlign w:val="center"/>
                </w:tcPr>
                <w:p>
                  <w:pPr>
                    <w:widowControl w:val="0"/>
                    <w:shd w:val="clear" w:color="auto" w:fill="auto"/>
                    <w:spacing w:line="240" w:lineRule="auto"/>
                    <w:jc w:val="center"/>
                    <w:rPr>
                      <w:szCs w:val="21"/>
                    </w:rPr>
                  </w:pPr>
                  <w:r>
                    <w:rPr>
                      <w:rFonts w:hint="eastAsia"/>
                      <w:szCs w:val="21"/>
                    </w:rPr>
                    <w:t>文献图书</w:t>
                  </w:r>
                </w:p>
              </w:tc>
              <w:tc>
                <w:tcPr>
                  <w:tcW w:w="816" w:type="dxa"/>
                  <w:vAlign w:val="center"/>
                </w:tcPr>
                <w:p>
                  <w:pPr>
                    <w:widowControl w:val="0"/>
                    <w:shd w:val="clear" w:color="auto" w:fill="auto"/>
                    <w:spacing w:line="240" w:lineRule="auto"/>
                    <w:jc w:val="center"/>
                    <w:rPr>
                      <w:szCs w:val="21"/>
                    </w:rPr>
                  </w:pPr>
                  <w:r>
                    <w:rPr>
                      <w:rFonts w:hint="eastAsia"/>
                      <w:szCs w:val="21"/>
                    </w:rPr>
                    <w:t>册</w:t>
                  </w:r>
                </w:p>
              </w:tc>
              <w:tc>
                <w:tcPr>
                  <w:tcW w:w="864" w:type="dxa"/>
                  <w:vAlign w:val="center"/>
                </w:tcPr>
                <w:p>
                  <w:pPr>
                    <w:widowControl w:val="0"/>
                    <w:shd w:val="clear" w:color="auto" w:fill="auto"/>
                    <w:spacing w:line="240" w:lineRule="auto"/>
                    <w:jc w:val="center"/>
                    <w:rPr>
                      <w:szCs w:val="21"/>
                    </w:rPr>
                  </w:pPr>
                  <w:r>
                    <w:rPr>
                      <w:rFonts w:hint="eastAsia"/>
                      <w:szCs w:val="21"/>
                    </w:rPr>
                    <w:t>20000</w:t>
                  </w:r>
                </w:p>
              </w:tc>
              <w:tc>
                <w:tcPr>
                  <w:tcW w:w="2832" w:type="dxa"/>
                  <w:vAlign w:val="center"/>
                </w:tcPr>
                <w:p>
                  <w:pPr>
                    <w:widowControl w:val="0"/>
                    <w:shd w:val="clear" w:color="auto" w:fill="auto"/>
                    <w:spacing w:line="240" w:lineRule="auto"/>
                    <w:jc w:val="center"/>
                    <w:rPr>
                      <w:szCs w:val="21"/>
                    </w:rPr>
                  </w:pPr>
                  <w:r>
                    <w:rPr>
                      <w:rFonts w:hint="eastAsia"/>
                      <w:szCs w:val="21"/>
                    </w:rPr>
                    <w:t>上下架、打包、分类、搬运、运输</w:t>
                  </w:r>
                </w:p>
              </w:tc>
              <w:tc>
                <w:tcPr>
                  <w:tcW w:w="1715" w:type="dxa"/>
                  <w:vAlign w:val="center"/>
                </w:tcPr>
                <w:p>
                  <w:pPr>
                    <w:widowControl w:val="0"/>
                    <w:shd w:val="clear" w:color="auto" w:fill="auto"/>
                    <w:spacing w:line="240" w:lineRule="auto"/>
                    <w:jc w:val="center"/>
                    <w:rPr>
                      <w:szCs w:val="21"/>
                    </w:rPr>
                  </w:pPr>
                  <w:r>
                    <w:rPr>
                      <w:rFonts w:hint="eastAsia"/>
                      <w:szCs w:val="21"/>
                    </w:rPr>
                    <w:t>光明少儿图书馆及其他采购人指定地点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widowControl w:val="0"/>
                    <w:shd w:val="clear" w:color="auto" w:fill="auto"/>
                    <w:spacing w:line="240" w:lineRule="auto"/>
                    <w:jc w:val="center"/>
                    <w:rPr>
                      <w:szCs w:val="21"/>
                    </w:rPr>
                  </w:pPr>
                  <w:r>
                    <w:rPr>
                      <w:rFonts w:hint="eastAsia"/>
                      <w:szCs w:val="21"/>
                    </w:rPr>
                    <w:t>112</w:t>
                  </w:r>
                </w:p>
              </w:tc>
              <w:tc>
                <w:tcPr>
                  <w:tcW w:w="1500" w:type="dxa"/>
                  <w:vAlign w:val="center"/>
                </w:tcPr>
                <w:p>
                  <w:pPr>
                    <w:widowControl w:val="0"/>
                    <w:shd w:val="clear" w:color="auto" w:fill="auto"/>
                    <w:spacing w:line="240" w:lineRule="auto"/>
                    <w:jc w:val="center"/>
                    <w:rPr>
                      <w:szCs w:val="21"/>
                    </w:rPr>
                  </w:pPr>
                  <w:r>
                    <w:rPr>
                      <w:rFonts w:hint="eastAsia"/>
                      <w:szCs w:val="21"/>
                    </w:rPr>
                    <w:t>少儿图书</w:t>
                  </w:r>
                </w:p>
              </w:tc>
              <w:tc>
                <w:tcPr>
                  <w:tcW w:w="816" w:type="dxa"/>
                  <w:vAlign w:val="center"/>
                </w:tcPr>
                <w:p>
                  <w:pPr>
                    <w:widowControl w:val="0"/>
                    <w:shd w:val="clear" w:color="auto" w:fill="auto"/>
                    <w:spacing w:line="240" w:lineRule="auto"/>
                    <w:jc w:val="center"/>
                    <w:rPr>
                      <w:szCs w:val="21"/>
                    </w:rPr>
                  </w:pPr>
                  <w:r>
                    <w:rPr>
                      <w:rFonts w:hint="eastAsia"/>
                      <w:szCs w:val="21"/>
                    </w:rPr>
                    <w:t>册</w:t>
                  </w:r>
                </w:p>
              </w:tc>
              <w:tc>
                <w:tcPr>
                  <w:tcW w:w="864" w:type="dxa"/>
                  <w:vAlign w:val="center"/>
                </w:tcPr>
                <w:p>
                  <w:pPr>
                    <w:widowControl w:val="0"/>
                    <w:shd w:val="clear" w:color="auto" w:fill="auto"/>
                    <w:spacing w:line="240" w:lineRule="auto"/>
                    <w:jc w:val="center"/>
                    <w:rPr>
                      <w:szCs w:val="21"/>
                    </w:rPr>
                  </w:pPr>
                  <w:r>
                    <w:rPr>
                      <w:rFonts w:hint="eastAsia"/>
                      <w:szCs w:val="21"/>
                    </w:rPr>
                    <w:t>420000</w:t>
                  </w:r>
                </w:p>
              </w:tc>
              <w:tc>
                <w:tcPr>
                  <w:tcW w:w="2832" w:type="dxa"/>
                  <w:vAlign w:val="center"/>
                </w:tcPr>
                <w:p>
                  <w:pPr>
                    <w:widowControl w:val="0"/>
                    <w:shd w:val="clear" w:color="auto" w:fill="auto"/>
                    <w:spacing w:line="240" w:lineRule="auto"/>
                    <w:jc w:val="center"/>
                    <w:rPr>
                      <w:szCs w:val="21"/>
                    </w:rPr>
                  </w:pPr>
                  <w:r>
                    <w:rPr>
                      <w:rFonts w:hint="eastAsia"/>
                      <w:szCs w:val="21"/>
                    </w:rPr>
                    <w:t>上下架、打包、分类、搬运、运输</w:t>
                  </w:r>
                </w:p>
              </w:tc>
              <w:tc>
                <w:tcPr>
                  <w:tcW w:w="1715" w:type="dxa"/>
                  <w:vAlign w:val="center"/>
                </w:tcPr>
                <w:p>
                  <w:pPr>
                    <w:widowControl w:val="0"/>
                    <w:shd w:val="clear" w:color="auto" w:fill="auto"/>
                    <w:spacing w:line="240" w:lineRule="auto"/>
                    <w:jc w:val="center"/>
                    <w:rPr>
                      <w:szCs w:val="21"/>
                    </w:rPr>
                  </w:pPr>
                  <w:r>
                    <w:rPr>
                      <w:rFonts w:hint="eastAsia"/>
                      <w:szCs w:val="21"/>
                    </w:rPr>
                    <w:t>光明少儿图书馆及其他采购人指定地点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widowControl w:val="0"/>
                    <w:shd w:val="clear" w:color="auto" w:fill="auto"/>
                    <w:spacing w:line="240" w:lineRule="auto"/>
                    <w:jc w:val="center"/>
                    <w:rPr>
                      <w:szCs w:val="21"/>
                    </w:rPr>
                  </w:pPr>
                  <w:r>
                    <w:rPr>
                      <w:rFonts w:hint="eastAsia"/>
                      <w:szCs w:val="21"/>
                    </w:rPr>
                    <w:t>113</w:t>
                  </w:r>
                </w:p>
              </w:tc>
              <w:tc>
                <w:tcPr>
                  <w:tcW w:w="1500" w:type="dxa"/>
                  <w:vAlign w:val="center"/>
                </w:tcPr>
                <w:p>
                  <w:pPr>
                    <w:widowControl w:val="0"/>
                    <w:shd w:val="clear" w:color="auto" w:fill="auto"/>
                    <w:spacing w:line="240" w:lineRule="auto"/>
                    <w:jc w:val="center"/>
                    <w:rPr>
                      <w:szCs w:val="21"/>
                    </w:rPr>
                  </w:pPr>
                  <w:r>
                    <w:rPr>
                      <w:rFonts w:hint="eastAsia"/>
                      <w:szCs w:val="21"/>
                    </w:rPr>
                    <w:t>期刊</w:t>
                  </w:r>
                </w:p>
              </w:tc>
              <w:tc>
                <w:tcPr>
                  <w:tcW w:w="816" w:type="dxa"/>
                  <w:vAlign w:val="center"/>
                </w:tcPr>
                <w:p>
                  <w:pPr>
                    <w:widowControl w:val="0"/>
                    <w:shd w:val="clear" w:color="auto" w:fill="auto"/>
                    <w:spacing w:line="240" w:lineRule="auto"/>
                    <w:jc w:val="center"/>
                    <w:rPr>
                      <w:szCs w:val="21"/>
                    </w:rPr>
                  </w:pPr>
                  <w:r>
                    <w:rPr>
                      <w:rFonts w:hint="eastAsia"/>
                      <w:szCs w:val="21"/>
                    </w:rPr>
                    <w:t>册</w:t>
                  </w:r>
                </w:p>
              </w:tc>
              <w:tc>
                <w:tcPr>
                  <w:tcW w:w="864" w:type="dxa"/>
                  <w:vAlign w:val="center"/>
                </w:tcPr>
                <w:p>
                  <w:pPr>
                    <w:widowControl w:val="0"/>
                    <w:shd w:val="clear" w:color="auto" w:fill="auto"/>
                    <w:spacing w:line="240" w:lineRule="auto"/>
                    <w:jc w:val="center"/>
                    <w:rPr>
                      <w:szCs w:val="21"/>
                    </w:rPr>
                  </w:pPr>
                  <w:r>
                    <w:rPr>
                      <w:rFonts w:hint="eastAsia"/>
                      <w:szCs w:val="21"/>
                    </w:rPr>
                    <w:t>5000</w:t>
                  </w:r>
                </w:p>
              </w:tc>
              <w:tc>
                <w:tcPr>
                  <w:tcW w:w="2832" w:type="dxa"/>
                  <w:vAlign w:val="center"/>
                </w:tcPr>
                <w:p>
                  <w:pPr>
                    <w:widowControl w:val="0"/>
                    <w:shd w:val="clear" w:color="auto" w:fill="auto"/>
                    <w:spacing w:line="240" w:lineRule="auto"/>
                    <w:jc w:val="center"/>
                    <w:rPr>
                      <w:szCs w:val="21"/>
                    </w:rPr>
                  </w:pPr>
                  <w:r>
                    <w:rPr>
                      <w:rFonts w:hint="eastAsia"/>
                      <w:szCs w:val="21"/>
                    </w:rPr>
                    <w:t>上下架、打包、分类、搬运、运输</w:t>
                  </w:r>
                </w:p>
              </w:tc>
              <w:tc>
                <w:tcPr>
                  <w:tcW w:w="1715" w:type="dxa"/>
                  <w:vAlign w:val="center"/>
                </w:tcPr>
                <w:p>
                  <w:pPr>
                    <w:widowControl w:val="0"/>
                    <w:shd w:val="clear" w:color="auto" w:fill="auto"/>
                    <w:spacing w:line="240" w:lineRule="auto"/>
                    <w:jc w:val="center"/>
                    <w:rPr>
                      <w:szCs w:val="21"/>
                    </w:rPr>
                  </w:pPr>
                  <w:r>
                    <w:rPr>
                      <w:rFonts w:hint="eastAsia"/>
                      <w:szCs w:val="21"/>
                    </w:rPr>
                    <w:t>光明少儿图书馆及其他采购人指定地点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widowControl w:val="0"/>
                    <w:shd w:val="clear" w:color="auto" w:fill="auto"/>
                    <w:spacing w:line="240" w:lineRule="auto"/>
                    <w:jc w:val="center"/>
                    <w:rPr>
                      <w:szCs w:val="21"/>
                    </w:rPr>
                  </w:pPr>
                  <w:r>
                    <w:rPr>
                      <w:rFonts w:hint="eastAsia"/>
                      <w:szCs w:val="21"/>
                    </w:rPr>
                    <w:t>114</w:t>
                  </w:r>
                </w:p>
              </w:tc>
              <w:tc>
                <w:tcPr>
                  <w:tcW w:w="1500" w:type="dxa"/>
                  <w:vAlign w:val="center"/>
                </w:tcPr>
                <w:p>
                  <w:pPr>
                    <w:widowControl w:val="0"/>
                    <w:shd w:val="clear" w:color="auto" w:fill="auto"/>
                    <w:spacing w:line="240" w:lineRule="auto"/>
                    <w:jc w:val="center"/>
                    <w:rPr>
                      <w:szCs w:val="21"/>
                    </w:rPr>
                  </w:pPr>
                  <w:r>
                    <w:rPr>
                      <w:rFonts w:hint="eastAsia"/>
                      <w:szCs w:val="21"/>
                    </w:rPr>
                    <w:t>外借图书</w:t>
                  </w:r>
                </w:p>
              </w:tc>
              <w:tc>
                <w:tcPr>
                  <w:tcW w:w="816" w:type="dxa"/>
                  <w:vAlign w:val="center"/>
                </w:tcPr>
                <w:p>
                  <w:pPr>
                    <w:widowControl w:val="0"/>
                    <w:shd w:val="clear" w:color="auto" w:fill="auto"/>
                    <w:spacing w:line="240" w:lineRule="auto"/>
                    <w:jc w:val="center"/>
                    <w:rPr>
                      <w:szCs w:val="21"/>
                    </w:rPr>
                  </w:pPr>
                  <w:r>
                    <w:rPr>
                      <w:rFonts w:hint="eastAsia"/>
                      <w:szCs w:val="21"/>
                    </w:rPr>
                    <w:t>册</w:t>
                  </w:r>
                </w:p>
              </w:tc>
              <w:tc>
                <w:tcPr>
                  <w:tcW w:w="864" w:type="dxa"/>
                  <w:vAlign w:val="center"/>
                </w:tcPr>
                <w:p>
                  <w:pPr>
                    <w:widowControl w:val="0"/>
                    <w:shd w:val="clear" w:color="auto" w:fill="auto"/>
                    <w:spacing w:line="240" w:lineRule="auto"/>
                    <w:jc w:val="center"/>
                    <w:rPr>
                      <w:szCs w:val="21"/>
                    </w:rPr>
                  </w:pPr>
                  <w:r>
                    <w:rPr>
                      <w:rFonts w:hint="eastAsia"/>
                      <w:szCs w:val="21"/>
                    </w:rPr>
                    <w:t>60000</w:t>
                  </w:r>
                </w:p>
              </w:tc>
              <w:tc>
                <w:tcPr>
                  <w:tcW w:w="2832" w:type="dxa"/>
                  <w:vAlign w:val="center"/>
                </w:tcPr>
                <w:p>
                  <w:pPr>
                    <w:widowControl w:val="0"/>
                    <w:shd w:val="clear" w:color="auto" w:fill="auto"/>
                    <w:spacing w:line="240" w:lineRule="auto"/>
                    <w:jc w:val="center"/>
                    <w:rPr>
                      <w:szCs w:val="21"/>
                    </w:rPr>
                  </w:pPr>
                  <w:r>
                    <w:rPr>
                      <w:rFonts w:hint="eastAsia"/>
                      <w:szCs w:val="21"/>
                    </w:rPr>
                    <w:t>上下架、打包、分类、搬运、运输</w:t>
                  </w:r>
                </w:p>
              </w:tc>
              <w:tc>
                <w:tcPr>
                  <w:tcW w:w="1715" w:type="dxa"/>
                  <w:vAlign w:val="center"/>
                </w:tcPr>
                <w:p>
                  <w:pPr>
                    <w:widowControl w:val="0"/>
                    <w:shd w:val="clear" w:color="auto" w:fill="auto"/>
                    <w:spacing w:line="240" w:lineRule="auto"/>
                    <w:jc w:val="center"/>
                    <w:rPr>
                      <w:szCs w:val="21"/>
                    </w:rPr>
                  </w:pPr>
                  <w:r>
                    <w:rPr>
                      <w:rFonts w:hint="eastAsia"/>
                      <w:szCs w:val="21"/>
                    </w:rPr>
                    <w:t>光明少儿图书馆及其他采购人指定地点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widowControl w:val="0"/>
                    <w:shd w:val="clear" w:color="auto" w:fill="auto"/>
                    <w:spacing w:line="240" w:lineRule="auto"/>
                    <w:jc w:val="center"/>
                    <w:rPr>
                      <w:szCs w:val="21"/>
                    </w:rPr>
                  </w:pPr>
                  <w:r>
                    <w:rPr>
                      <w:rFonts w:hint="eastAsia"/>
                      <w:szCs w:val="21"/>
                    </w:rPr>
                    <w:t>115</w:t>
                  </w:r>
                </w:p>
              </w:tc>
              <w:tc>
                <w:tcPr>
                  <w:tcW w:w="1500" w:type="dxa"/>
                  <w:vAlign w:val="center"/>
                </w:tcPr>
                <w:p>
                  <w:pPr>
                    <w:widowControl w:val="0"/>
                    <w:shd w:val="clear" w:color="auto" w:fill="auto"/>
                    <w:spacing w:line="240" w:lineRule="auto"/>
                    <w:jc w:val="center"/>
                    <w:rPr>
                      <w:szCs w:val="21"/>
                    </w:rPr>
                  </w:pPr>
                  <w:r>
                    <w:rPr>
                      <w:rFonts w:hint="eastAsia"/>
                      <w:szCs w:val="21"/>
                    </w:rPr>
                    <w:t>报刊</w:t>
                  </w:r>
                </w:p>
              </w:tc>
              <w:tc>
                <w:tcPr>
                  <w:tcW w:w="816" w:type="dxa"/>
                  <w:vAlign w:val="center"/>
                </w:tcPr>
                <w:p>
                  <w:pPr>
                    <w:widowControl w:val="0"/>
                    <w:shd w:val="clear" w:color="auto" w:fill="auto"/>
                    <w:spacing w:line="240" w:lineRule="auto"/>
                    <w:jc w:val="center"/>
                    <w:rPr>
                      <w:szCs w:val="21"/>
                    </w:rPr>
                  </w:pPr>
                  <w:r>
                    <w:rPr>
                      <w:rFonts w:hint="eastAsia"/>
                      <w:szCs w:val="21"/>
                    </w:rPr>
                    <w:t>册</w:t>
                  </w:r>
                </w:p>
              </w:tc>
              <w:tc>
                <w:tcPr>
                  <w:tcW w:w="864" w:type="dxa"/>
                  <w:vAlign w:val="center"/>
                </w:tcPr>
                <w:p>
                  <w:pPr>
                    <w:widowControl w:val="0"/>
                    <w:shd w:val="clear" w:color="auto" w:fill="auto"/>
                    <w:spacing w:line="240" w:lineRule="auto"/>
                    <w:jc w:val="center"/>
                    <w:rPr>
                      <w:szCs w:val="21"/>
                    </w:rPr>
                  </w:pPr>
                  <w:r>
                    <w:rPr>
                      <w:rFonts w:hint="eastAsia"/>
                      <w:szCs w:val="21"/>
                    </w:rPr>
                    <w:t>2000</w:t>
                  </w:r>
                </w:p>
              </w:tc>
              <w:tc>
                <w:tcPr>
                  <w:tcW w:w="2832" w:type="dxa"/>
                  <w:vAlign w:val="center"/>
                </w:tcPr>
                <w:p>
                  <w:pPr>
                    <w:widowControl w:val="0"/>
                    <w:shd w:val="clear" w:color="auto" w:fill="auto"/>
                    <w:spacing w:line="240" w:lineRule="auto"/>
                    <w:jc w:val="center"/>
                    <w:rPr>
                      <w:szCs w:val="21"/>
                    </w:rPr>
                  </w:pPr>
                  <w:r>
                    <w:rPr>
                      <w:rFonts w:hint="eastAsia"/>
                      <w:szCs w:val="21"/>
                    </w:rPr>
                    <w:t>上下架、打包、分类、搬运、运输</w:t>
                  </w:r>
                </w:p>
              </w:tc>
              <w:tc>
                <w:tcPr>
                  <w:tcW w:w="1715" w:type="dxa"/>
                  <w:vAlign w:val="center"/>
                </w:tcPr>
                <w:p>
                  <w:pPr>
                    <w:widowControl w:val="0"/>
                    <w:shd w:val="clear" w:color="auto" w:fill="auto"/>
                    <w:spacing w:line="240" w:lineRule="auto"/>
                    <w:jc w:val="center"/>
                    <w:rPr>
                      <w:szCs w:val="21"/>
                    </w:rPr>
                  </w:pPr>
                  <w:r>
                    <w:rPr>
                      <w:rFonts w:hint="eastAsia"/>
                      <w:szCs w:val="21"/>
                    </w:rPr>
                    <w:t>光明少儿图书馆及其他采购人指定地点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widowControl w:val="0"/>
                    <w:shd w:val="clear" w:color="auto" w:fill="auto"/>
                    <w:spacing w:line="240" w:lineRule="auto"/>
                    <w:jc w:val="center"/>
                    <w:rPr>
                      <w:szCs w:val="21"/>
                    </w:rPr>
                  </w:pPr>
                  <w:r>
                    <w:rPr>
                      <w:rFonts w:hint="eastAsia"/>
                      <w:szCs w:val="21"/>
                    </w:rPr>
                    <w:t>116</w:t>
                  </w:r>
                </w:p>
              </w:tc>
              <w:tc>
                <w:tcPr>
                  <w:tcW w:w="1500" w:type="dxa"/>
                  <w:vAlign w:val="center"/>
                </w:tcPr>
                <w:p>
                  <w:pPr>
                    <w:widowControl w:val="0"/>
                    <w:shd w:val="clear" w:color="auto" w:fill="auto"/>
                    <w:spacing w:line="240" w:lineRule="auto"/>
                    <w:jc w:val="center"/>
                    <w:rPr>
                      <w:szCs w:val="21"/>
                    </w:rPr>
                  </w:pPr>
                  <w:r>
                    <w:rPr>
                      <w:rFonts w:hint="eastAsia"/>
                      <w:szCs w:val="21"/>
                    </w:rPr>
                    <w:t>科普图书</w:t>
                  </w:r>
                </w:p>
              </w:tc>
              <w:tc>
                <w:tcPr>
                  <w:tcW w:w="816" w:type="dxa"/>
                  <w:vAlign w:val="center"/>
                </w:tcPr>
                <w:p>
                  <w:pPr>
                    <w:widowControl w:val="0"/>
                    <w:shd w:val="clear" w:color="auto" w:fill="auto"/>
                    <w:spacing w:line="240" w:lineRule="auto"/>
                    <w:jc w:val="center"/>
                    <w:rPr>
                      <w:szCs w:val="21"/>
                    </w:rPr>
                  </w:pPr>
                  <w:r>
                    <w:rPr>
                      <w:rFonts w:hint="eastAsia"/>
                      <w:szCs w:val="21"/>
                    </w:rPr>
                    <w:t>册</w:t>
                  </w:r>
                </w:p>
              </w:tc>
              <w:tc>
                <w:tcPr>
                  <w:tcW w:w="864" w:type="dxa"/>
                  <w:vAlign w:val="center"/>
                </w:tcPr>
                <w:p>
                  <w:pPr>
                    <w:widowControl w:val="0"/>
                    <w:shd w:val="clear" w:color="auto" w:fill="auto"/>
                    <w:spacing w:line="240" w:lineRule="auto"/>
                    <w:jc w:val="center"/>
                    <w:rPr>
                      <w:szCs w:val="21"/>
                    </w:rPr>
                  </w:pPr>
                  <w:r>
                    <w:rPr>
                      <w:rFonts w:hint="eastAsia"/>
                      <w:szCs w:val="21"/>
                    </w:rPr>
                    <w:t>230000</w:t>
                  </w:r>
                </w:p>
              </w:tc>
              <w:tc>
                <w:tcPr>
                  <w:tcW w:w="2832" w:type="dxa"/>
                  <w:vAlign w:val="center"/>
                </w:tcPr>
                <w:p>
                  <w:pPr>
                    <w:widowControl w:val="0"/>
                    <w:shd w:val="clear" w:color="auto" w:fill="auto"/>
                    <w:spacing w:line="240" w:lineRule="auto"/>
                    <w:jc w:val="center"/>
                    <w:rPr>
                      <w:szCs w:val="21"/>
                    </w:rPr>
                  </w:pPr>
                  <w:r>
                    <w:rPr>
                      <w:rFonts w:hint="eastAsia"/>
                      <w:szCs w:val="21"/>
                    </w:rPr>
                    <w:t>上下架、打包、分类、搬运、运输</w:t>
                  </w:r>
                </w:p>
              </w:tc>
              <w:tc>
                <w:tcPr>
                  <w:tcW w:w="1715" w:type="dxa"/>
                  <w:vAlign w:val="center"/>
                </w:tcPr>
                <w:p>
                  <w:pPr>
                    <w:widowControl w:val="0"/>
                    <w:shd w:val="clear" w:color="auto" w:fill="auto"/>
                    <w:spacing w:line="240" w:lineRule="auto"/>
                    <w:jc w:val="center"/>
                    <w:rPr>
                      <w:szCs w:val="21"/>
                    </w:rPr>
                  </w:pPr>
                  <w:r>
                    <w:rPr>
                      <w:rFonts w:hint="eastAsia"/>
                      <w:szCs w:val="21"/>
                    </w:rPr>
                    <w:t>光明少儿图书馆及其他采购人指定地点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widowControl w:val="0"/>
                    <w:shd w:val="clear" w:color="auto" w:fill="auto"/>
                    <w:spacing w:line="240" w:lineRule="auto"/>
                    <w:jc w:val="center"/>
                    <w:rPr>
                      <w:szCs w:val="21"/>
                    </w:rPr>
                  </w:pPr>
                  <w:r>
                    <w:rPr>
                      <w:rFonts w:hint="eastAsia"/>
                      <w:szCs w:val="21"/>
                    </w:rPr>
                    <w:t>117</w:t>
                  </w:r>
                </w:p>
              </w:tc>
              <w:tc>
                <w:tcPr>
                  <w:tcW w:w="1500" w:type="dxa"/>
                  <w:vAlign w:val="center"/>
                </w:tcPr>
                <w:p>
                  <w:pPr>
                    <w:widowControl w:val="0"/>
                    <w:shd w:val="clear" w:color="auto" w:fill="auto"/>
                    <w:spacing w:line="240" w:lineRule="auto"/>
                    <w:jc w:val="center"/>
                    <w:rPr>
                      <w:szCs w:val="21"/>
                    </w:rPr>
                  </w:pPr>
                  <w:r>
                    <w:rPr>
                      <w:rFonts w:hint="eastAsia"/>
                      <w:szCs w:val="21"/>
                    </w:rPr>
                    <w:t>仓库储备书籍</w:t>
                  </w:r>
                </w:p>
              </w:tc>
              <w:tc>
                <w:tcPr>
                  <w:tcW w:w="816" w:type="dxa"/>
                  <w:vAlign w:val="center"/>
                </w:tcPr>
                <w:p>
                  <w:pPr>
                    <w:widowControl w:val="0"/>
                    <w:shd w:val="clear" w:color="auto" w:fill="auto"/>
                    <w:spacing w:line="240" w:lineRule="auto"/>
                    <w:jc w:val="center"/>
                    <w:rPr>
                      <w:szCs w:val="21"/>
                    </w:rPr>
                  </w:pPr>
                  <w:r>
                    <w:rPr>
                      <w:rFonts w:hint="eastAsia"/>
                      <w:szCs w:val="21"/>
                    </w:rPr>
                    <w:t>册</w:t>
                  </w:r>
                </w:p>
              </w:tc>
              <w:tc>
                <w:tcPr>
                  <w:tcW w:w="864" w:type="dxa"/>
                  <w:vAlign w:val="center"/>
                </w:tcPr>
                <w:p>
                  <w:pPr>
                    <w:widowControl w:val="0"/>
                    <w:shd w:val="clear" w:color="auto" w:fill="auto"/>
                    <w:spacing w:line="240" w:lineRule="auto"/>
                    <w:jc w:val="center"/>
                    <w:rPr>
                      <w:szCs w:val="21"/>
                    </w:rPr>
                  </w:pPr>
                  <w:r>
                    <w:rPr>
                      <w:rFonts w:hint="eastAsia"/>
                      <w:szCs w:val="21"/>
                    </w:rPr>
                    <w:t>60000</w:t>
                  </w:r>
                </w:p>
              </w:tc>
              <w:tc>
                <w:tcPr>
                  <w:tcW w:w="2832" w:type="dxa"/>
                  <w:vAlign w:val="center"/>
                </w:tcPr>
                <w:p>
                  <w:pPr>
                    <w:widowControl w:val="0"/>
                    <w:shd w:val="clear" w:color="auto" w:fill="auto"/>
                    <w:spacing w:line="240" w:lineRule="auto"/>
                    <w:jc w:val="center"/>
                    <w:rPr>
                      <w:szCs w:val="21"/>
                    </w:rPr>
                  </w:pPr>
                  <w:r>
                    <w:rPr>
                      <w:rFonts w:hint="eastAsia"/>
                      <w:szCs w:val="21"/>
                    </w:rPr>
                    <w:t>上下架、打包、分类、搬运、运输</w:t>
                  </w:r>
                </w:p>
              </w:tc>
              <w:tc>
                <w:tcPr>
                  <w:tcW w:w="1715" w:type="dxa"/>
                  <w:vAlign w:val="center"/>
                </w:tcPr>
                <w:p>
                  <w:pPr>
                    <w:widowControl w:val="0"/>
                    <w:shd w:val="clear" w:color="auto" w:fill="auto"/>
                    <w:spacing w:line="240" w:lineRule="auto"/>
                    <w:jc w:val="center"/>
                    <w:rPr>
                      <w:szCs w:val="21"/>
                    </w:rPr>
                  </w:pPr>
                  <w:r>
                    <w:rPr>
                      <w:rFonts w:hint="eastAsia"/>
                      <w:szCs w:val="21"/>
                    </w:rPr>
                    <w:t>光明少儿图书馆及其他采购人指定地点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widowControl w:val="0"/>
                    <w:shd w:val="clear" w:color="auto" w:fill="auto"/>
                    <w:spacing w:line="240" w:lineRule="auto"/>
                    <w:jc w:val="center"/>
                    <w:rPr>
                      <w:szCs w:val="21"/>
                    </w:rPr>
                  </w:pPr>
                  <w:r>
                    <w:rPr>
                      <w:rFonts w:hint="eastAsia"/>
                      <w:szCs w:val="21"/>
                    </w:rPr>
                    <w:t>118</w:t>
                  </w:r>
                </w:p>
              </w:tc>
              <w:tc>
                <w:tcPr>
                  <w:tcW w:w="1500" w:type="dxa"/>
                  <w:vAlign w:val="center"/>
                </w:tcPr>
                <w:p>
                  <w:pPr>
                    <w:widowControl w:val="0"/>
                    <w:shd w:val="clear" w:color="auto" w:fill="auto"/>
                    <w:spacing w:line="240" w:lineRule="auto"/>
                    <w:jc w:val="center"/>
                    <w:rPr>
                      <w:szCs w:val="21"/>
                    </w:rPr>
                  </w:pPr>
                  <w:r>
                    <w:rPr>
                      <w:rFonts w:hint="eastAsia"/>
                      <w:szCs w:val="21"/>
                    </w:rPr>
                    <w:t>自助设备</w:t>
                  </w:r>
                </w:p>
              </w:tc>
              <w:tc>
                <w:tcPr>
                  <w:tcW w:w="816" w:type="dxa"/>
                  <w:vAlign w:val="center"/>
                </w:tcPr>
                <w:p>
                  <w:pPr>
                    <w:widowControl w:val="0"/>
                    <w:shd w:val="clear" w:color="auto" w:fill="auto"/>
                    <w:spacing w:line="240" w:lineRule="auto"/>
                    <w:jc w:val="center"/>
                    <w:rPr>
                      <w:szCs w:val="21"/>
                    </w:rPr>
                  </w:pPr>
                  <w:r>
                    <w:rPr>
                      <w:rFonts w:hint="eastAsia"/>
                      <w:szCs w:val="21"/>
                    </w:rPr>
                    <w:t>台</w:t>
                  </w:r>
                </w:p>
              </w:tc>
              <w:tc>
                <w:tcPr>
                  <w:tcW w:w="864" w:type="dxa"/>
                  <w:vAlign w:val="center"/>
                </w:tcPr>
                <w:p>
                  <w:pPr>
                    <w:widowControl w:val="0"/>
                    <w:shd w:val="clear" w:color="auto" w:fill="auto"/>
                    <w:spacing w:line="240" w:lineRule="auto"/>
                    <w:jc w:val="center"/>
                    <w:rPr>
                      <w:szCs w:val="21"/>
                    </w:rPr>
                  </w:pPr>
                  <w:r>
                    <w:rPr>
                      <w:rFonts w:hint="eastAsia"/>
                      <w:szCs w:val="21"/>
                    </w:rPr>
                    <w:t>7</w:t>
                  </w:r>
                </w:p>
              </w:tc>
              <w:tc>
                <w:tcPr>
                  <w:tcW w:w="2832" w:type="dxa"/>
                  <w:vAlign w:val="center"/>
                </w:tcPr>
                <w:p>
                  <w:pPr>
                    <w:widowControl w:val="0"/>
                    <w:shd w:val="clear" w:color="auto" w:fill="auto"/>
                    <w:spacing w:line="240" w:lineRule="auto"/>
                    <w:jc w:val="center"/>
                    <w:rPr>
                      <w:szCs w:val="21"/>
                    </w:rPr>
                  </w:pPr>
                  <w:r>
                    <w:rPr>
                      <w:rFonts w:hint="eastAsia"/>
                      <w:szCs w:val="21"/>
                    </w:rPr>
                    <w:t>拆卸、打包、搬运、安装调试</w:t>
                  </w:r>
                </w:p>
              </w:tc>
              <w:tc>
                <w:tcPr>
                  <w:tcW w:w="1715" w:type="dxa"/>
                  <w:vAlign w:val="center"/>
                </w:tcPr>
                <w:p>
                  <w:pPr>
                    <w:widowControl w:val="0"/>
                    <w:shd w:val="clear" w:color="auto" w:fill="auto"/>
                    <w:spacing w:line="240" w:lineRule="auto"/>
                    <w:jc w:val="center"/>
                    <w:rPr>
                      <w:szCs w:val="21"/>
                    </w:rPr>
                  </w:pPr>
                  <w:r>
                    <w:rPr>
                      <w:rFonts w:hint="eastAsia"/>
                      <w:szCs w:val="21"/>
                    </w:rPr>
                    <w:t>光明少儿图书馆及其他采购人指定地点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widowControl w:val="0"/>
                    <w:shd w:val="clear" w:color="auto" w:fill="auto"/>
                    <w:spacing w:line="240" w:lineRule="auto"/>
                    <w:jc w:val="center"/>
                    <w:rPr>
                      <w:szCs w:val="21"/>
                    </w:rPr>
                  </w:pPr>
                  <w:r>
                    <w:rPr>
                      <w:rFonts w:hint="eastAsia"/>
                      <w:szCs w:val="21"/>
                    </w:rPr>
                    <w:t>119</w:t>
                  </w:r>
                </w:p>
              </w:tc>
              <w:tc>
                <w:tcPr>
                  <w:tcW w:w="1500" w:type="dxa"/>
                  <w:vAlign w:val="center"/>
                </w:tcPr>
                <w:p>
                  <w:pPr>
                    <w:widowControl w:val="0"/>
                    <w:shd w:val="clear" w:color="auto" w:fill="auto"/>
                    <w:spacing w:line="240" w:lineRule="auto"/>
                    <w:jc w:val="center"/>
                    <w:rPr>
                      <w:szCs w:val="21"/>
                    </w:rPr>
                  </w:pPr>
                  <w:r>
                    <w:rPr>
                      <w:rFonts w:hint="eastAsia"/>
                      <w:szCs w:val="21"/>
                    </w:rPr>
                    <w:t>机柜</w:t>
                  </w:r>
                </w:p>
              </w:tc>
              <w:tc>
                <w:tcPr>
                  <w:tcW w:w="816" w:type="dxa"/>
                  <w:vAlign w:val="center"/>
                </w:tcPr>
                <w:p>
                  <w:pPr>
                    <w:widowControl w:val="0"/>
                    <w:shd w:val="clear" w:color="auto" w:fill="auto"/>
                    <w:spacing w:line="240" w:lineRule="auto"/>
                    <w:jc w:val="center"/>
                    <w:rPr>
                      <w:szCs w:val="21"/>
                    </w:rPr>
                  </w:pPr>
                  <w:r>
                    <w:rPr>
                      <w:rFonts w:hint="eastAsia"/>
                      <w:szCs w:val="21"/>
                    </w:rPr>
                    <w:t>个</w:t>
                  </w:r>
                </w:p>
              </w:tc>
              <w:tc>
                <w:tcPr>
                  <w:tcW w:w="864" w:type="dxa"/>
                  <w:vAlign w:val="center"/>
                </w:tcPr>
                <w:p>
                  <w:pPr>
                    <w:widowControl w:val="0"/>
                    <w:shd w:val="clear" w:color="auto" w:fill="auto"/>
                    <w:spacing w:line="240" w:lineRule="auto"/>
                    <w:jc w:val="center"/>
                    <w:rPr>
                      <w:szCs w:val="21"/>
                    </w:rPr>
                  </w:pPr>
                  <w:r>
                    <w:rPr>
                      <w:rFonts w:hint="eastAsia"/>
                      <w:szCs w:val="21"/>
                    </w:rPr>
                    <w:t>6</w:t>
                  </w:r>
                </w:p>
              </w:tc>
              <w:tc>
                <w:tcPr>
                  <w:tcW w:w="2832" w:type="dxa"/>
                  <w:vAlign w:val="center"/>
                </w:tcPr>
                <w:p>
                  <w:pPr>
                    <w:widowControl w:val="0"/>
                    <w:shd w:val="clear" w:color="auto" w:fill="auto"/>
                    <w:spacing w:line="240" w:lineRule="auto"/>
                    <w:jc w:val="left"/>
                    <w:rPr>
                      <w:szCs w:val="21"/>
                    </w:rPr>
                  </w:pPr>
                  <w:r>
                    <w:rPr>
                      <w:rFonts w:hint="eastAsia"/>
                      <w:szCs w:val="21"/>
                    </w:rPr>
                    <w:t xml:space="preserve">42U服务器机柜及网络机柜  </w:t>
                  </w:r>
                  <w:r>
                    <w:rPr>
                      <w:rFonts w:hint="eastAsia"/>
                      <w:szCs w:val="21"/>
                    </w:rPr>
                    <w:br w:type="textWrapping"/>
                  </w:r>
                  <w:r>
                    <w:rPr>
                      <w:rFonts w:hint="eastAsia"/>
                      <w:szCs w:val="21"/>
                    </w:rPr>
                    <w:t>人工拆卸搬迁及安装</w:t>
                  </w:r>
                </w:p>
              </w:tc>
              <w:tc>
                <w:tcPr>
                  <w:tcW w:w="1715" w:type="dxa"/>
                  <w:vAlign w:val="center"/>
                </w:tcPr>
                <w:p>
                  <w:pPr>
                    <w:widowControl w:val="0"/>
                    <w:shd w:val="clear" w:color="auto" w:fill="auto"/>
                    <w:spacing w:line="240" w:lineRule="auto"/>
                    <w:jc w:val="center"/>
                    <w:rPr>
                      <w:szCs w:val="21"/>
                    </w:rPr>
                  </w:pPr>
                  <w:r>
                    <w:rPr>
                      <w:rFonts w:hint="eastAsia"/>
                      <w:szCs w:val="21"/>
                    </w:rPr>
                    <w:t>光明少儿图书馆及其他采购人指定地点安装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widowControl w:val="0"/>
                    <w:shd w:val="clear" w:color="auto" w:fill="auto"/>
                    <w:spacing w:line="240" w:lineRule="auto"/>
                    <w:jc w:val="center"/>
                    <w:rPr>
                      <w:szCs w:val="21"/>
                    </w:rPr>
                  </w:pPr>
                  <w:r>
                    <w:rPr>
                      <w:rFonts w:hint="eastAsia"/>
                      <w:szCs w:val="21"/>
                    </w:rPr>
                    <w:t>120</w:t>
                  </w:r>
                </w:p>
              </w:tc>
              <w:tc>
                <w:tcPr>
                  <w:tcW w:w="1500" w:type="dxa"/>
                  <w:vAlign w:val="center"/>
                </w:tcPr>
                <w:p>
                  <w:pPr>
                    <w:widowControl w:val="0"/>
                    <w:shd w:val="clear" w:color="auto" w:fill="auto"/>
                    <w:spacing w:line="240" w:lineRule="auto"/>
                    <w:jc w:val="center"/>
                    <w:rPr>
                      <w:szCs w:val="21"/>
                    </w:rPr>
                  </w:pPr>
                  <w:r>
                    <w:rPr>
                      <w:rFonts w:hint="eastAsia"/>
                      <w:szCs w:val="21"/>
                    </w:rPr>
                    <w:t>服务器及网络设备</w:t>
                  </w:r>
                </w:p>
              </w:tc>
              <w:tc>
                <w:tcPr>
                  <w:tcW w:w="816" w:type="dxa"/>
                  <w:vAlign w:val="center"/>
                </w:tcPr>
                <w:p>
                  <w:pPr>
                    <w:widowControl w:val="0"/>
                    <w:shd w:val="clear" w:color="auto" w:fill="auto"/>
                    <w:spacing w:line="240" w:lineRule="auto"/>
                    <w:jc w:val="center"/>
                    <w:rPr>
                      <w:szCs w:val="21"/>
                    </w:rPr>
                  </w:pPr>
                  <w:r>
                    <w:rPr>
                      <w:rFonts w:hint="eastAsia"/>
                      <w:szCs w:val="21"/>
                    </w:rPr>
                    <w:t>台</w:t>
                  </w:r>
                </w:p>
              </w:tc>
              <w:tc>
                <w:tcPr>
                  <w:tcW w:w="864" w:type="dxa"/>
                  <w:vAlign w:val="center"/>
                </w:tcPr>
                <w:p>
                  <w:pPr>
                    <w:widowControl w:val="0"/>
                    <w:shd w:val="clear" w:color="auto" w:fill="auto"/>
                    <w:spacing w:line="240" w:lineRule="auto"/>
                    <w:jc w:val="center"/>
                    <w:rPr>
                      <w:szCs w:val="21"/>
                    </w:rPr>
                  </w:pPr>
                  <w:r>
                    <w:rPr>
                      <w:rFonts w:hint="eastAsia"/>
                      <w:szCs w:val="21"/>
                    </w:rPr>
                    <w:t>35</w:t>
                  </w:r>
                </w:p>
              </w:tc>
              <w:tc>
                <w:tcPr>
                  <w:tcW w:w="2832" w:type="dxa"/>
                  <w:vAlign w:val="center"/>
                </w:tcPr>
                <w:p>
                  <w:pPr>
                    <w:widowControl w:val="0"/>
                    <w:shd w:val="clear" w:color="auto" w:fill="auto"/>
                    <w:spacing w:line="240" w:lineRule="auto"/>
                    <w:jc w:val="left"/>
                    <w:rPr>
                      <w:szCs w:val="21"/>
                    </w:rPr>
                  </w:pPr>
                  <w:r>
                    <w:rPr>
                      <w:rFonts w:hint="eastAsia"/>
                      <w:szCs w:val="21"/>
                    </w:rPr>
                    <w:t xml:space="preserve">服务器及网络设备    </w:t>
                  </w:r>
                  <w:r>
                    <w:rPr>
                      <w:rFonts w:hint="eastAsia"/>
                      <w:szCs w:val="21"/>
                    </w:rPr>
                    <w:br w:type="textWrapping"/>
                  </w:r>
                  <w:r>
                    <w:rPr>
                      <w:rFonts w:hint="eastAsia"/>
                      <w:szCs w:val="21"/>
                    </w:rPr>
                    <w:t>人工拆卸搬迁及上架</w:t>
                  </w:r>
                  <w:r>
                    <w:rPr>
                      <w:rFonts w:hint="eastAsia"/>
                      <w:szCs w:val="21"/>
                    </w:rPr>
                    <w:br w:type="textWrapping"/>
                  </w:r>
                  <w:r>
                    <w:rPr>
                      <w:rFonts w:hint="eastAsia"/>
                      <w:szCs w:val="21"/>
                    </w:rPr>
                    <w:t>综合布线施工</w:t>
                  </w:r>
                </w:p>
              </w:tc>
              <w:tc>
                <w:tcPr>
                  <w:tcW w:w="1715" w:type="dxa"/>
                  <w:vAlign w:val="center"/>
                </w:tcPr>
                <w:p>
                  <w:pPr>
                    <w:widowControl w:val="0"/>
                    <w:shd w:val="clear" w:color="auto" w:fill="auto"/>
                    <w:spacing w:line="240" w:lineRule="auto"/>
                    <w:jc w:val="center"/>
                    <w:rPr>
                      <w:szCs w:val="21"/>
                    </w:rPr>
                  </w:pPr>
                  <w:r>
                    <w:rPr>
                      <w:rFonts w:hint="eastAsia"/>
                      <w:szCs w:val="21"/>
                    </w:rPr>
                    <w:t>光明少儿图书馆及其他采购人指定地点上架安装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widowControl w:val="0"/>
                    <w:shd w:val="clear" w:color="auto" w:fill="auto"/>
                    <w:spacing w:line="240" w:lineRule="auto"/>
                    <w:jc w:val="center"/>
                    <w:rPr>
                      <w:szCs w:val="21"/>
                    </w:rPr>
                  </w:pPr>
                  <w:r>
                    <w:rPr>
                      <w:rFonts w:hint="eastAsia"/>
                      <w:szCs w:val="21"/>
                    </w:rPr>
                    <w:t>121</w:t>
                  </w:r>
                </w:p>
              </w:tc>
              <w:tc>
                <w:tcPr>
                  <w:tcW w:w="1500" w:type="dxa"/>
                  <w:vAlign w:val="center"/>
                </w:tcPr>
                <w:p>
                  <w:pPr>
                    <w:widowControl w:val="0"/>
                    <w:shd w:val="clear" w:color="auto" w:fill="auto"/>
                    <w:spacing w:line="240" w:lineRule="auto"/>
                    <w:jc w:val="center"/>
                    <w:rPr>
                      <w:szCs w:val="21"/>
                    </w:rPr>
                  </w:pPr>
                  <w:r>
                    <w:rPr>
                      <w:rFonts w:hint="eastAsia"/>
                      <w:szCs w:val="21"/>
                    </w:rPr>
                    <w:t>存储机柜</w:t>
                  </w:r>
                </w:p>
              </w:tc>
              <w:tc>
                <w:tcPr>
                  <w:tcW w:w="816" w:type="dxa"/>
                  <w:vAlign w:val="center"/>
                </w:tcPr>
                <w:p>
                  <w:pPr>
                    <w:widowControl w:val="0"/>
                    <w:shd w:val="clear" w:color="auto" w:fill="auto"/>
                    <w:spacing w:line="240" w:lineRule="auto"/>
                    <w:jc w:val="center"/>
                    <w:rPr>
                      <w:szCs w:val="21"/>
                    </w:rPr>
                  </w:pPr>
                  <w:r>
                    <w:rPr>
                      <w:rFonts w:hint="eastAsia"/>
                      <w:szCs w:val="21"/>
                    </w:rPr>
                    <w:t>个</w:t>
                  </w:r>
                </w:p>
              </w:tc>
              <w:tc>
                <w:tcPr>
                  <w:tcW w:w="864" w:type="dxa"/>
                  <w:vAlign w:val="center"/>
                </w:tcPr>
                <w:p>
                  <w:pPr>
                    <w:widowControl w:val="0"/>
                    <w:shd w:val="clear" w:color="auto" w:fill="auto"/>
                    <w:spacing w:line="240" w:lineRule="auto"/>
                    <w:jc w:val="center"/>
                    <w:rPr>
                      <w:szCs w:val="21"/>
                    </w:rPr>
                  </w:pPr>
                  <w:r>
                    <w:rPr>
                      <w:rFonts w:hint="eastAsia"/>
                      <w:szCs w:val="21"/>
                    </w:rPr>
                    <w:t>1</w:t>
                  </w:r>
                </w:p>
              </w:tc>
              <w:tc>
                <w:tcPr>
                  <w:tcW w:w="2832" w:type="dxa"/>
                  <w:vAlign w:val="center"/>
                </w:tcPr>
                <w:p>
                  <w:pPr>
                    <w:widowControl w:val="0"/>
                    <w:shd w:val="clear" w:color="auto" w:fill="auto"/>
                    <w:spacing w:line="240" w:lineRule="auto"/>
                    <w:jc w:val="left"/>
                    <w:rPr>
                      <w:szCs w:val="21"/>
                    </w:rPr>
                  </w:pPr>
                  <w:r>
                    <w:rPr>
                      <w:rFonts w:hint="eastAsia"/>
                      <w:szCs w:val="21"/>
                    </w:rPr>
                    <w:t xml:space="preserve">42U服务器机柜及网络机柜  </w:t>
                  </w:r>
                  <w:r>
                    <w:rPr>
                      <w:rFonts w:hint="eastAsia"/>
                      <w:szCs w:val="21"/>
                    </w:rPr>
                    <w:br w:type="textWrapping"/>
                  </w:r>
                  <w:r>
                    <w:rPr>
                      <w:rFonts w:hint="eastAsia"/>
                      <w:szCs w:val="21"/>
                    </w:rPr>
                    <w:t>人工拆卸搬迁及安装</w:t>
                  </w:r>
                </w:p>
              </w:tc>
              <w:tc>
                <w:tcPr>
                  <w:tcW w:w="1715" w:type="dxa"/>
                  <w:vAlign w:val="center"/>
                </w:tcPr>
                <w:p>
                  <w:pPr>
                    <w:widowControl w:val="0"/>
                    <w:shd w:val="clear" w:color="auto" w:fill="auto"/>
                    <w:spacing w:line="240" w:lineRule="auto"/>
                    <w:jc w:val="center"/>
                    <w:rPr>
                      <w:szCs w:val="21"/>
                    </w:rPr>
                  </w:pPr>
                  <w:r>
                    <w:rPr>
                      <w:rFonts w:hint="eastAsia"/>
                      <w:szCs w:val="21"/>
                    </w:rPr>
                    <w:t>光明少儿图书馆及其他采购人指定地点安装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widowControl w:val="0"/>
                    <w:shd w:val="clear" w:color="auto" w:fill="auto"/>
                    <w:spacing w:line="240" w:lineRule="auto"/>
                    <w:jc w:val="center"/>
                    <w:rPr>
                      <w:szCs w:val="21"/>
                    </w:rPr>
                  </w:pPr>
                  <w:r>
                    <w:rPr>
                      <w:rFonts w:hint="eastAsia"/>
                      <w:szCs w:val="21"/>
                    </w:rPr>
                    <w:t>122</w:t>
                  </w:r>
                </w:p>
              </w:tc>
              <w:tc>
                <w:tcPr>
                  <w:tcW w:w="1500" w:type="dxa"/>
                  <w:vAlign w:val="center"/>
                </w:tcPr>
                <w:p>
                  <w:pPr>
                    <w:widowControl w:val="0"/>
                    <w:shd w:val="clear" w:color="auto" w:fill="auto"/>
                    <w:spacing w:line="240" w:lineRule="auto"/>
                    <w:jc w:val="center"/>
                    <w:rPr>
                      <w:szCs w:val="21"/>
                    </w:rPr>
                  </w:pPr>
                  <w:r>
                    <w:rPr>
                      <w:rFonts w:hint="eastAsia"/>
                      <w:szCs w:val="21"/>
                    </w:rPr>
                    <w:t>存储设备</w:t>
                  </w:r>
                </w:p>
              </w:tc>
              <w:tc>
                <w:tcPr>
                  <w:tcW w:w="816" w:type="dxa"/>
                  <w:vAlign w:val="center"/>
                </w:tcPr>
                <w:p>
                  <w:pPr>
                    <w:widowControl w:val="0"/>
                    <w:shd w:val="clear" w:color="auto" w:fill="auto"/>
                    <w:spacing w:line="240" w:lineRule="auto"/>
                    <w:jc w:val="center"/>
                    <w:rPr>
                      <w:szCs w:val="21"/>
                    </w:rPr>
                  </w:pPr>
                  <w:r>
                    <w:rPr>
                      <w:rFonts w:hint="eastAsia"/>
                      <w:szCs w:val="21"/>
                    </w:rPr>
                    <w:t>个</w:t>
                  </w:r>
                </w:p>
              </w:tc>
              <w:tc>
                <w:tcPr>
                  <w:tcW w:w="864" w:type="dxa"/>
                  <w:vAlign w:val="center"/>
                </w:tcPr>
                <w:p>
                  <w:pPr>
                    <w:widowControl w:val="0"/>
                    <w:shd w:val="clear" w:color="auto" w:fill="auto"/>
                    <w:spacing w:line="240" w:lineRule="auto"/>
                    <w:jc w:val="center"/>
                    <w:rPr>
                      <w:szCs w:val="21"/>
                    </w:rPr>
                  </w:pPr>
                  <w:r>
                    <w:rPr>
                      <w:rFonts w:hint="eastAsia"/>
                      <w:szCs w:val="21"/>
                    </w:rPr>
                    <w:t>1</w:t>
                  </w:r>
                </w:p>
              </w:tc>
              <w:tc>
                <w:tcPr>
                  <w:tcW w:w="2832" w:type="dxa"/>
                  <w:vAlign w:val="center"/>
                </w:tcPr>
                <w:p>
                  <w:pPr>
                    <w:widowControl w:val="0"/>
                    <w:shd w:val="clear" w:color="auto" w:fill="auto"/>
                    <w:spacing w:line="240" w:lineRule="auto"/>
                    <w:jc w:val="left"/>
                    <w:rPr>
                      <w:szCs w:val="21"/>
                    </w:rPr>
                  </w:pPr>
                  <w:r>
                    <w:rPr>
                      <w:rFonts w:hint="eastAsia"/>
                      <w:szCs w:val="21"/>
                    </w:rPr>
                    <w:t xml:space="preserve">38U服务器机柜及网络机柜  </w:t>
                  </w:r>
                  <w:r>
                    <w:rPr>
                      <w:rFonts w:hint="eastAsia"/>
                      <w:szCs w:val="21"/>
                    </w:rPr>
                    <w:br w:type="textWrapping"/>
                  </w:r>
                  <w:r>
                    <w:rPr>
                      <w:rFonts w:hint="eastAsia"/>
                      <w:szCs w:val="21"/>
                    </w:rPr>
                    <w:t>人工拆卸搬迁及安装</w:t>
                  </w:r>
                </w:p>
              </w:tc>
              <w:tc>
                <w:tcPr>
                  <w:tcW w:w="1715" w:type="dxa"/>
                  <w:vAlign w:val="center"/>
                </w:tcPr>
                <w:p>
                  <w:pPr>
                    <w:widowControl w:val="0"/>
                    <w:shd w:val="clear" w:color="auto" w:fill="auto"/>
                    <w:spacing w:line="240" w:lineRule="auto"/>
                    <w:jc w:val="center"/>
                    <w:rPr>
                      <w:szCs w:val="21"/>
                    </w:rPr>
                  </w:pPr>
                  <w:r>
                    <w:rPr>
                      <w:rFonts w:hint="eastAsia"/>
                      <w:szCs w:val="21"/>
                    </w:rPr>
                    <w:t>光明少儿图书馆及其他采购人指定地点上架安装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widowControl w:val="0"/>
                    <w:shd w:val="clear" w:color="auto" w:fill="auto"/>
                    <w:spacing w:line="240" w:lineRule="auto"/>
                    <w:jc w:val="center"/>
                    <w:rPr>
                      <w:szCs w:val="21"/>
                    </w:rPr>
                  </w:pPr>
                  <w:r>
                    <w:rPr>
                      <w:rFonts w:hint="eastAsia"/>
                      <w:szCs w:val="21"/>
                    </w:rPr>
                    <w:t>123</w:t>
                  </w:r>
                </w:p>
              </w:tc>
              <w:tc>
                <w:tcPr>
                  <w:tcW w:w="1500" w:type="dxa"/>
                  <w:vAlign w:val="center"/>
                </w:tcPr>
                <w:p>
                  <w:pPr>
                    <w:widowControl w:val="0"/>
                    <w:shd w:val="clear" w:color="auto" w:fill="auto"/>
                    <w:spacing w:line="240" w:lineRule="auto"/>
                    <w:jc w:val="center"/>
                    <w:rPr>
                      <w:szCs w:val="21"/>
                    </w:rPr>
                  </w:pPr>
                  <w:r>
                    <w:rPr>
                      <w:rFonts w:hint="eastAsia"/>
                      <w:szCs w:val="21"/>
                    </w:rPr>
                    <w:t>机柜</w:t>
                  </w:r>
                </w:p>
              </w:tc>
              <w:tc>
                <w:tcPr>
                  <w:tcW w:w="816" w:type="dxa"/>
                  <w:vAlign w:val="center"/>
                </w:tcPr>
                <w:p>
                  <w:pPr>
                    <w:widowControl w:val="0"/>
                    <w:shd w:val="clear" w:color="auto" w:fill="auto"/>
                    <w:spacing w:line="240" w:lineRule="auto"/>
                    <w:jc w:val="center"/>
                    <w:rPr>
                      <w:szCs w:val="21"/>
                    </w:rPr>
                  </w:pPr>
                  <w:r>
                    <w:rPr>
                      <w:rFonts w:hint="eastAsia"/>
                      <w:szCs w:val="21"/>
                    </w:rPr>
                    <w:t>个</w:t>
                  </w:r>
                </w:p>
              </w:tc>
              <w:tc>
                <w:tcPr>
                  <w:tcW w:w="864" w:type="dxa"/>
                  <w:vAlign w:val="center"/>
                </w:tcPr>
                <w:p>
                  <w:pPr>
                    <w:widowControl w:val="0"/>
                    <w:shd w:val="clear" w:color="auto" w:fill="auto"/>
                    <w:spacing w:line="240" w:lineRule="auto"/>
                    <w:jc w:val="center"/>
                    <w:rPr>
                      <w:szCs w:val="21"/>
                    </w:rPr>
                  </w:pPr>
                  <w:r>
                    <w:rPr>
                      <w:rFonts w:hint="eastAsia"/>
                      <w:szCs w:val="21"/>
                    </w:rPr>
                    <w:t>8</w:t>
                  </w:r>
                </w:p>
              </w:tc>
              <w:tc>
                <w:tcPr>
                  <w:tcW w:w="2832" w:type="dxa"/>
                  <w:vAlign w:val="center"/>
                </w:tcPr>
                <w:p>
                  <w:pPr>
                    <w:widowControl w:val="0"/>
                    <w:shd w:val="clear" w:color="auto" w:fill="auto"/>
                    <w:spacing w:line="240" w:lineRule="auto"/>
                    <w:jc w:val="left"/>
                    <w:rPr>
                      <w:szCs w:val="21"/>
                    </w:rPr>
                  </w:pPr>
                  <w:r>
                    <w:rPr>
                      <w:rFonts w:hint="eastAsia"/>
                      <w:szCs w:val="21"/>
                    </w:rPr>
                    <w:t xml:space="preserve">42U服务器机柜及网络机柜  </w:t>
                  </w:r>
                  <w:r>
                    <w:rPr>
                      <w:rFonts w:hint="eastAsia"/>
                      <w:szCs w:val="21"/>
                    </w:rPr>
                    <w:br w:type="textWrapping"/>
                  </w:r>
                  <w:r>
                    <w:rPr>
                      <w:rFonts w:hint="eastAsia"/>
                      <w:szCs w:val="21"/>
                    </w:rPr>
                    <w:t>人工拆卸搬迁及安置</w:t>
                  </w:r>
                </w:p>
              </w:tc>
              <w:tc>
                <w:tcPr>
                  <w:tcW w:w="1715" w:type="dxa"/>
                  <w:vAlign w:val="center"/>
                </w:tcPr>
                <w:p>
                  <w:pPr>
                    <w:widowControl w:val="0"/>
                    <w:shd w:val="clear" w:color="auto" w:fill="auto"/>
                    <w:spacing w:line="240" w:lineRule="auto"/>
                    <w:jc w:val="center"/>
                    <w:rPr>
                      <w:szCs w:val="21"/>
                    </w:rPr>
                  </w:pPr>
                  <w:r>
                    <w:rPr>
                      <w:rFonts w:hint="eastAsia"/>
                      <w:szCs w:val="21"/>
                    </w:rPr>
                    <w:t>光明少儿图书馆及其他采购人指定地点放置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widowControl w:val="0"/>
                    <w:shd w:val="clear" w:color="auto" w:fill="auto"/>
                    <w:spacing w:line="240" w:lineRule="auto"/>
                    <w:jc w:val="center"/>
                    <w:rPr>
                      <w:szCs w:val="21"/>
                    </w:rPr>
                  </w:pPr>
                  <w:r>
                    <w:rPr>
                      <w:rFonts w:hint="eastAsia"/>
                      <w:szCs w:val="21"/>
                    </w:rPr>
                    <w:t>124</w:t>
                  </w:r>
                </w:p>
              </w:tc>
              <w:tc>
                <w:tcPr>
                  <w:tcW w:w="1500" w:type="dxa"/>
                  <w:vAlign w:val="center"/>
                </w:tcPr>
                <w:p>
                  <w:pPr>
                    <w:widowControl w:val="0"/>
                    <w:shd w:val="clear" w:color="auto" w:fill="auto"/>
                    <w:spacing w:line="240" w:lineRule="auto"/>
                    <w:jc w:val="center"/>
                    <w:rPr>
                      <w:szCs w:val="21"/>
                    </w:rPr>
                  </w:pPr>
                  <w:r>
                    <w:rPr>
                      <w:rFonts w:hint="eastAsia"/>
                      <w:szCs w:val="21"/>
                    </w:rPr>
                    <w:t>服务器及网络设备</w:t>
                  </w:r>
                </w:p>
              </w:tc>
              <w:tc>
                <w:tcPr>
                  <w:tcW w:w="816" w:type="dxa"/>
                  <w:vAlign w:val="center"/>
                </w:tcPr>
                <w:p>
                  <w:pPr>
                    <w:widowControl w:val="0"/>
                    <w:shd w:val="clear" w:color="auto" w:fill="auto"/>
                    <w:spacing w:line="240" w:lineRule="auto"/>
                    <w:jc w:val="center"/>
                    <w:rPr>
                      <w:szCs w:val="21"/>
                    </w:rPr>
                  </w:pPr>
                  <w:r>
                    <w:rPr>
                      <w:rFonts w:hint="eastAsia"/>
                      <w:szCs w:val="21"/>
                    </w:rPr>
                    <w:t>台</w:t>
                  </w:r>
                </w:p>
              </w:tc>
              <w:tc>
                <w:tcPr>
                  <w:tcW w:w="864" w:type="dxa"/>
                  <w:vAlign w:val="center"/>
                </w:tcPr>
                <w:p>
                  <w:pPr>
                    <w:widowControl w:val="0"/>
                    <w:shd w:val="clear" w:color="auto" w:fill="auto"/>
                    <w:spacing w:line="240" w:lineRule="auto"/>
                    <w:jc w:val="center"/>
                    <w:rPr>
                      <w:szCs w:val="21"/>
                    </w:rPr>
                  </w:pPr>
                  <w:r>
                    <w:rPr>
                      <w:rFonts w:hint="eastAsia"/>
                      <w:szCs w:val="21"/>
                    </w:rPr>
                    <w:t>35</w:t>
                  </w:r>
                </w:p>
              </w:tc>
              <w:tc>
                <w:tcPr>
                  <w:tcW w:w="2832" w:type="dxa"/>
                  <w:shd w:val="clear" w:color="auto" w:fill="auto"/>
                  <w:vAlign w:val="center"/>
                </w:tcPr>
                <w:p>
                  <w:pPr>
                    <w:widowControl w:val="0"/>
                    <w:shd w:val="clear" w:color="auto" w:fill="auto"/>
                    <w:spacing w:line="240" w:lineRule="auto"/>
                    <w:jc w:val="left"/>
                    <w:rPr>
                      <w:szCs w:val="21"/>
                    </w:rPr>
                  </w:pPr>
                  <w:r>
                    <w:rPr>
                      <w:rFonts w:hint="eastAsia"/>
                      <w:szCs w:val="21"/>
                    </w:rPr>
                    <w:t xml:space="preserve">1.服务器及网络设备    </w:t>
                  </w:r>
                  <w:r>
                    <w:rPr>
                      <w:rFonts w:hint="eastAsia"/>
                      <w:szCs w:val="21"/>
                    </w:rPr>
                    <w:br w:type="textWrapping"/>
                  </w:r>
                  <w:r>
                    <w:rPr>
                      <w:rFonts w:hint="eastAsia"/>
                      <w:szCs w:val="21"/>
                    </w:rPr>
                    <w:t>2.人工拆卸搬迁安置</w:t>
                  </w:r>
                </w:p>
              </w:tc>
              <w:tc>
                <w:tcPr>
                  <w:tcW w:w="1715" w:type="dxa"/>
                  <w:vAlign w:val="center"/>
                </w:tcPr>
                <w:p>
                  <w:pPr>
                    <w:widowControl w:val="0"/>
                    <w:shd w:val="clear" w:color="auto" w:fill="auto"/>
                    <w:spacing w:line="240" w:lineRule="auto"/>
                    <w:jc w:val="center"/>
                    <w:rPr>
                      <w:szCs w:val="21"/>
                    </w:rPr>
                  </w:pPr>
                  <w:r>
                    <w:rPr>
                      <w:rFonts w:hint="eastAsia"/>
                      <w:szCs w:val="21"/>
                    </w:rPr>
                    <w:t>光明少儿图书馆及其他采购人指定地点放置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shd w:val="clear" w:color="auto" w:fill="auto"/>
                  <w:vAlign w:val="center"/>
                </w:tcPr>
                <w:p>
                  <w:pPr>
                    <w:widowControl w:val="0"/>
                    <w:shd w:val="clear" w:color="auto" w:fill="auto"/>
                    <w:spacing w:line="240" w:lineRule="auto"/>
                    <w:jc w:val="center"/>
                    <w:rPr>
                      <w:szCs w:val="21"/>
                    </w:rPr>
                  </w:pPr>
                  <w:r>
                    <w:rPr>
                      <w:rFonts w:hint="eastAsia"/>
                      <w:szCs w:val="21"/>
                    </w:rPr>
                    <w:t>125</w:t>
                  </w:r>
                </w:p>
              </w:tc>
              <w:tc>
                <w:tcPr>
                  <w:tcW w:w="1500" w:type="dxa"/>
                  <w:shd w:val="clear" w:color="auto" w:fill="auto"/>
                  <w:vAlign w:val="center"/>
                </w:tcPr>
                <w:p>
                  <w:pPr>
                    <w:widowControl w:val="0"/>
                    <w:shd w:val="clear" w:color="auto" w:fill="auto"/>
                    <w:spacing w:line="240" w:lineRule="auto"/>
                    <w:jc w:val="center"/>
                    <w:rPr>
                      <w:szCs w:val="21"/>
                    </w:rPr>
                  </w:pPr>
                  <w:r>
                    <w:rPr>
                      <w:rFonts w:hint="eastAsia"/>
                      <w:szCs w:val="21"/>
                    </w:rPr>
                    <w:t>空调柜机</w:t>
                  </w:r>
                </w:p>
              </w:tc>
              <w:tc>
                <w:tcPr>
                  <w:tcW w:w="816" w:type="dxa"/>
                  <w:vAlign w:val="center"/>
                </w:tcPr>
                <w:p>
                  <w:pPr>
                    <w:widowControl w:val="0"/>
                    <w:shd w:val="clear" w:color="auto" w:fill="auto"/>
                    <w:spacing w:line="240" w:lineRule="auto"/>
                    <w:jc w:val="center"/>
                    <w:rPr>
                      <w:szCs w:val="21"/>
                    </w:rPr>
                  </w:pPr>
                  <w:r>
                    <w:rPr>
                      <w:rFonts w:hint="eastAsia"/>
                      <w:szCs w:val="21"/>
                    </w:rPr>
                    <w:t>台</w:t>
                  </w:r>
                </w:p>
              </w:tc>
              <w:tc>
                <w:tcPr>
                  <w:tcW w:w="864" w:type="dxa"/>
                  <w:vAlign w:val="center"/>
                </w:tcPr>
                <w:p>
                  <w:pPr>
                    <w:widowControl w:val="0"/>
                    <w:shd w:val="clear" w:color="auto" w:fill="auto"/>
                    <w:spacing w:line="240" w:lineRule="auto"/>
                    <w:jc w:val="center"/>
                    <w:rPr>
                      <w:szCs w:val="21"/>
                    </w:rPr>
                  </w:pPr>
                  <w:r>
                    <w:rPr>
                      <w:rFonts w:hint="eastAsia"/>
                      <w:szCs w:val="21"/>
                    </w:rPr>
                    <w:t>3</w:t>
                  </w:r>
                </w:p>
              </w:tc>
              <w:tc>
                <w:tcPr>
                  <w:tcW w:w="2832" w:type="dxa"/>
                  <w:shd w:val="clear" w:color="auto" w:fill="auto"/>
                  <w:vAlign w:val="center"/>
                </w:tcPr>
                <w:p>
                  <w:pPr>
                    <w:widowControl w:val="0"/>
                    <w:shd w:val="clear" w:color="auto" w:fill="auto"/>
                    <w:spacing w:line="240" w:lineRule="auto"/>
                    <w:jc w:val="left"/>
                    <w:rPr>
                      <w:szCs w:val="21"/>
                    </w:rPr>
                  </w:pPr>
                  <w:r>
                    <w:rPr>
                      <w:rFonts w:hint="eastAsia"/>
                      <w:szCs w:val="21"/>
                    </w:rPr>
                    <w:t>1.UPS主机及电池</w:t>
                  </w:r>
                  <w:r>
                    <w:rPr>
                      <w:rFonts w:hint="eastAsia"/>
                      <w:szCs w:val="21"/>
                    </w:rPr>
                    <w:br w:type="textWrapping"/>
                  </w:r>
                  <w:r>
                    <w:rPr>
                      <w:rFonts w:hint="eastAsia"/>
                      <w:szCs w:val="21"/>
                    </w:rPr>
                    <w:t>2.人工拆卸搬迁安置</w:t>
                  </w:r>
                </w:p>
              </w:tc>
              <w:tc>
                <w:tcPr>
                  <w:tcW w:w="1715" w:type="dxa"/>
                  <w:vAlign w:val="center"/>
                </w:tcPr>
                <w:p>
                  <w:pPr>
                    <w:widowControl w:val="0"/>
                    <w:shd w:val="clear" w:color="auto" w:fill="auto"/>
                    <w:spacing w:line="240" w:lineRule="auto"/>
                    <w:jc w:val="center"/>
                    <w:rPr>
                      <w:szCs w:val="21"/>
                    </w:rPr>
                  </w:pPr>
                  <w:r>
                    <w:rPr>
                      <w:rFonts w:hint="eastAsia"/>
                      <w:szCs w:val="21"/>
                    </w:rPr>
                    <w:t>光明少儿图书馆及其他采购人指定地点放置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shd w:val="clear" w:color="auto" w:fill="auto"/>
                  <w:vAlign w:val="center"/>
                </w:tcPr>
                <w:p>
                  <w:pPr>
                    <w:widowControl w:val="0"/>
                    <w:shd w:val="clear" w:color="auto" w:fill="auto"/>
                    <w:spacing w:line="240" w:lineRule="auto"/>
                    <w:jc w:val="center"/>
                    <w:rPr>
                      <w:szCs w:val="21"/>
                    </w:rPr>
                  </w:pPr>
                  <w:r>
                    <w:rPr>
                      <w:rFonts w:hint="eastAsia"/>
                      <w:szCs w:val="21"/>
                    </w:rPr>
                    <w:t>126</w:t>
                  </w:r>
                </w:p>
              </w:tc>
              <w:tc>
                <w:tcPr>
                  <w:tcW w:w="1500" w:type="dxa"/>
                  <w:shd w:val="clear" w:color="auto" w:fill="auto"/>
                  <w:vAlign w:val="center"/>
                </w:tcPr>
                <w:p>
                  <w:pPr>
                    <w:widowControl w:val="0"/>
                    <w:shd w:val="clear" w:color="auto" w:fill="auto"/>
                    <w:spacing w:line="240" w:lineRule="auto"/>
                    <w:jc w:val="center"/>
                    <w:rPr>
                      <w:szCs w:val="21"/>
                    </w:rPr>
                  </w:pPr>
                  <w:r>
                    <w:rPr>
                      <w:rFonts w:hint="eastAsia"/>
                      <w:szCs w:val="21"/>
                    </w:rPr>
                    <w:t>UPS主机</w:t>
                  </w:r>
                </w:p>
              </w:tc>
              <w:tc>
                <w:tcPr>
                  <w:tcW w:w="816" w:type="dxa"/>
                  <w:vAlign w:val="center"/>
                </w:tcPr>
                <w:p>
                  <w:pPr>
                    <w:widowControl w:val="0"/>
                    <w:shd w:val="clear" w:color="auto" w:fill="auto"/>
                    <w:spacing w:line="240" w:lineRule="auto"/>
                    <w:jc w:val="center"/>
                    <w:rPr>
                      <w:szCs w:val="21"/>
                    </w:rPr>
                  </w:pPr>
                  <w:r>
                    <w:rPr>
                      <w:rFonts w:hint="eastAsia"/>
                      <w:szCs w:val="21"/>
                    </w:rPr>
                    <w:t>台</w:t>
                  </w:r>
                </w:p>
              </w:tc>
              <w:tc>
                <w:tcPr>
                  <w:tcW w:w="864" w:type="dxa"/>
                  <w:vAlign w:val="center"/>
                </w:tcPr>
                <w:p>
                  <w:pPr>
                    <w:widowControl w:val="0"/>
                    <w:shd w:val="clear" w:color="auto" w:fill="auto"/>
                    <w:spacing w:line="240" w:lineRule="auto"/>
                    <w:jc w:val="center"/>
                    <w:rPr>
                      <w:szCs w:val="21"/>
                    </w:rPr>
                  </w:pPr>
                  <w:r>
                    <w:rPr>
                      <w:rFonts w:hint="eastAsia"/>
                      <w:szCs w:val="21"/>
                    </w:rPr>
                    <w:t>2</w:t>
                  </w:r>
                </w:p>
              </w:tc>
              <w:tc>
                <w:tcPr>
                  <w:tcW w:w="2832" w:type="dxa"/>
                  <w:shd w:val="clear" w:color="auto" w:fill="auto"/>
                  <w:vAlign w:val="center"/>
                </w:tcPr>
                <w:p>
                  <w:pPr>
                    <w:widowControl w:val="0"/>
                    <w:shd w:val="clear" w:color="auto" w:fill="auto"/>
                    <w:spacing w:line="240" w:lineRule="auto"/>
                    <w:jc w:val="left"/>
                    <w:rPr>
                      <w:szCs w:val="21"/>
                    </w:rPr>
                  </w:pPr>
                  <w:r>
                    <w:rPr>
                      <w:rFonts w:hint="eastAsia"/>
                      <w:szCs w:val="21"/>
                    </w:rPr>
                    <w:t>1.UPS主机及电池</w:t>
                  </w:r>
                  <w:r>
                    <w:rPr>
                      <w:rFonts w:hint="eastAsia"/>
                      <w:szCs w:val="21"/>
                    </w:rPr>
                    <w:br w:type="textWrapping"/>
                  </w:r>
                  <w:r>
                    <w:rPr>
                      <w:rFonts w:hint="eastAsia"/>
                      <w:szCs w:val="21"/>
                    </w:rPr>
                    <w:t>2.人工拆卸搬迁安置</w:t>
                  </w:r>
                </w:p>
              </w:tc>
              <w:tc>
                <w:tcPr>
                  <w:tcW w:w="1715" w:type="dxa"/>
                  <w:vAlign w:val="center"/>
                </w:tcPr>
                <w:p>
                  <w:pPr>
                    <w:widowControl w:val="0"/>
                    <w:shd w:val="clear" w:color="auto" w:fill="auto"/>
                    <w:spacing w:line="240" w:lineRule="auto"/>
                    <w:jc w:val="center"/>
                    <w:rPr>
                      <w:szCs w:val="21"/>
                    </w:rPr>
                  </w:pPr>
                  <w:r>
                    <w:rPr>
                      <w:rFonts w:hint="eastAsia"/>
                      <w:szCs w:val="21"/>
                    </w:rPr>
                    <w:t>光明少儿图书馆及其他采购人指定地点放置</w:t>
                  </w:r>
                </w:p>
              </w:tc>
            </w:tr>
          </w:tbl>
          <w:p>
            <w:pPr>
              <w:pStyle w:val="55"/>
              <w:spacing w:line="240" w:lineRule="auto"/>
              <w:rPr>
                <w:rFonts w:hAnsi="宋体" w:cs="宋体"/>
                <w:sz w:val="21"/>
                <w:szCs w:val="21"/>
              </w:rPr>
            </w:pPr>
          </w:p>
          <w:p>
            <w:pPr>
              <w:pStyle w:val="280"/>
              <w:tabs>
                <w:tab w:val="left" w:pos="936"/>
              </w:tabs>
              <w:spacing w:line="240" w:lineRule="auto"/>
              <w:ind w:firstLine="422"/>
              <w:rPr>
                <w:rStyle w:val="346"/>
                <w:rFonts w:hint="default"/>
                <w:sz w:val="21"/>
                <w:szCs w:val="21"/>
                <w:lang w:bidi="ar"/>
              </w:rPr>
            </w:pPr>
            <w:r>
              <w:rPr>
                <w:rStyle w:val="346"/>
                <w:b/>
                <w:bCs/>
                <w:sz w:val="21"/>
                <w:szCs w:val="21"/>
                <w:lang w:bidi="ar"/>
              </w:rPr>
              <w:t>2.2搬迁范围</w:t>
            </w:r>
            <w:r>
              <w:rPr>
                <w:rStyle w:val="346"/>
                <w:sz w:val="21"/>
                <w:szCs w:val="21"/>
                <w:lang w:bidi="ar"/>
              </w:rPr>
              <w:t xml:space="preserve"> </w:t>
            </w:r>
          </w:p>
          <w:p>
            <w:pPr>
              <w:pStyle w:val="8"/>
              <w:shd w:val="clear" w:color="auto" w:fill="auto"/>
              <w:spacing w:line="240" w:lineRule="auto"/>
              <w:ind w:firstLine="422" w:firstLineChars="200"/>
              <w:rPr>
                <w:sz w:val="21"/>
                <w:szCs w:val="21"/>
              </w:rPr>
            </w:pPr>
            <w:r>
              <w:rPr>
                <w:rStyle w:val="346"/>
                <w:sz w:val="21"/>
                <w:szCs w:val="21"/>
                <w:lang w:bidi="ar"/>
              </w:rPr>
              <w:t>（1）本项目服务范围包含:搬迁、拆装、图书分类、上下架、打包、运输、安装调试等全部工作，以及满足本项目需求的包装材料（防水图书打包牛皮纸、纸箱、其他辅材等）、图书打包机、书车、小拖车、标签贴等。</w:t>
            </w:r>
          </w:p>
          <w:p>
            <w:pPr>
              <w:pStyle w:val="40"/>
              <w:shd w:val="clear" w:color="auto" w:fill="auto"/>
              <w:autoSpaceDE w:val="0"/>
              <w:spacing w:line="240" w:lineRule="auto"/>
              <w:ind w:firstLine="420" w:firstLineChars="200"/>
              <w:rPr>
                <w:rStyle w:val="346"/>
                <w:rFonts w:hint="default"/>
                <w:kern w:val="2"/>
                <w:sz w:val="21"/>
                <w:szCs w:val="21"/>
              </w:rPr>
            </w:pPr>
            <w:r>
              <w:rPr>
                <w:rStyle w:val="346"/>
                <w:kern w:val="2"/>
                <w:sz w:val="21"/>
                <w:szCs w:val="21"/>
                <w:lang w:bidi="ar"/>
              </w:rPr>
              <w:t>（2）搬迁前的场地环境保护，搬迁后的场地清理，包装废物垃圾清理。</w:t>
            </w:r>
          </w:p>
          <w:p>
            <w:pPr>
              <w:pStyle w:val="40"/>
              <w:shd w:val="clear" w:color="auto" w:fill="auto"/>
              <w:autoSpaceDE w:val="0"/>
              <w:spacing w:line="240" w:lineRule="auto"/>
              <w:ind w:firstLine="422" w:firstLineChars="200"/>
              <w:rPr>
                <w:rStyle w:val="346"/>
                <w:rFonts w:hint="default"/>
                <w:b/>
                <w:bCs/>
                <w:color w:val="FF0000"/>
                <w:kern w:val="2"/>
                <w:sz w:val="21"/>
                <w:szCs w:val="21"/>
              </w:rPr>
            </w:pPr>
            <w:r>
              <w:rPr>
                <w:rStyle w:val="346"/>
                <w:b/>
                <w:bCs/>
                <w:color w:val="FF0000"/>
                <w:kern w:val="2"/>
                <w:sz w:val="21"/>
                <w:szCs w:val="21"/>
                <w:lang w:bidi="ar"/>
              </w:rPr>
              <w:t>（3）本项目《图书馆搬馆明细清单》只做投标人报价参考，实际搬迁数量以现场踏勘为准，搬迁现场部分物资未列入清单的，也包含在本次搬迁范围以内，投标人须对此进行单独书面承诺（格式自拟，加盖投标人公章），否则按无效投标处理。</w:t>
            </w:r>
          </w:p>
          <w:p>
            <w:pPr>
              <w:shd w:val="clear" w:color="auto" w:fill="auto"/>
              <w:spacing w:line="240" w:lineRule="auto"/>
              <w:ind w:firstLine="420" w:firstLineChars="200"/>
              <w:rPr>
                <w:szCs w:val="21"/>
              </w:rPr>
            </w:pPr>
            <w:r>
              <w:rPr>
                <w:rFonts w:hint="eastAsia"/>
                <w:szCs w:val="21"/>
              </w:rPr>
              <w:t>详见《图书馆搬馆明细清单》搬迁、拆装、上下架、打包、运输、安装调试等全部工作。</w:t>
            </w:r>
          </w:p>
          <w:p>
            <w:pPr>
              <w:pStyle w:val="345"/>
              <w:rPr>
                <w:rFonts w:ascii="宋体" w:hAnsi="宋体" w:cs="宋体"/>
                <w:sz w:val="21"/>
                <w:szCs w:val="21"/>
              </w:rPr>
            </w:pPr>
            <w:r>
              <w:rPr>
                <w:rFonts w:hint="eastAsia" w:ascii="宋体" w:hAnsi="宋体" w:cs="宋体"/>
                <w:sz w:val="21"/>
                <w:szCs w:val="21"/>
              </w:rPr>
              <w:t>2.3搬迁地点（采购人指定地点）</w:t>
            </w:r>
          </w:p>
          <w:p>
            <w:pPr>
              <w:pStyle w:val="345"/>
              <w:rPr>
                <w:rFonts w:ascii="宋体" w:hAnsi="宋体" w:cs="宋体"/>
                <w:sz w:val="21"/>
                <w:szCs w:val="21"/>
              </w:rPr>
            </w:pPr>
            <w:r>
              <w:rPr>
                <w:rFonts w:hint="eastAsia" w:ascii="宋体" w:hAnsi="宋体" w:cs="宋体"/>
                <w:sz w:val="21"/>
                <w:szCs w:val="21"/>
              </w:rPr>
              <w:t>（1）深圳少年儿童图书馆—光明区少年儿童图书馆</w:t>
            </w:r>
          </w:p>
          <w:p>
            <w:pPr>
              <w:pStyle w:val="40"/>
              <w:shd w:val="clear" w:color="auto" w:fill="auto"/>
              <w:autoSpaceDE w:val="0"/>
              <w:spacing w:line="240" w:lineRule="auto"/>
              <w:ind w:firstLine="420" w:firstLineChars="200"/>
              <w:rPr>
                <w:rStyle w:val="346"/>
                <w:rFonts w:hint="default"/>
                <w:kern w:val="2"/>
                <w:sz w:val="21"/>
                <w:szCs w:val="21"/>
                <w:lang w:bidi="ar"/>
              </w:rPr>
            </w:pPr>
            <w:r>
              <w:rPr>
                <w:rFonts w:hint="eastAsia"/>
                <w:sz w:val="21"/>
                <w:szCs w:val="21"/>
              </w:rPr>
              <w:t>（2）深圳少年儿</w:t>
            </w:r>
            <w:r>
              <w:rPr>
                <w:rStyle w:val="346"/>
                <w:kern w:val="2"/>
                <w:sz w:val="21"/>
                <w:szCs w:val="21"/>
                <w:lang w:bidi="ar"/>
              </w:rPr>
              <w:t>童图书馆—少儿图书馆龙岗分馆</w:t>
            </w:r>
          </w:p>
          <w:p>
            <w:pPr>
              <w:pStyle w:val="40"/>
              <w:shd w:val="clear" w:color="auto" w:fill="auto"/>
              <w:autoSpaceDE w:val="0"/>
              <w:spacing w:line="240" w:lineRule="auto"/>
              <w:ind w:firstLine="420" w:firstLineChars="200"/>
              <w:rPr>
                <w:rStyle w:val="346"/>
                <w:rFonts w:hint="default"/>
                <w:kern w:val="2"/>
                <w:sz w:val="21"/>
                <w:szCs w:val="21"/>
                <w:lang w:bidi="ar"/>
              </w:rPr>
            </w:pPr>
            <w:r>
              <w:rPr>
                <w:rStyle w:val="346"/>
                <w:kern w:val="2"/>
                <w:sz w:val="21"/>
                <w:szCs w:val="21"/>
                <w:lang w:bidi="ar"/>
              </w:rPr>
              <w:t>（3）深圳少年儿童图书馆—临时开放点（罗湖区银湖实验小学）</w:t>
            </w:r>
          </w:p>
          <w:p>
            <w:pPr>
              <w:pStyle w:val="40"/>
              <w:shd w:val="clear" w:color="auto" w:fill="auto"/>
              <w:autoSpaceDE w:val="0"/>
              <w:spacing w:line="240" w:lineRule="auto"/>
              <w:ind w:firstLine="420" w:firstLineChars="200"/>
              <w:rPr>
                <w:rStyle w:val="346"/>
                <w:rFonts w:hint="default"/>
                <w:kern w:val="2"/>
                <w:sz w:val="21"/>
                <w:szCs w:val="21"/>
                <w:lang w:bidi="ar"/>
              </w:rPr>
            </w:pPr>
            <w:r>
              <w:rPr>
                <w:rStyle w:val="346"/>
                <w:kern w:val="2"/>
                <w:sz w:val="21"/>
                <w:szCs w:val="21"/>
                <w:lang w:bidi="ar"/>
              </w:rPr>
              <w:t>（4）深圳少年儿童图书馆—临时办公点（太平洋商贸大厦A区）</w:t>
            </w:r>
          </w:p>
          <w:p>
            <w:pPr>
              <w:pStyle w:val="40"/>
              <w:shd w:val="clear" w:color="auto" w:fill="auto"/>
              <w:autoSpaceDE w:val="0"/>
              <w:spacing w:line="240" w:lineRule="auto"/>
              <w:ind w:firstLine="420" w:firstLineChars="200"/>
              <w:rPr>
                <w:rStyle w:val="346"/>
                <w:rFonts w:hint="default"/>
                <w:kern w:val="2"/>
                <w:sz w:val="21"/>
                <w:szCs w:val="21"/>
                <w:lang w:bidi="ar"/>
              </w:rPr>
            </w:pPr>
            <w:r>
              <w:rPr>
                <w:rStyle w:val="346"/>
                <w:kern w:val="2"/>
                <w:sz w:val="21"/>
                <w:szCs w:val="21"/>
                <w:lang w:bidi="ar"/>
              </w:rPr>
              <w:t>（5）深圳少年儿童图书馆—其他甲方指定地点</w:t>
            </w:r>
          </w:p>
          <w:p>
            <w:pPr>
              <w:shd w:val="clear" w:color="auto" w:fill="auto"/>
              <w:spacing w:line="240" w:lineRule="auto"/>
              <w:rPr>
                <w:b/>
                <w:bCs/>
                <w:szCs w:val="21"/>
              </w:rPr>
            </w:pPr>
            <w:r>
              <w:rPr>
                <w:rFonts w:hint="eastAsia"/>
                <w:b/>
                <w:bCs/>
                <w:szCs w:val="21"/>
              </w:rPr>
              <w:t>3.技术要求：</w:t>
            </w:r>
          </w:p>
          <w:p>
            <w:pPr>
              <w:pStyle w:val="40"/>
              <w:shd w:val="clear" w:color="auto" w:fill="auto"/>
              <w:autoSpaceDE w:val="0"/>
              <w:spacing w:line="240" w:lineRule="auto"/>
              <w:ind w:firstLine="420" w:firstLineChars="200"/>
              <w:rPr>
                <w:rStyle w:val="346"/>
                <w:rFonts w:hint="default"/>
                <w:kern w:val="2"/>
                <w:sz w:val="21"/>
                <w:szCs w:val="21"/>
              </w:rPr>
            </w:pPr>
            <w:r>
              <w:rPr>
                <w:rStyle w:val="346"/>
                <w:kern w:val="2"/>
                <w:sz w:val="21"/>
                <w:szCs w:val="21"/>
                <w:lang w:bidi="ar"/>
              </w:rPr>
              <w:t>3.1投标人需对项目进行实地踏勘了解，最终搬迁工作量和服务内容以现场踏勘为准，投标人不得以任何理由或通过索赔方式要求增加搬迁费用。</w:t>
            </w:r>
          </w:p>
          <w:p>
            <w:pPr>
              <w:pStyle w:val="40"/>
              <w:shd w:val="clear" w:color="auto" w:fill="auto"/>
              <w:autoSpaceDE w:val="0"/>
              <w:spacing w:line="240" w:lineRule="auto"/>
              <w:ind w:firstLine="420" w:firstLineChars="200"/>
              <w:rPr>
                <w:rStyle w:val="346"/>
                <w:rFonts w:hint="default"/>
                <w:kern w:val="2"/>
                <w:sz w:val="21"/>
                <w:szCs w:val="21"/>
              </w:rPr>
            </w:pPr>
            <w:r>
              <w:rPr>
                <w:rStyle w:val="346"/>
                <w:kern w:val="2"/>
                <w:sz w:val="21"/>
                <w:szCs w:val="21"/>
                <w:lang w:bidi="ar"/>
              </w:rPr>
              <w:t>3.2投标人必须针对本项目制定完善的实施方案，方案要结合项目实际需求，方案有针对性、实用性、可操作性。实施方案须包含：项目搬迁具体实施方案、重点难点分析、实施人员、车辆安排，图书上下架方案、家具（含书架、办公家具等）拆装方案、应急保障措施等。</w:t>
            </w:r>
          </w:p>
          <w:p>
            <w:pPr>
              <w:shd w:val="clear" w:color="auto" w:fill="auto"/>
              <w:spacing w:line="240" w:lineRule="auto"/>
              <w:ind w:firstLine="420" w:firstLineChars="200"/>
              <w:rPr>
                <w:rStyle w:val="346"/>
                <w:rFonts w:hint="default"/>
                <w:sz w:val="21"/>
                <w:szCs w:val="21"/>
                <w:lang w:bidi="ar"/>
              </w:rPr>
            </w:pPr>
            <w:r>
              <w:rPr>
                <w:rStyle w:val="346"/>
                <w:sz w:val="21"/>
                <w:szCs w:val="21"/>
                <w:lang w:bidi="ar"/>
              </w:rPr>
              <w:t>3.3中标人在搬迁服务过程中所发生的一切关于安全问题均由中标人负责，并承担由此引起的经济责任和法律责任。</w:t>
            </w:r>
          </w:p>
          <w:p>
            <w:pPr>
              <w:pStyle w:val="40"/>
              <w:shd w:val="clear" w:color="auto" w:fill="auto"/>
              <w:autoSpaceDE w:val="0"/>
              <w:spacing w:line="240" w:lineRule="auto"/>
              <w:ind w:firstLine="422" w:firstLineChars="200"/>
              <w:rPr>
                <w:rStyle w:val="346"/>
                <w:rFonts w:hint="default"/>
                <w:b/>
                <w:bCs/>
                <w:kern w:val="2"/>
                <w:sz w:val="21"/>
                <w:szCs w:val="21"/>
              </w:rPr>
            </w:pPr>
            <w:r>
              <w:rPr>
                <w:rStyle w:val="346"/>
                <w:b/>
                <w:bCs/>
                <w:kern w:val="2"/>
                <w:sz w:val="21"/>
                <w:szCs w:val="21"/>
                <w:lang w:bidi="ar"/>
              </w:rPr>
              <w:t>3.4项目团队要求</w:t>
            </w:r>
          </w:p>
          <w:p>
            <w:pPr>
              <w:pStyle w:val="7"/>
              <w:shd w:val="clear" w:color="auto" w:fill="auto"/>
              <w:spacing w:line="240" w:lineRule="auto"/>
              <w:ind w:firstLineChars="200"/>
              <w:rPr>
                <w:rFonts w:ascii="宋体" w:hAnsi="宋体" w:cs="宋体"/>
                <w:szCs w:val="21"/>
              </w:rPr>
            </w:pPr>
            <w:r>
              <w:rPr>
                <w:rFonts w:hint="eastAsia" w:ascii="宋体" w:hAnsi="宋体" w:cs="宋体"/>
                <w:szCs w:val="21"/>
              </w:rPr>
              <w:t xml:space="preserve">1. </w:t>
            </w:r>
            <w:r>
              <w:rPr>
                <w:rStyle w:val="346"/>
                <w:sz w:val="21"/>
                <w:szCs w:val="21"/>
                <w:lang w:bidi="ar"/>
              </w:rPr>
              <w:t>中标人</w:t>
            </w:r>
            <w:r>
              <w:rPr>
                <w:rFonts w:hint="eastAsia" w:ascii="宋体" w:hAnsi="宋体" w:cs="宋体"/>
                <w:szCs w:val="21"/>
              </w:rPr>
              <w:t xml:space="preserve">应遵守采购人各项管理规定，严格按照采购人的要求及标准完成合同约定的业务，遵守与履行本协议有关的采购人单位及部门的制度与规定。严格做好“防火、防水、防盗”措施。 </w:t>
            </w:r>
          </w:p>
          <w:p>
            <w:pPr>
              <w:pStyle w:val="7"/>
              <w:shd w:val="clear" w:color="auto" w:fill="auto"/>
              <w:spacing w:line="240" w:lineRule="auto"/>
              <w:ind w:firstLineChars="200"/>
              <w:rPr>
                <w:rFonts w:ascii="宋体" w:hAnsi="宋体" w:cs="宋体"/>
                <w:szCs w:val="21"/>
              </w:rPr>
            </w:pPr>
            <w:r>
              <w:rPr>
                <w:rFonts w:hint="eastAsia" w:ascii="宋体" w:hAnsi="宋体" w:cs="宋体"/>
                <w:szCs w:val="21"/>
              </w:rPr>
              <w:t xml:space="preserve">2. </w:t>
            </w:r>
            <w:r>
              <w:rPr>
                <w:rStyle w:val="346"/>
                <w:sz w:val="21"/>
                <w:szCs w:val="21"/>
                <w:lang w:bidi="ar"/>
              </w:rPr>
              <w:t>中标人</w:t>
            </w:r>
            <w:r>
              <w:rPr>
                <w:rFonts w:hint="eastAsia" w:ascii="宋体" w:hAnsi="宋体" w:cs="宋体"/>
                <w:szCs w:val="21"/>
              </w:rPr>
              <w:t xml:space="preserve">应制定科学完善的项目服务方案，包括项目整体迁移方案、项目进度管理、文献保护方案、质量保障措施、人员培训考核等。 </w:t>
            </w:r>
          </w:p>
          <w:p>
            <w:pPr>
              <w:pStyle w:val="7"/>
              <w:shd w:val="clear" w:color="auto" w:fill="auto"/>
              <w:spacing w:line="240" w:lineRule="auto"/>
              <w:ind w:firstLineChars="200"/>
              <w:rPr>
                <w:rFonts w:ascii="宋体" w:hAnsi="宋体" w:cs="宋体"/>
                <w:szCs w:val="21"/>
              </w:rPr>
            </w:pPr>
            <w:r>
              <w:rPr>
                <w:rFonts w:hint="eastAsia" w:ascii="宋体" w:hAnsi="宋体" w:cs="宋体"/>
                <w:szCs w:val="21"/>
              </w:rPr>
              <w:t xml:space="preserve">3. </w:t>
            </w:r>
            <w:r>
              <w:rPr>
                <w:rStyle w:val="346"/>
                <w:sz w:val="21"/>
                <w:szCs w:val="21"/>
                <w:lang w:bidi="ar"/>
              </w:rPr>
              <w:t>中标人</w:t>
            </w:r>
            <w:r>
              <w:rPr>
                <w:rFonts w:hint="eastAsia" w:ascii="宋体" w:hAnsi="宋体" w:cs="宋体"/>
                <w:szCs w:val="21"/>
              </w:rPr>
              <w:t xml:space="preserve">需配置完全满足工作需要的服务团队，并确保服务团队经验丰富、分工明确；项目负责人需具备同类型项目管理经验并满足项目实施的相关学历要求，团队服务人员需具备同类型项目工作经验，具备项目所要求的能力素质和专业技能。 </w:t>
            </w:r>
          </w:p>
          <w:p>
            <w:pPr>
              <w:pStyle w:val="7"/>
              <w:shd w:val="clear" w:color="auto" w:fill="auto"/>
              <w:spacing w:line="240" w:lineRule="auto"/>
              <w:ind w:firstLineChars="200"/>
              <w:rPr>
                <w:rFonts w:ascii="宋体" w:hAnsi="宋体" w:cs="宋体"/>
                <w:szCs w:val="21"/>
              </w:rPr>
            </w:pPr>
            <w:r>
              <w:rPr>
                <w:rFonts w:hint="eastAsia" w:ascii="宋体" w:hAnsi="宋体" w:cs="宋体"/>
                <w:szCs w:val="21"/>
              </w:rPr>
              <w:t xml:space="preserve">4. </w:t>
            </w:r>
            <w:r>
              <w:rPr>
                <w:rStyle w:val="346"/>
                <w:sz w:val="21"/>
                <w:szCs w:val="21"/>
                <w:lang w:bidi="ar"/>
              </w:rPr>
              <w:t>中标人</w:t>
            </w:r>
            <w:r>
              <w:rPr>
                <w:rFonts w:hint="eastAsia" w:ascii="宋体" w:hAnsi="宋体" w:cs="宋体"/>
                <w:szCs w:val="21"/>
              </w:rPr>
              <w:t>需安排具有管理经验的项目经理负责项目现场管理工作。</w:t>
            </w:r>
            <w:r>
              <w:rPr>
                <w:rStyle w:val="346"/>
                <w:sz w:val="21"/>
                <w:szCs w:val="21"/>
                <w:lang w:bidi="ar"/>
              </w:rPr>
              <w:t>中标人</w:t>
            </w:r>
            <w:r>
              <w:rPr>
                <w:rFonts w:hint="eastAsia" w:ascii="宋体" w:hAnsi="宋体" w:cs="宋体"/>
                <w:szCs w:val="21"/>
              </w:rPr>
              <w:t xml:space="preserve">须提供有效的过程管理方案，降低调整迁移过程中存在的风险。 </w:t>
            </w:r>
          </w:p>
          <w:p>
            <w:pPr>
              <w:pStyle w:val="7"/>
              <w:shd w:val="clear" w:color="auto" w:fill="auto"/>
              <w:spacing w:line="240" w:lineRule="auto"/>
              <w:ind w:firstLineChars="200"/>
              <w:rPr>
                <w:rFonts w:ascii="宋体" w:hAnsi="宋体" w:cs="宋体"/>
                <w:szCs w:val="21"/>
              </w:rPr>
            </w:pPr>
            <w:r>
              <w:rPr>
                <w:rFonts w:hint="eastAsia" w:ascii="宋体" w:hAnsi="宋体" w:cs="宋体"/>
                <w:szCs w:val="21"/>
              </w:rPr>
              <w:t xml:space="preserve">5. </w:t>
            </w:r>
            <w:r>
              <w:rPr>
                <w:rStyle w:val="346"/>
                <w:sz w:val="21"/>
                <w:szCs w:val="21"/>
                <w:lang w:bidi="ar"/>
              </w:rPr>
              <w:t>中标人</w:t>
            </w:r>
            <w:r>
              <w:rPr>
                <w:rFonts w:hint="eastAsia" w:ascii="宋体" w:hAnsi="宋体" w:cs="宋体"/>
                <w:szCs w:val="21"/>
              </w:rPr>
              <w:t>应对每天的工作情况记载完整、详细的工作记录，及时提交给采购人，根据采购人要求及时进行监督检查和调整。</w:t>
            </w:r>
            <w:r>
              <w:rPr>
                <w:rStyle w:val="346"/>
                <w:sz w:val="21"/>
                <w:szCs w:val="21"/>
                <w:lang w:bidi="ar"/>
              </w:rPr>
              <w:t>中标人</w:t>
            </w:r>
            <w:r>
              <w:rPr>
                <w:rFonts w:hint="eastAsia" w:ascii="宋体" w:hAnsi="宋体" w:cs="宋体"/>
                <w:szCs w:val="21"/>
              </w:rPr>
              <w:t>应定期向采购人汇报工作情况，对于工作中存在的问题应及时向采购人反映，并确保不因</w:t>
            </w:r>
            <w:r>
              <w:rPr>
                <w:rStyle w:val="346"/>
                <w:sz w:val="21"/>
                <w:szCs w:val="21"/>
                <w:lang w:bidi="ar"/>
              </w:rPr>
              <w:t>中标人</w:t>
            </w:r>
            <w:r>
              <w:rPr>
                <w:rFonts w:hint="eastAsia" w:ascii="宋体" w:hAnsi="宋体" w:cs="宋体"/>
                <w:szCs w:val="21"/>
              </w:rPr>
              <w:t xml:space="preserve">原因造成采购人工作人员以及服务商在岗工作人员的人身伤害。 </w:t>
            </w:r>
          </w:p>
          <w:p>
            <w:pPr>
              <w:pStyle w:val="7"/>
              <w:shd w:val="clear" w:color="auto" w:fill="auto"/>
              <w:spacing w:line="240" w:lineRule="auto"/>
              <w:ind w:firstLineChars="200"/>
              <w:rPr>
                <w:rFonts w:ascii="宋体" w:hAnsi="宋体" w:cs="宋体"/>
                <w:szCs w:val="21"/>
              </w:rPr>
            </w:pPr>
            <w:r>
              <w:rPr>
                <w:rFonts w:hint="eastAsia" w:ascii="宋体" w:hAnsi="宋体" w:cs="宋体"/>
                <w:szCs w:val="21"/>
              </w:rPr>
              <w:t xml:space="preserve">6. </w:t>
            </w:r>
            <w:r>
              <w:rPr>
                <w:rStyle w:val="346"/>
                <w:sz w:val="21"/>
                <w:szCs w:val="21"/>
                <w:lang w:bidi="ar"/>
              </w:rPr>
              <w:t>中标人</w:t>
            </w:r>
            <w:r>
              <w:rPr>
                <w:rFonts w:hint="eastAsia" w:ascii="宋体" w:hAnsi="宋体" w:cs="宋体"/>
                <w:szCs w:val="21"/>
              </w:rPr>
              <w:t xml:space="preserve">需制定并执行严格的管理措施和安全措施，包含文献保护、外包人员安全管理、安全管理奖惩制度等内容。 </w:t>
            </w:r>
          </w:p>
          <w:p>
            <w:pPr>
              <w:pStyle w:val="7"/>
              <w:shd w:val="clear" w:color="auto" w:fill="auto"/>
              <w:spacing w:line="240" w:lineRule="auto"/>
              <w:ind w:firstLineChars="200"/>
              <w:rPr>
                <w:rFonts w:ascii="宋体" w:hAnsi="宋体" w:cs="宋体"/>
                <w:szCs w:val="21"/>
              </w:rPr>
            </w:pPr>
            <w:r>
              <w:rPr>
                <w:rFonts w:hint="eastAsia" w:ascii="宋体" w:hAnsi="宋体" w:cs="宋体"/>
                <w:szCs w:val="21"/>
              </w:rPr>
              <w:t xml:space="preserve">7. </w:t>
            </w:r>
            <w:r>
              <w:rPr>
                <w:rStyle w:val="346"/>
                <w:sz w:val="21"/>
                <w:szCs w:val="21"/>
                <w:lang w:bidi="ar"/>
              </w:rPr>
              <w:t>中标人</w:t>
            </w:r>
            <w:r>
              <w:rPr>
                <w:rFonts w:hint="eastAsia" w:ascii="宋体" w:hAnsi="宋体" w:cs="宋体"/>
                <w:szCs w:val="21"/>
              </w:rPr>
              <w:t xml:space="preserve">需制定科学完善的应急管理方案，包含应急事件的预防措施、应急事件的处理程序、应急事件的报告制度等内容。 </w:t>
            </w:r>
          </w:p>
          <w:p>
            <w:pPr>
              <w:pStyle w:val="7"/>
              <w:shd w:val="clear" w:color="auto" w:fill="auto"/>
              <w:spacing w:line="240" w:lineRule="auto"/>
              <w:ind w:firstLineChars="200"/>
              <w:rPr>
                <w:rFonts w:ascii="宋体" w:hAnsi="宋体" w:cs="宋体"/>
                <w:szCs w:val="21"/>
              </w:rPr>
            </w:pPr>
            <w:r>
              <w:rPr>
                <w:rFonts w:hint="eastAsia" w:ascii="宋体" w:hAnsi="宋体" w:cs="宋体"/>
                <w:szCs w:val="21"/>
              </w:rPr>
              <w:t xml:space="preserve">8. </w:t>
            </w:r>
            <w:r>
              <w:rPr>
                <w:rStyle w:val="346"/>
                <w:sz w:val="21"/>
                <w:szCs w:val="21"/>
                <w:lang w:bidi="ar"/>
              </w:rPr>
              <w:t>中标人</w:t>
            </w:r>
            <w:r>
              <w:rPr>
                <w:rFonts w:hint="eastAsia" w:ascii="宋体" w:hAnsi="宋体" w:cs="宋体"/>
                <w:szCs w:val="21"/>
              </w:rPr>
              <w:t xml:space="preserve">须保证工作人员身体健康并统一着装。 </w:t>
            </w:r>
          </w:p>
          <w:p>
            <w:pPr>
              <w:pStyle w:val="7"/>
              <w:shd w:val="clear" w:color="auto" w:fill="auto"/>
              <w:spacing w:line="240" w:lineRule="auto"/>
              <w:ind w:firstLineChars="200"/>
              <w:rPr>
                <w:rFonts w:ascii="宋体" w:hAnsi="宋体" w:cs="宋体"/>
                <w:szCs w:val="21"/>
              </w:rPr>
            </w:pPr>
            <w:r>
              <w:rPr>
                <w:rFonts w:hint="eastAsia" w:ascii="宋体" w:hAnsi="宋体" w:cs="宋体"/>
                <w:szCs w:val="21"/>
              </w:rPr>
              <w:t xml:space="preserve">9. </w:t>
            </w:r>
            <w:r>
              <w:rPr>
                <w:rStyle w:val="346"/>
                <w:sz w:val="21"/>
                <w:szCs w:val="21"/>
                <w:lang w:bidi="ar"/>
              </w:rPr>
              <w:t>中标人</w:t>
            </w:r>
            <w:r>
              <w:rPr>
                <w:rFonts w:hint="eastAsia" w:ascii="宋体" w:hAnsi="宋体" w:cs="宋体"/>
                <w:szCs w:val="21"/>
              </w:rPr>
              <w:t xml:space="preserve">负责对工作人员实施岗前培训和日常培训。 </w:t>
            </w:r>
          </w:p>
          <w:p>
            <w:pPr>
              <w:pStyle w:val="7"/>
              <w:shd w:val="clear" w:color="auto" w:fill="auto"/>
              <w:spacing w:line="240" w:lineRule="auto"/>
              <w:ind w:firstLineChars="200"/>
              <w:rPr>
                <w:rFonts w:ascii="宋体" w:hAnsi="宋体" w:cs="宋体"/>
                <w:szCs w:val="21"/>
              </w:rPr>
            </w:pPr>
            <w:r>
              <w:rPr>
                <w:rFonts w:hint="eastAsia" w:ascii="宋体" w:hAnsi="宋体" w:cs="宋体"/>
                <w:szCs w:val="21"/>
              </w:rPr>
              <w:t xml:space="preserve">10. </w:t>
            </w:r>
            <w:r>
              <w:rPr>
                <w:rStyle w:val="346"/>
                <w:sz w:val="21"/>
                <w:szCs w:val="21"/>
                <w:lang w:bidi="ar"/>
              </w:rPr>
              <w:t>中标人</w:t>
            </w:r>
            <w:r>
              <w:rPr>
                <w:rFonts w:hint="eastAsia" w:ascii="宋体" w:hAnsi="宋体" w:cs="宋体"/>
                <w:szCs w:val="21"/>
              </w:rPr>
              <w:t>有义务针对采购人的需求变化向采购人进行确认。对于采购人变更的需求，在不违背本合同前提下，经与采购人确认后，</w:t>
            </w:r>
            <w:r>
              <w:rPr>
                <w:rStyle w:val="346"/>
                <w:sz w:val="21"/>
                <w:szCs w:val="21"/>
                <w:lang w:bidi="ar"/>
              </w:rPr>
              <w:t>中标人</w:t>
            </w:r>
            <w:r>
              <w:rPr>
                <w:rFonts w:hint="eastAsia" w:ascii="宋体" w:hAnsi="宋体" w:cs="宋体"/>
                <w:szCs w:val="21"/>
              </w:rPr>
              <w:t xml:space="preserve">必须按照确认的变更需求予以相应变更，如需求变更较大，双方另行协商。 </w:t>
            </w:r>
          </w:p>
          <w:p>
            <w:pPr>
              <w:pStyle w:val="7"/>
              <w:shd w:val="clear" w:color="auto" w:fill="auto"/>
              <w:spacing w:line="240" w:lineRule="auto"/>
              <w:ind w:firstLineChars="200"/>
              <w:rPr>
                <w:rFonts w:ascii="宋体" w:hAnsi="宋体" w:cs="宋体"/>
                <w:szCs w:val="21"/>
              </w:rPr>
            </w:pPr>
            <w:r>
              <w:rPr>
                <w:rFonts w:hint="eastAsia" w:ascii="宋体" w:hAnsi="宋体" w:cs="宋体"/>
                <w:szCs w:val="21"/>
              </w:rPr>
              <w:t>11. 如遇国家法定节假日，</w:t>
            </w:r>
            <w:r>
              <w:rPr>
                <w:rStyle w:val="346"/>
                <w:sz w:val="21"/>
                <w:szCs w:val="21"/>
                <w:lang w:bidi="ar"/>
              </w:rPr>
              <w:t>中标人</w:t>
            </w:r>
            <w:r>
              <w:rPr>
                <w:rFonts w:hint="eastAsia" w:ascii="宋体" w:hAnsi="宋体" w:cs="宋体"/>
                <w:szCs w:val="21"/>
              </w:rPr>
              <w:t>应保证工作的正常开展，服从采购人的安排和要求，按国家有关规定，工作人员的加班费已包含在本合同中，由</w:t>
            </w:r>
            <w:r>
              <w:rPr>
                <w:rStyle w:val="346"/>
                <w:sz w:val="21"/>
                <w:szCs w:val="21"/>
                <w:lang w:bidi="ar"/>
              </w:rPr>
              <w:t>中标人</w:t>
            </w:r>
            <w:r>
              <w:rPr>
                <w:rFonts w:hint="eastAsia" w:ascii="宋体" w:hAnsi="宋体" w:cs="宋体"/>
                <w:szCs w:val="21"/>
              </w:rPr>
              <w:t xml:space="preserve">自行向其员工支付。 </w:t>
            </w:r>
          </w:p>
          <w:p>
            <w:pPr>
              <w:pStyle w:val="7"/>
              <w:shd w:val="clear" w:color="auto" w:fill="auto"/>
              <w:spacing w:line="240" w:lineRule="auto"/>
              <w:ind w:firstLineChars="200"/>
              <w:rPr>
                <w:rFonts w:ascii="宋体" w:hAnsi="宋体" w:cs="宋体"/>
                <w:szCs w:val="21"/>
              </w:rPr>
            </w:pPr>
            <w:r>
              <w:rPr>
                <w:rFonts w:hint="eastAsia" w:ascii="宋体" w:hAnsi="宋体" w:cs="宋体"/>
                <w:szCs w:val="21"/>
              </w:rPr>
              <w:t xml:space="preserve">12. </w:t>
            </w:r>
            <w:r>
              <w:rPr>
                <w:rStyle w:val="346"/>
                <w:sz w:val="21"/>
                <w:szCs w:val="21"/>
                <w:lang w:bidi="ar"/>
              </w:rPr>
              <w:t>中标人</w:t>
            </w:r>
            <w:r>
              <w:rPr>
                <w:rFonts w:hint="eastAsia" w:ascii="宋体" w:hAnsi="宋体" w:cs="宋体"/>
                <w:szCs w:val="21"/>
              </w:rPr>
              <w:t>须确保采购人的设备设施完好无损，对工作中导致的设备故障进行免费维修，如因</w:t>
            </w:r>
            <w:r>
              <w:rPr>
                <w:rStyle w:val="346"/>
                <w:sz w:val="21"/>
                <w:szCs w:val="21"/>
                <w:lang w:bidi="ar"/>
              </w:rPr>
              <w:t>中标人</w:t>
            </w:r>
            <w:r>
              <w:rPr>
                <w:rFonts w:hint="eastAsia" w:ascii="宋体" w:hAnsi="宋体" w:cs="宋体"/>
                <w:szCs w:val="21"/>
              </w:rPr>
              <w:t>的原因造成设备、物品遗失或设备损坏后无法修复的，</w:t>
            </w:r>
            <w:r>
              <w:rPr>
                <w:rStyle w:val="346"/>
                <w:sz w:val="21"/>
                <w:szCs w:val="21"/>
                <w:lang w:bidi="ar"/>
              </w:rPr>
              <w:t>中标人</w:t>
            </w:r>
            <w:r>
              <w:rPr>
                <w:rFonts w:hint="eastAsia" w:ascii="宋体" w:hAnsi="宋体" w:cs="宋体"/>
                <w:szCs w:val="21"/>
              </w:rPr>
              <w:t>应按标的物的原价全额赔偿。</w:t>
            </w:r>
            <w:r>
              <w:rPr>
                <w:rStyle w:val="346"/>
                <w:sz w:val="21"/>
                <w:szCs w:val="21"/>
                <w:lang w:bidi="ar"/>
              </w:rPr>
              <w:t>中标人</w:t>
            </w:r>
            <w:r>
              <w:rPr>
                <w:rFonts w:hint="eastAsia" w:ascii="宋体" w:hAnsi="宋体" w:cs="宋体"/>
                <w:szCs w:val="21"/>
              </w:rPr>
              <w:t xml:space="preserve">提供的服务还应包含可能涉及的建筑物破损的修复工作。 </w:t>
            </w:r>
          </w:p>
          <w:p>
            <w:pPr>
              <w:pStyle w:val="7"/>
              <w:shd w:val="clear" w:color="auto" w:fill="auto"/>
              <w:spacing w:line="240" w:lineRule="auto"/>
              <w:ind w:firstLineChars="200"/>
              <w:rPr>
                <w:rFonts w:ascii="宋体" w:hAnsi="宋体" w:cs="宋体"/>
                <w:szCs w:val="21"/>
              </w:rPr>
            </w:pPr>
            <w:r>
              <w:rPr>
                <w:rFonts w:hint="eastAsia" w:ascii="宋体" w:hAnsi="宋体" w:cs="宋体"/>
                <w:szCs w:val="21"/>
              </w:rPr>
              <w:t xml:space="preserve">13. </w:t>
            </w:r>
            <w:r>
              <w:rPr>
                <w:rStyle w:val="346"/>
                <w:sz w:val="21"/>
                <w:szCs w:val="21"/>
                <w:lang w:bidi="ar"/>
              </w:rPr>
              <w:t>中标人</w:t>
            </w:r>
            <w:r>
              <w:rPr>
                <w:rFonts w:hint="eastAsia" w:ascii="宋体" w:hAnsi="宋体" w:cs="宋体"/>
                <w:szCs w:val="21"/>
              </w:rPr>
              <w:t>所有作业人员自身的安全由</w:t>
            </w:r>
            <w:r>
              <w:rPr>
                <w:rStyle w:val="346"/>
                <w:sz w:val="21"/>
                <w:szCs w:val="21"/>
                <w:lang w:bidi="ar"/>
              </w:rPr>
              <w:t>中标人</w:t>
            </w:r>
            <w:r>
              <w:rPr>
                <w:rFonts w:hint="eastAsia" w:ascii="宋体" w:hAnsi="宋体" w:cs="宋体"/>
                <w:szCs w:val="21"/>
              </w:rPr>
              <w:t xml:space="preserve">负责。 </w:t>
            </w:r>
          </w:p>
          <w:p>
            <w:pPr>
              <w:pStyle w:val="7"/>
              <w:shd w:val="clear" w:color="auto" w:fill="auto"/>
              <w:spacing w:line="240" w:lineRule="auto"/>
              <w:ind w:firstLineChars="200"/>
              <w:rPr>
                <w:rFonts w:ascii="宋体" w:hAnsi="宋体" w:cs="宋体"/>
                <w:szCs w:val="21"/>
              </w:rPr>
            </w:pPr>
            <w:r>
              <w:rPr>
                <w:rFonts w:hint="eastAsia" w:ascii="宋体" w:hAnsi="宋体" w:cs="宋体"/>
                <w:szCs w:val="21"/>
              </w:rPr>
              <w:t xml:space="preserve">14. </w:t>
            </w:r>
            <w:r>
              <w:rPr>
                <w:rStyle w:val="346"/>
                <w:sz w:val="21"/>
                <w:szCs w:val="21"/>
                <w:lang w:bidi="ar"/>
              </w:rPr>
              <w:t>中标人</w:t>
            </w:r>
            <w:r>
              <w:rPr>
                <w:rFonts w:hint="eastAsia" w:ascii="宋体" w:hAnsi="宋体" w:cs="宋体"/>
                <w:szCs w:val="21"/>
              </w:rPr>
              <w:t>应自行购买保险，所购买保险应覆盖本项目搬迁服务全过程。</w:t>
            </w:r>
            <w:r>
              <w:rPr>
                <w:rStyle w:val="346"/>
                <w:sz w:val="21"/>
                <w:szCs w:val="21"/>
                <w:lang w:bidi="ar"/>
              </w:rPr>
              <w:t>中标人</w:t>
            </w:r>
            <w:r>
              <w:rPr>
                <w:rFonts w:hint="eastAsia" w:ascii="宋体" w:hAnsi="宋体" w:cs="宋体"/>
                <w:szCs w:val="21"/>
              </w:rPr>
              <w:t>工作不当或失误，或因意外导致采购人或第三方财产或人员遭受损失的，</w:t>
            </w:r>
            <w:r>
              <w:rPr>
                <w:rStyle w:val="346"/>
                <w:sz w:val="21"/>
                <w:szCs w:val="21"/>
                <w:lang w:bidi="ar"/>
              </w:rPr>
              <w:t>中标人</w:t>
            </w:r>
            <w:r>
              <w:rPr>
                <w:rFonts w:hint="eastAsia" w:ascii="宋体" w:hAnsi="宋体" w:cs="宋体"/>
                <w:szCs w:val="21"/>
              </w:rPr>
              <w:t>负责承担赔偿责任。</w:t>
            </w:r>
          </w:p>
          <w:p>
            <w:pPr>
              <w:pStyle w:val="40"/>
              <w:shd w:val="clear" w:color="auto" w:fill="auto"/>
              <w:autoSpaceDE w:val="0"/>
              <w:spacing w:line="240" w:lineRule="auto"/>
              <w:ind w:firstLine="422" w:firstLineChars="200"/>
              <w:rPr>
                <w:rStyle w:val="346"/>
                <w:rFonts w:hint="default"/>
                <w:b/>
                <w:bCs/>
                <w:kern w:val="2"/>
                <w:sz w:val="21"/>
                <w:szCs w:val="21"/>
              </w:rPr>
            </w:pPr>
            <w:r>
              <w:rPr>
                <w:rStyle w:val="346"/>
                <w:b/>
                <w:bCs/>
                <w:kern w:val="2"/>
                <w:sz w:val="21"/>
                <w:szCs w:val="21"/>
                <w:lang w:bidi="ar"/>
              </w:rPr>
              <w:t>3.5岗位要求</w:t>
            </w:r>
          </w:p>
          <w:p>
            <w:pPr>
              <w:pStyle w:val="40"/>
              <w:shd w:val="clear" w:color="auto" w:fill="auto"/>
              <w:autoSpaceDE w:val="0"/>
              <w:spacing w:line="240" w:lineRule="auto"/>
              <w:ind w:firstLine="420" w:firstLineChars="200"/>
              <w:rPr>
                <w:rStyle w:val="346"/>
                <w:rFonts w:hint="default"/>
                <w:kern w:val="2"/>
                <w:sz w:val="21"/>
                <w:szCs w:val="21"/>
              </w:rPr>
            </w:pPr>
            <w:r>
              <w:rPr>
                <w:rStyle w:val="346"/>
                <w:kern w:val="2"/>
                <w:sz w:val="21"/>
                <w:szCs w:val="21"/>
                <w:lang w:bidi="ar"/>
              </w:rPr>
              <w:t>（1）中标人为本搬迁项目提供的所有人员须为稳定的团队成员，不得随意调整更换，不得到社会上临时拼凑闲散人员作为本项目的团队人员。因特殊原因需调整项目负责人或团队成员的，须提前7个工作日向采购人提出书面申请，经过采购人书面批准后，方能调整。</w:t>
            </w:r>
          </w:p>
          <w:p>
            <w:pPr>
              <w:pStyle w:val="40"/>
              <w:shd w:val="clear" w:color="auto" w:fill="auto"/>
              <w:spacing w:line="240" w:lineRule="auto"/>
              <w:ind w:firstLine="420" w:firstLineChars="200"/>
              <w:rPr>
                <w:rStyle w:val="346"/>
                <w:rFonts w:hint="default"/>
                <w:kern w:val="2"/>
                <w:sz w:val="21"/>
                <w:szCs w:val="21"/>
              </w:rPr>
            </w:pPr>
            <w:r>
              <w:rPr>
                <w:rStyle w:val="346"/>
                <w:kern w:val="2"/>
                <w:sz w:val="21"/>
                <w:szCs w:val="21"/>
                <w:lang w:bidi="ar"/>
              </w:rPr>
              <w:t>（2）图书编目员：中应至少有2名熟悉《图书编目》分类资质技术人员，并负责对图书馆搬迁相关人员进行业务培训，以期达到满意的效果。（需提供劳动合同证明）</w:t>
            </w:r>
          </w:p>
          <w:p>
            <w:pPr>
              <w:shd w:val="clear" w:color="auto" w:fill="auto"/>
              <w:spacing w:line="240" w:lineRule="auto"/>
              <w:ind w:firstLine="420" w:firstLineChars="200"/>
              <w:rPr>
                <w:szCs w:val="21"/>
              </w:rPr>
            </w:pPr>
            <w:r>
              <w:rPr>
                <w:rStyle w:val="346"/>
                <w:sz w:val="21"/>
                <w:szCs w:val="21"/>
                <w:lang w:bidi="ar"/>
              </w:rPr>
              <w:t>（3）项目负责人：必须具备一定文化素质水平，有丰富的同类搬迁经验。至少</w:t>
            </w:r>
            <w:r>
              <w:rPr>
                <w:rFonts w:hint="eastAsia"/>
                <w:szCs w:val="21"/>
              </w:rPr>
              <w:t>具有5年（含）以上从事搬迁运输行业经验，担任过大型搬运工作项目负责人，并且近三年内（自2020年1月1日起）参与过图书或档案类的上下架工作经验。</w:t>
            </w:r>
          </w:p>
          <w:p>
            <w:pPr>
              <w:shd w:val="clear" w:color="auto" w:fill="auto"/>
              <w:spacing w:line="240" w:lineRule="auto"/>
              <w:ind w:firstLine="420" w:firstLineChars="200"/>
              <w:rPr>
                <w:rStyle w:val="346"/>
                <w:rFonts w:hint="default"/>
                <w:sz w:val="21"/>
                <w:szCs w:val="21"/>
                <w:lang w:bidi="ar"/>
              </w:rPr>
            </w:pPr>
            <w:r>
              <w:rPr>
                <w:rFonts w:hint="eastAsia"/>
                <w:szCs w:val="21"/>
              </w:rPr>
              <w:t>3.运输人员：司机2名，具备行驶证和5年以上驾龄。项目成员具有5年（含）以上从事藏品包装运输行业操作经验，熟知各类别藏品属性，熟练掌握藏品包装专业技术要求，能够根据现场工作灵活应变，具备良好的职业道德、专业素养。</w:t>
            </w:r>
          </w:p>
          <w:p>
            <w:pPr>
              <w:pStyle w:val="40"/>
              <w:shd w:val="clear" w:color="auto" w:fill="auto"/>
              <w:autoSpaceDE w:val="0"/>
              <w:spacing w:line="240" w:lineRule="auto"/>
              <w:ind w:firstLine="420" w:firstLineChars="200"/>
              <w:rPr>
                <w:sz w:val="21"/>
                <w:szCs w:val="21"/>
              </w:rPr>
            </w:pPr>
            <w:r>
              <w:rPr>
                <w:rStyle w:val="346"/>
                <w:kern w:val="2"/>
                <w:sz w:val="21"/>
                <w:szCs w:val="21"/>
                <w:lang w:bidi="ar"/>
              </w:rPr>
              <w:t>（4）搬迁团队人员形象整齐、服装统一、服从安排，服务意识强，有相应培训记录。</w:t>
            </w:r>
          </w:p>
          <w:p>
            <w:pPr>
              <w:pStyle w:val="8"/>
              <w:shd w:val="clear" w:color="auto" w:fill="auto"/>
              <w:spacing w:line="240" w:lineRule="auto"/>
              <w:ind w:firstLine="422" w:firstLineChars="200"/>
              <w:rPr>
                <w:rStyle w:val="346"/>
                <w:rFonts w:hint="default"/>
                <w:b w:val="0"/>
                <w:bCs w:val="0"/>
                <w:sz w:val="21"/>
                <w:szCs w:val="21"/>
                <w:lang w:bidi="ar"/>
              </w:rPr>
            </w:pPr>
            <w:r>
              <w:rPr>
                <w:rStyle w:val="346"/>
                <w:sz w:val="21"/>
                <w:szCs w:val="21"/>
                <w:lang w:bidi="ar"/>
              </w:rPr>
              <w:t>3.6下架打包要求</w:t>
            </w:r>
          </w:p>
          <w:p>
            <w:pPr>
              <w:pStyle w:val="8"/>
              <w:shd w:val="clear" w:color="auto" w:fill="auto"/>
              <w:spacing w:line="240" w:lineRule="auto"/>
              <w:ind w:firstLine="422" w:firstLineChars="200"/>
              <w:rPr>
                <w:rStyle w:val="346"/>
                <w:rFonts w:hint="default"/>
                <w:sz w:val="21"/>
                <w:szCs w:val="21"/>
                <w:lang w:bidi="ar"/>
              </w:rPr>
            </w:pPr>
            <w:r>
              <w:rPr>
                <w:rStyle w:val="346"/>
                <w:sz w:val="21"/>
                <w:szCs w:val="21"/>
                <w:lang w:bidi="ar"/>
              </w:rPr>
              <w:t>（1）中标人在搬迁前对图书类下架打包：</w:t>
            </w:r>
            <w:r>
              <w:rPr>
                <w:rFonts w:hint="eastAsia"/>
                <w:sz w:val="21"/>
                <w:szCs w:val="21"/>
              </w:rPr>
              <w:t>利用打包机，将图书用防水牛皮纸包装成适合装卸运输的大小。每包大约35-40册图书为宜。</w:t>
            </w:r>
            <w:r>
              <w:rPr>
                <w:rStyle w:val="346"/>
                <w:sz w:val="21"/>
                <w:szCs w:val="21"/>
                <w:lang w:bidi="ar"/>
              </w:rPr>
              <w:t>同时打包后的书籍按采购人要求进行编号和注明相关信息，标识类号、册数，标记标签等要贴牢，不得脱落。</w:t>
            </w:r>
            <w:r>
              <w:rPr>
                <w:rFonts w:hint="eastAsia"/>
                <w:sz w:val="21"/>
                <w:szCs w:val="21"/>
              </w:rPr>
              <w:t>要求工作认真细致，设置监管员进行自查，防止错号、跳号、漏号等现象出现，采购人不定期检查，差错率不得超过1%。</w:t>
            </w:r>
          </w:p>
          <w:p>
            <w:pPr>
              <w:pStyle w:val="7"/>
              <w:shd w:val="clear" w:color="auto" w:fill="auto"/>
              <w:spacing w:line="240" w:lineRule="auto"/>
              <w:ind w:firstLineChars="200"/>
              <w:rPr>
                <w:rFonts w:ascii="宋体" w:hAnsi="宋体" w:cs="宋体"/>
                <w:szCs w:val="21"/>
              </w:rPr>
            </w:pPr>
            <w:r>
              <w:rPr>
                <w:rStyle w:val="346"/>
                <w:sz w:val="21"/>
                <w:szCs w:val="21"/>
                <w:lang w:bidi="ar"/>
              </w:rPr>
              <w:t>（2）中标人在搬迁前对报刊类下架打包，</w:t>
            </w:r>
            <w:r>
              <w:rPr>
                <w:rFonts w:hint="eastAsia" w:ascii="宋体" w:hAnsi="宋体" w:cs="宋体"/>
                <w:szCs w:val="21"/>
              </w:rPr>
              <w:t>将完成整理排序的报纸合订本和期刊合订本，按整理好的顺序从下至上依次装进定制纸箱。装箱高度与箱体高度齐平，不得过高或过低。填写并打印箱标，记录向内文献数量和名称，贴于纸箱指定位置，定制纸箱由采购人留用。</w:t>
            </w:r>
          </w:p>
          <w:p>
            <w:pPr>
              <w:pStyle w:val="7"/>
              <w:shd w:val="clear" w:color="auto" w:fill="auto"/>
              <w:spacing w:line="240" w:lineRule="auto"/>
              <w:ind w:firstLineChars="200"/>
              <w:rPr>
                <w:rFonts w:ascii="宋体" w:hAnsi="宋体" w:cs="宋体"/>
                <w:szCs w:val="21"/>
              </w:rPr>
            </w:pPr>
            <w:r>
              <w:rPr>
                <w:rFonts w:hint="eastAsia" w:ascii="宋体" w:hAnsi="宋体" w:cs="宋体"/>
                <w:szCs w:val="21"/>
              </w:rPr>
              <w:t>注：期刊合订本定制纸箱规格为：长50cm*宽37cm*高27cm；报纸合订本定制纸箱规格为：长61cm*宽41cm*高20cm。</w:t>
            </w:r>
          </w:p>
          <w:p>
            <w:pPr>
              <w:shd w:val="clear" w:color="auto" w:fill="auto"/>
              <w:spacing w:line="240" w:lineRule="auto"/>
              <w:ind w:firstLine="420" w:firstLineChars="200"/>
              <w:contextualSpacing/>
              <w:rPr>
                <w:rStyle w:val="346"/>
                <w:rFonts w:hint="default"/>
                <w:sz w:val="21"/>
                <w:szCs w:val="21"/>
                <w:lang w:bidi="ar"/>
              </w:rPr>
            </w:pPr>
            <w:r>
              <w:rPr>
                <w:rStyle w:val="346"/>
                <w:sz w:val="21"/>
                <w:szCs w:val="21"/>
                <w:lang w:bidi="ar"/>
              </w:rPr>
              <w:t>（3）现有已打包暂存的图书需要用打包带加固后贴上对应标签再进行搬迁。</w:t>
            </w:r>
          </w:p>
          <w:p>
            <w:pPr>
              <w:shd w:val="clear" w:color="auto" w:fill="auto"/>
              <w:spacing w:line="240" w:lineRule="auto"/>
              <w:ind w:firstLine="422" w:firstLineChars="200"/>
              <w:contextualSpacing/>
              <w:rPr>
                <w:rStyle w:val="346"/>
                <w:rFonts w:hint="default"/>
                <w:b/>
                <w:bCs/>
                <w:sz w:val="21"/>
                <w:szCs w:val="21"/>
                <w:lang w:bidi="ar"/>
              </w:rPr>
            </w:pPr>
            <w:r>
              <w:rPr>
                <w:rStyle w:val="346"/>
                <w:b/>
                <w:bCs/>
                <w:sz w:val="21"/>
                <w:szCs w:val="21"/>
                <w:lang w:bidi="ar"/>
              </w:rPr>
              <w:t>3.7图书分类上架要求</w:t>
            </w:r>
          </w:p>
          <w:p>
            <w:pPr>
              <w:shd w:val="clear" w:color="auto" w:fill="auto"/>
              <w:spacing w:line="240" w:lineRule="auto"/>
              <w:ind w:firstLine="420" w:firstLineChars="200"/>
              <w:contextualSpacing/>
              <w:rPr>
                <w:rStyle w:val="346"/>
                <w:rFonts w:hint="default"/>
                <w:sz w:val="21"/>
                <w:szCs w:val="21"/>
                <w:lang w:bidi="ar"/>
              </w:rPr>
            </w:pPr>
            <w:r>
              <w:rPr>
                <w:rStyle w:val="346"/>
                <w:sz w:val="21"/>
                <w:szCs w:val="21"/>
                <w:lang w:bidi="ar"/>
              </w:rPr>
              <w:t>（1）中标人需保质保量做好图书的分类、上架、整架以及图书运输之间的协调等工作。</w:t>
            </w:r>
          </w:p>
          <w:p>
            <w:pPr>
              <w:shd w:val="clear" w:color="auto" w:fill="auto"/>
              <w:spacing w:line="240" w:lineRule="auto"/>
              <w:ind w:firstLine="420" w:firstLineChars="200"/>
              <w:contextualSpacing/>
              <w:rPr>
                <w:rStyle w:val="346"/>
                <w:rFonts w:hint="default"/>
                <w:sz w:val="21"/>
                <w:szCs w:val="21"/>
                <w:lang w:bidi="ar"/>
              </w:rPr>
            </w:pPr>
            <w:r>
              <w:rPr>
                <w:rStyle w:val="346"/>
                <w:sz w:val="21"/>
                <w:szCs w:val="21"/>
                <w:lang w:bidi="ar"/>
              </w:rPr>
              <w:t>（2）分类要求，根据《中国图书馆分类法》进行分类。</w:t>
            </w:r>
          </w:p>
          <w:p>
            <w:pPr>
              <w:pStyle w:val="7"/>
              <w:shd w:val="clear" w:color="auto" w:fill="auto"/>
              <w:spacing w:line="240" w:lineRule="auto"/>
              <w:ind w:firstLineChars="200"/>
              <w:rPr>
                <w:rFonts w:ascii="宋体" w:hAnsi="宋体" w:cs="宋体"/>
                <w:szCs w:val="21"/>
              </w:rPr>
            </w:pPr>
            <w:r>
              <w:rPr>
                <w:rStyle w:val="346"/>
                <w:sz w:val="21"/>
                <w:szCs w:val="21"/>
                <w:lang w:bidi="ar"/>
              </w:rPr>
              <w:t>（3）上架要求：</w:t>
            </w:r>
            <w:r>
              <w:rPr>
                <w:rFonts w:hint="eastAsia" w:ascii="宋体" w:hAnsi="宋体" w:cs="宋体"/>
                <w:szCs w:val="21"/>
              </w:rPr>
              <w:t>要求熟悉《中国图书馆分类法》，将文献依据书脊下部索取号进行分类，有序上架至采购人指定的区域。上架图书靠左排架，排列整齐，书脊外沿与书架外沿持平。根据图书在架情况做好架位调整，个别架位如出现图书满架的情况，应根据前后书架的排架情况及图书数量进行小范围调架。设置监督员开展自查，要求符合图书馆上架文献服务标准，排架差错率不得超过1%。如超过，需对整架图书重新检查并排架。</w:t>
            </w:r>
          </w:p>
          <w:p>
            <w:pPr>
              <w:shd w:val="clear" w:color="auto" w:fill="auto"/>
              <w:spacing w:line="240" w:lineRule="auto"/>
              <w:ind w:firstLine="420" w:firstLineChars="200"/>
              <w:contextualSpacing/>
              <w:rPr>
                <w:rStyle w:val="346"/>
                <w:rFonts w:hint="default"/>
                <w:sz w:val="21"/>
                <w:szCs w:val="21"/>
                <w:lang w:bidi="ar"/>
              </w:rPr>
            </w:pPr>
            <w:r>
              <w:rPr>
                <w:rStyle w:val="346"/>
                <w:sz w:val="21"/>
                <w:szCs w:val="21"/>
                <w:lang w:bidi="ar"/>
              </w:rPr>
              <w:t xml:space="preserve">将分类好的图书上架至各馆对应楼层对应架位上架，要求做到所有图书靠左排架，排列整齐，书脊外沿与书架外沿持平。应保证正常工作所需的各类人员，确保完成约定的日常工作量。 </w:t>
            </w:r>
          </w:p>
          <w:p>
            <w:pPr>
              <w:shd w:val="clear" w:color="auto" w:fill="auto"/>
              <w:spacing w:line="240" w:lineRule="auto"/>
              <w:ind w:firstLine="422" w:firstLineChars="200"/>
              <w:contextualSpacing/>
              <w:rPr>
                <w:rStyle w:val="346"/>
                <w:rFonts w:hint="default"/>
                <w:b/>
                <w:bCs/>
                <w:sz w:val="21"/>
                <w:szCs w:val="21"/>
                <w:lang w:bidi="ar"/>
              </w:rPr>
            </w:pPr>
            <w:r>
              <w:rPr>
                <w:rStyle w:val="346"/>
                <w:b/>
                <w:bCs/>
                <w:sz w:val="21"/>
                <w:szCs w:val="21"/>
                <w:lang w:bidi="ar"/>
              </w:rPr>
              <w:t>3.8书架拆卸安装要求</w:t>
            </w:r>
          </w:p>
          <w:p>
            <w:pPr>
              <w:shd w:val="clear" w:color="auto" w:fill="auto"/>
              <w:spacing w:line="240" w:lineRule="auto"/>
              <w:ind w:firstLine="420" w:firstLineChars="200"/>
              <w:contextualSpacing/>
              <w:rPr>
                <w:rStyle w:val="346"/>
                <w:rFonts w:hint="default"/>
                <w:sz w:val="21"/>
                <w:szCs w:val="21"/>
                <w:lang w:bidi="ar"/>
              </w:rPr>
            </w:pPr>
            <w:r>
              <w:rPr>
                <w:rStyle w:val="346"/>
                <w:sz w:val="21"/>
                <w:szCs w:val="21"/>
                <w:lang w:bidi="ar"/>
              </w:rPr>
              <w:t>（1）书架安装前需对新场地进行合理规划，安装规划图需报备采购人，得到确认后方可进行书架的安装。</w:t>
            </w:r>
          </w:p>
          <w:p>
            <w:pPr>
              <w:shd w:val="clear" w:color="auto" w:fill="auto"/>
              <w:spacing w:line="240" w:lineRule="auto"/>
              <w:ind w:firstLine="420" w:firstLineChars="200"/>
              <w:contextualSpacing/>
              <w:rPr>
                <w:rStyle w:val="346"/>
                <w:rFonts w:hint="default"/>
                <w:sz w:val="21"/>
                <w:szCs w:val="21"/>
                <w:lang w:bidi="ar"/>
              </w:rPr>
            </w:pPr>
            <w:r>
              <w:rPr>
                <w:rStyle w:val="346"/>
                <w:sz w:val="21"/>
                <w:szCs w:val="21"/>
                <w:lang w:bidi="ar"/>
              </w:rPr>
              <w:t>（2）书架拆卸时按部件进行分类打包，立柱归立柱、层板归层板、顶板归顶板进行打包，全部采用托盘打包，外部用拉伸膜缠绕防止掉落，并在外包装上贴上标签。</w:t>
            </w:r>
          </w:p>
          <w:p>
            <w:pPr>
              <w:shd w:val="clear" w:color="auto" w:fill="auto"/>
              <w:spacing w:line="240" w:lineRule="auto"/>
              <w:ind w:firstLine="420" w:firstLineChars="200"/>
              <w:contextualSpacing/>
              <w:rPr>
                <w:rStyle w:val="346"/>
                <w:rFonts w:hint="default"/>
                <w:sz w:val="21"/>
                <w:szCs w:val="21"/>
                <w:lang w:bidi="ar"/>
              </w:rPr>
            </w:pPr>
            <w:r>
              <w:rPr>
                <w:rStyle w:val="346"/>
                <w:sz w:val="21"/>
                <w:szCs w:val="21"/>
                <w:lang w:bidi="ar"/>
              </w:rPr>
              <w:t>（3）书架部件不宜装太高，防止挤压变形。</w:t>
            </w:r>
          </w:p>
          <w:p>
            <w:pPr>
              <w:shd w:val="clear" w:color="auto" w:fill="auto"/>
              <w:spacing w:line="240" w:lineRule="auto"/>
              <w:ind w:firstLine="420" w:firstLineChars="200"/>
              <w:contextualSpacing/>
              <w:rPr>
                <w:rStyle w:val="346"/>
                <w:rFonts w:hint="default"/>
                <w:sz w:val="21"/>
                <w:szCs w:val="21"/>
                <w:lang w:bidi="ar"/>
              </w:rPr>
            </w:pPr>
            <w:r>
              <w:rPr>
                <w:rStyle w:val="346"/>
                <w:sz w:val="21"/>
                <w:szCs w:val="21"/>
                <w:lang w:bidi="ar"/>
              </w:rPr>
              <w:t>（4）书架要保证安装后的稳固性和完好性，部分老旧书架要补充缺失的零部件。</w:t>
            </w:r>
          </w:p>
          <w:p>
            <w:pPr>
              <w:shd w:val="clear" w:color="auto" w:fill="auto"/>
              <w:spacing w:line="240" w:lineRule="auto"/>
              <w:ind w:firstLine="422" w:firstLineChars="200"/>
              <w:contextualSpacing/>
              <w:rPr>
                <w:rStyle w:val="346"/>
                <w:rFonts w:hint="default"/>
                <w:b/>
                <w:bCs/>
                <w:sz w:val="21"/>
                <w:szCs w:val="21"/>
                <w:lang w:bidi="ar"/>
              </w:rPr>
            </w:pPr>
            <w:r>
              <w:rPr>
                <w:rStyle w:val="346"/>
                <w:b/>
                <w:bCs/>
                <w:sz w:val="21"/>
                <w:szCs w:val="21"/>
                <w:lang w:bidi="ar"/>
              </w:rPr>
              <w:t>3.9搬运和运输要求</w:t>
            </w:r>
          </w:p>
          <w:p>
            <w:pPr>
              <w:shd w:val="clear" w:color="auto" w:fill="auto"/>
              <w:spacing w:line="240" w:lineRule="auto"/>
              <w:ind w:firstLine="420" w:firstLineChars="200"/>
              <w:contextualSpacing/>
              <w:rPr>
                <w:rStyle w:val="346"/>
                <w:rFonts w:hint="default"/>
                <w:sz w:val="21"/>
                <w:szCs w:val="21"/>
                <w:lang w:bidi="ar"/>
              </w:rPr>
            </w:pPr>
            <w:r>
              <w:rPr>
                <w:rStyle w:val="346"/>
                <w:sz w:val="21"/>
                <w:szCs w:val="21"/>
                <w:lang w:bidi="ar"/>
              </w:rPr>
              <w:t>（1）图书搬迁和运输安装下架打包时的编号按序进行搬运、运输。</w:t>
            </w:r>
          </w:p>
          <w:p>
            <w:pPr>
              <w:shd w:val="clear" w:color="auto" w:fill="auto"/>
              <w:spacing w:line="240" w:lineRule="auto"/>
              <w:ind w:firstLine="420" w:firstLineChars="200"/>
              <w:contextualSpacing/>
              <w:rPr>
                <w:rStyle w:val="346"/>
                <w:rFonts w:hint="default"/>
                <w:sz w:val="21"/>
                <w:szCs w:val="21"/>
                <w:lang w:bidi="ar"/>
              </w:rPr>
            </w:pPr>
            <w:r>
              <w:rPr>
                <w:rStyle w:val="346"/>
                <w:sz w:val="21"/>
                <w:szCs w:val="21"/>
                <w:lang w:bidi="ar"/>
              </w:rPr>
              <w:t>（2）搬运过程中注意物品属性，不能踩压、叠放的物品坚决不能叠放。易碎、不能倒放物品需在外包装上进行标识。</w:t>
            </w:r>
          </w:p>
          <w:p>
            <w:pPr>
              <w:shd w:val="clear" w:color="auto" w:fill="auto"/>
              <w:spacing w:line="240" w:lineRule="auto"/>
              <w:ind w:firstLine="420" w:firstLineChars="200"/>
              <w:contextualSpacing/>
              <w:rPr>
                <w:rStyle w:val="346"/>
                <w:rFonts w:hint="default"/>
                <w:sz w:val="21"/>
                <w:szCs w:val="21"/>
                <w:lang w:bidi="ar"/>
              </w:rPr>
            </w:pPr>
            <w:r>
              <w:rPr>
                <w:rStyle w:val="346"/>
                <w:sz w:val="21"/>
                <w:szCs w:val="21"/>
                <w:lang w:bidi="ar"/>
              </w:rPr>
              <w:t>（3）图书馆其他物资设备的搬迁前需要根据物品的实际情况做好包装保护，点到点搬迁到指定的地方。</w:t>
            </w:r>
          </w:p>
          <w:p>
            <w:pPr>
              <w:shd w:val="clear" w:color="auto" w:fill="auto"/>
              <w:spacing w:line="240" w:lineRule="auto"/>
              <w:ind w:firstLine="420" w:firstLineChars="200"/>
              <w:contextualSpacing/>
              <w:rPr>
                <w:rStyle w:val="346"/>
                <w:rFonts w:hint="default"/>
                <w:sz w:val="21"/>
                <w:szCs w:val="21"/>
                <w:lang w:bidi="ar"/>
              </w:rPr>
            </w:pPr>
            <w:r>
              <w:rPr>
                <w:rStyle w:val="346"/>
                <w:sz w:val="21"/>
                <w:szCs w:val="21"/>
                <w:lang w:bidi="ar"/>
              </w:rPr>
              <w:t>（4）中标人应负责对搬出搬入地点的保护，包括大堂、走廊、地面、墙角、电梯以及搬运过程中容易被损坏的其他部位。如出现损坏，中标人应予以修复或支付由修复产生的费用。</w:t>
            </w:r>
          </w:p>
          <w:p>
            <w:pPr>
              <w:shd w:val="clear" w:color="auto" w:fill="auto"/>
              <w:spacing w:line="240" w:lineRule="auto"/>
              <w:ind w:firstLine="420" w:firstLineChars="200"/>
              <w:contextualSpacing/>
              <w:rPr>
                <w:rStyle w:val="346"/>
                <w:rFonts w:hint="default"/>
                <w:sz w:val="21"/>
                <w:szCs w:val="21"/>
                <w:lang w:bidi="ar"/>
              </w:rPr>
            </w:pPr>
            <w:r>
              <w:rPr>
                <w:rStyle w:val="346"/>
                <w:sz w:val="21"/>
                <w:szCs w:val="21"/>
                <w:lang w:bidi="ar"/>
              </w:rPr>
              <w:t>（5）所有用于搬迁项目工作的车辆、机械设备和工具须干净、整洁。所有运输车辆必须符合当地运输车辆管理条例的要求，具有保险有效、年检合格，</w:t>
            </w:r>
            <w:r>
              <w:rPr>
                <w:rStyle w:val="346"/>
                <w:b/>
                <w:bCs/>
                <w:color w:val="FF0000"/>
                <w:sz w:val="21"/>
                <w:szCs w:val="21"/>
                <w:lang w:bidi="ar"/>
              </w:rPr>
              <w:t>投标人需在投标文件中提供提供车辆工具清单，保证参与本项目搬迁运输的车辆与清单车辆信息一致，提供承诺函（格式自拟，加盖投标人公章）。</w:t>
            </w:r>
          </w:p>
          <w:p>
            <w:pPr>
              <w:shd w:val="clear" w:color="auto" w:fill="auto"/>
              <w:spacing w:line="240" w:lineRule="auto"/>
              <w:ind w:firstLine="422" w:firstLineChars="200"/>
              <w:contextualSpacing/>
              <w:rPr>
                <w:rStyle w:val="346"/>
                <w:rFonts w:hint="default"/>
                <w:b/>
                <w:bCs/>
                <w:sz w:val="21"/>
                <w:szCs w:val="21"/>
                <w:lang w:bidi="ar"/>
              </w:rPr>
            </w:pPr>
            <w:r>
              <w:rPr>
                <w:rStyle w:val="346"/>
                <w:b/>
                <w:bCs/>
                <w:sz w:val="21"/>
                <w:szCs w:val="21"/>
                <w:lang w:bidi="ar"/>
              </w:rPr>
              <w:t>3.10安全要求</w:t>
            </w:r>
          </w:p>
          <w:p>
            <w:pPr>
              <w:shd w:val="clear" w:color="auto" w:fill="auto"/>
              <w:spacing w:line="240" w:lineRule="auto"/>
              <w:ind w:firstLine="420" w:firstLineChars="200"/>
              <w:contextualSpacing/>
              <w:rPr>
                <w:rStyle w:val="346"/>
                <w:rFonts w:hint="default"/>
                <w:sz w:val="21"/>
                <w:szCs w:val="21"/>
                <w:lang w:bidi="ar"/>
              </w:rPr>
            </w:pPr>
            <w:r>
              <w:rPr>
                <w:rStyle w:val="346"/>
                <w:sz w:val="21"/>
                <w:szCs w:val="21"/>
                <w:lang w:bidi="ar"/>
              </w:rPr>
              <w:t>（1）投标人必须制定详细的针对本项目人、车、物、第三方受损的安全措施，出现任何安全事故均由中标人承担全责。</w:t>
            </w:r>
          </w:p>
          <w:p>
            <w:pPr>
              <w:shd w:val="clear" w:color="auto" w:fill="auto"/>
              <w:spacing w:line="240" w:lineRule="auto"/>
              <w:ind w:firstLine="420" w:firstLineChars="200"/>
              <w:contextualSpacing/>
              <w:rPr>
                <w:rStyle w:val="346"/>
                <w:rFonts w:hint="default"/>
                <w:sz w:val="21"/>
                <w:szCs w:val="21"/>
                <w:lang w:bidi="ar"/>
              </w:rPr>
            </w:pPr>
            <w:r>
              <w:rPr>
                <w:rStyle w:val="346"/>
                <w:sz w:val="21"/>
                <w:szCs w:val="21"/>
                <w:lang w:bidi="ar"/>
              </w:rPr>
              <w:t>（2）投标人需制定搬迁过程可能出现的各类应急情况的应对措施，已经可能出现的安全事故的应对措施。</w:t>
            </w:r>
          </w:p>
          <w:p>
            <w:pPr>
              <w:pStyle w:val="8"/>
              <w:shd w:val="clear" w:color="auto" w:fill="auto"/>
              <w:spacing w:line="240" w:lineRule="auto"/>
              <w:ind w:firstLine="420"/>
              <w:rPr>
                <w:rStyle w:val="346"/>
                <w:rFonts w:hint="default"/>
                <w:sz w:val="21"/>
                <w:szCs w:val="21"/>
                <w:lang w:bidi="ar"/>
              </w:rPr>
            </w:pPr>
            <w:r>
              <w:rPr>
                <w:rStyle w:val="346"/>
                <w:sz w:val="21"/>
                <w:szCs w:val="21"/>
                <w:lang w:bidi="ar"/>
              </w:rPr>
              <w:t>（3）本项目涉及的机房、服务器、信息设备需由专业网络工程师技术人员承担拆卸调试工作，确保设备性能参数不低于拆卸前。</w:t>
            </w:r>
          </w:p>
          <w:p>
            <w:pPr>
              <w:pStyle w:val="38"/>
              <w:shd w:val="clear" w:color="auto" w:fill="auto"/>
              <w:spacing w:line="240" w:lineRule="auto"/>
              <w:ind w:firstLine="420"/>
              <w:rPr>
                <w:rFonts w:ascii="宋体" w:hAnsi="宋体" w:cs="宋体"/>
                <w:sz w:val="21"/>
                <w:szCs w:val="21"/>
              </w:rPr>
            </w:pPr>
            <w:r>
              <w:rPr>
                <w:rFonts w:hint="eastAsia" w:ascii="宋体" w:hAnsi="宋体" w:cs="宋体"/>
                <w:sz w:val="21"/>
                <w:szCs w:val="21"/>
              </w:rPr>
              <w:t>（4）中标人需做好物资设备的安全防护，搬迁过程中发生物资、设备损坏遗失均由中标单位承担。</w:t>
            </w:r>
          </w:p>
          <w:p>
            <w:pPr>
              <w:shd w:val="clear" w:color="auto" w:fill="auto"/>
              <w:spacing w:line="240" w:lineRule="auto"/>
              <w:ind w:firstLine="422" w:firstLineChars="200"/>
              <w:contextualSpacing/>
              <w:rPr>
                <w:rStyle w:val="346"/>
                <w:rFonts w:hint="default"/>
                <w:b/>
                <w:bCs/>
                <w:sz w:val="21"/>
                <w:szCs w:val="21"/>
                <w:lang w:bidi="ar"/>
              </w:rPr>
            </w:pPr>
            <w:r>
              <w:rPr>
                <w:rStyle w:val="346"/>
                <w:b/>
                <w:bCs/>
                <w:sz w:val="21"/>
                <w:szCs w:val="21"/>
                <w:lang w:bidi="ar"/>
              </w:rPr>
              <w:t>3.11其他要求</w:t>
            </w:r>
          </w:p>
          <w:p>
            <w:pPr>
              <w:pStyle w:val="7"/>
              <w:shd w:val="clear" w:color="auto" w:fill="auto"/>
              <w:spacing w:line="240" w:lineRule="auto"/>
              <w:ind w:firstLineChars="200"/>
              <w:rPr>
                <w:rFonts w:ascii="宋体" w:hAnsi="宋体" w:cs="宋体"/>
                <w:szCs w:val="21"/>
              </w:rPr>
            </w:pPr>
            <w:r>
              <w:rPr>
                <w:rFonts w:hint="eastAsia" w:ascii="宋体" w:hAnsi="宋体" w:cs="宋体"/>
                <w:szCs w:val="21"/>
              </w:rPr>
              <w:t>1. 作业人员上岗前必须参与岗前培训，有培训记录，并有合格的考核成绩。</w:t>
            </w:r>
          </w:p>
          <w:p>
            <w:pPr>
              <w:pStyle w:val="7"/>
              <w:shd w:val="clear" w:color="auto" w:fill="auto"/>
              <w:spacing w:line="240" w:lineRule="auto"/>
              <w:ind w:firstLineChars="200"/>
              <w:rPr>
                <w:rFonts w:ascii="宋体" w:hAnsi="宋体" w:cs="宋体"/>
                <w:szCs w:val="21"/>
              </w:rPr>
            </w:pPr>
            <w:r>
              <w:rPr>
                <w:rFonts w:hint="eastAsia" w:ascii="宋体" w:hAnsi="宋体" w:cs="宋体"/>
                <w:szCs w:val="21"/>
              </w:rPr>
              <w:t>2. 在岗期间，服务商须对作业人员进行日常考核。</w:t>
            </w:r>
          </w:p>
          <w:p>
            <w:pPr>
              <w:pStyle w:val="7"/>
              <w:shd w:val="clear" w:color="auto" w:fill="auto"/>
              <w:spacing w:line="240" w:lineRule="auto"/>
              <w:ind w:firstLineChars="200"/>
              <w:rPr>
                <w:rFonts w:ascii="宋体" w:hAnsi="宋体" w:cs="宋体"/>
                <w:szCs w:val="21"/>
              </w:rPr>
            </w:pPr>
            <w:r>
              <w:rPr>
                <w:rFonts w:hint="eastAsia" w:ascii="宋体" w:hAnsi="宋体" w:cs="宋体"/>
                <w:szCs w:val="21"/>
              </w:rPr>
              <w:t>3. 作业人员应严格遵守采购人各项规章制度及劳动纪律。做到统一服装，挂牌上岗。</w:t>
            </w:r>
          </w:p>
          <w:p>
            <w:pPr>
              <w:pStyle w:val="7"/>
              <w:shd w:val="clear" w:color="auto" w:fill="auto"/>
              <w:spacing w:line="240" w:lineRule="auto"/>
              <w:ind w:firstLineChars="200"/>
              <w:rPr>
                <w:rFonts w:ascii="宋体" w:hAnsi="宋体" w:cs="宋体"/>
                <w:szCs w:val="21"/>
              </w:rPr>
            </w:pPr>
            <w:r>
              <w:rPr>
                <w:rFonts w:hint="eastAsia" w:ascii="宋体" w:hAnsi="宋体" w:cs="宋体"/>
                <w:szCs w:val="21"/>
              </w:rPr>
              <w:t>4. 服从管理，工作积极主动，能够主动协助其他岗位完成各项工作。</w:t>
            </w:r>
          </w:p>
          <w:p>
            <w:pPr>
              <w:pStyle w:val="7"/>
              <w:shd w:val="clear" w:color="auto" w:fill="auto"/>
              <w:spacing w:line="240" w:lineRule="auto"/>
              <w:ind w:firstLineChars="200"/>
              <w:rPr>
                <w:rFonts w:ascii="宋体" w:hAnsi="宋体" w:cs="宋体"/>
                <w:szCs w:val="21"/>
              </w:rPr>
            </w:pPr>
            <w:r>
              <w:rPr>
                <w:rFonts w:hint="eastAsia" w:ascii="宋体" w:hAnsi="宋体" w:cs="宋体"/>
                <w:szCs w:val="21"/>
              </w:rPr>
              <w:t>5. 对工作中存在的问题，能够认真思考，并能通过正常渠道向管理部门反映建议。</w:t>
            </w:r>
          </w:p>
          <w:p>
            <w:pPr>
              <w:pStyle w:val="7"/>
              <w:shd w:val="clear" w:color="auto" w:fill="auto"/>
              <w:spacing w:line="240" w:lineRule="auto"/>
              <w:ind w:firstLineChars="200"/>
              <w:rPr>
                <w:rFonts w:ascii="宋体" w:hAnsi="宋体" w:cs="宋体"/>
                <w:szCs w:val="21"/>
              </w:rPr>
            </w:pPr>
            <w:r>
              <w:rPr>
                <w:rFonts w:hint="eastAsia" w:ascii="宋体" w:hAnsi="宋体" w:cs="宋体"/>
                <w:szCs w:val="21"/>
              </w:rPr>
              <w:t>6. 树立安全意识，细致排查各类安全隐患，采取有效预防和控制措施，减少突发事件发生机率。</w:t>
            </w:r>
          </w:p>
          <w:p>
            <w:pPr>
              <w:pStyle w:val="7"/>
              <w:shd w:val="clear" w:color="auto" w:fill="auto"/>
              <w:spacing w:line="240" w:lineRule="auto"/>
              <w:ind w:firstLineChars="200"/>
              <w:rPr>
                <w:rFonts w:ascii="宋体" w:hAnsi="宋体" w:cs="宋体"/>
                <w:szCs w:val="21"/>
              </w:rPr>
            </w:pPr>
            <w:r>
              <w:rPr>
                <w:rFonts w:hint="eastAsia" w:ascii="宋体" w:hAnsi="宋体" w:cs="宋体"/>
                <w:szCs w:val="21"/>
              </w:rPr>
              <w:t>7. 处置各类突发事件实行首问责任制，即接触突发事件的作业时第一位工作人员为首问责任人，应第一时间通知监管部门人员进行处理；如隐瞒不报或延误，将视后果追究相关责任。</w:t>
            </w:r>
          </w:p>
          <w:p>
            <w:pPr>
              <w:pStyle w:val="7"/>
              <w:shd w:val="clear" w:color="auto" w:fill="auto"/>
              <w:spacing w:line="240" w:lineRule="auto"/>
              <w:ind w:firstLineChars="200"/>
              <w:rPr>
                <w:rFonts w:ascii="宋体" w:hAnsi="宋体" w:cs="宋体"/>
                <w:szCs w:val="21"/>
              </w:rPr>
            </w:pPr>
            <w:r>
              <w:rPr>
                <w:rFonts w:hint="eastAsia" w:ascii="宋体" w:hAnsi="宋体" w:cs="宋体"/>
                <w:szCs w:val="21"/>
              </w:rPr>
              <w:t>8. 当各类突发事件发生时，应立即进入紧急状态，启动应急预案，采取果断措施，在最短时间内控制事态，将危害和损失降到最低程度。</w:t>
            </w:r>
          </w:p>
          <w:p>
            <w:pPr>
              <w:pStyle w:val="7"/>
              <w:shd w:val="clear" w:color="auto" w:fill="auto"/>
              <w:spacing w:line="240" w:lineRule="auto"/>
              <w:ind w:firstLineChars="200"/>
              <w:rPr>
                <w:rFonts w:ascii="宋体" w:hAnsi="宋体" w:cs="宋体"/>
                <w:szCs w:val="21"/>
              </w:rPr>
            </w:pPr>
            <w:r>
              <w:rPr>
                <w:rFonts w:hint="eastAsia" w:ascii="宋体" w:hAnsi="宋体" w:cs="宋体"/>
                <w:szCs w:val="21"/>
              </w:rPr>
              <w:t xml:space="preserve">9. 严格遵守各项安全制度，如出现问题或造成事故，按相关制度和条例执行，直至追究法律责任。 </w:t>
            </w:r>
          </w:p>
          <w:p>
            <w:pPr>
              <w:pStyle w:val="7"/>
              <w:shd w:val="clear" w:color="auto" w:fill="auto"/>
              <w:spacing w:line="240" w:lineRule="auto"/>
              <w:ind w:firstLineChars="200"/>
              <w:rPr>
                <w:rFonts w:ascii="宋体" w:hAnsi="宋体" w:cs="宋体"/>
                <w:szCs w:val="21"/>
              </w:rPr>
            </w:pPr>
            <w:r>
              <w:rPr>
                <w:rFonts w:hint="eastAsia" w:ascii="宋体" w:hAnsi="宋体" w:cs="宋体"/>
                <w:szCs w:val="21"/>
              </w:rPr>
              <w:t xml:space="preserve">10. 严禁私自将文献等搬迁物资携带出馆库，一经发现，追究其责任。 </w:t>
            </w:r>
          </w:p>
          <w:p>
            <w:pPr>
              <w:pStyle w:val="7"/>
              <w:shd w:val="clear" w:color="auto" w:fill="auto"/>
              <w:spacing w:line="240" w:lineRule="auto"/>
              <w:ind w:firstLineChars="200"/>
              <w:rPr>
                <w:rFonts w:ascii="宋体" w:hAnsi="宋体" w:cs="宋体"/>
                <w:szCs w:val="21"/>
              </w:rPr>
            </w:pPr>
            <w:r>
              <w:rPr>
                <w:rFonts w:hint="eastAsia" w:ascii="宋体" w:hAnsi="宋体" w:cs="宋体"/>
                <w:szCs w:val="21"/>
              </w:rPr>
              <w:t>11. 严禁在馆舍内、作业区吸烟。</w:t>
            </w:r>
          </w:p>
          <w:p>
            <w:pPr>
              <w:pStyle w:val="7"/>
              <w:shd w:val="clear" w:color="auto" w:fill="auto"/>
              <w:spacing w:line="240" w:lineRule="auto"/>
              <w:ind w:firstLineChars="200"/>
              <w:rPr>
                <w:rFonts w:ascii="宋体" w:hAnsi="宋体" w:cs="宋体"/>
                <w:szCs w:val="21"/>
              </w:rPr>
            </w:pPr>
            <w:r>
              <w:rPr>
                <w:rFonts w:hint="eastAsia" w:ascii="宋体" w:hAnsi="宋体" w:cs="宋体"/>
                <w:szCs w:val="21"/>
              </w:rPr>
              <w:t>12. 严禁在作业区就餐。</w:t>
            </w:r>
          </w:p>
          <w:p>
            <w:pPr>
              <w:pStyle w:val="7"/>
              <w:shd w:val="clear" w:color="auto" w:fill="auto"/>
              <w:spacing w:line="240" w:lineRule="auto"/>
              <w:ind w:firstLineChars="200"/>
              <w:rPr>
                <w:rFonts w:ascii="宋体" w:hAnsi="宋体" w:cs="宋体"/>
                <w:szCs w:val="21"/>
              </w:rPr>
            </w:pPr>
            <w:r>
              <w:rPr>
                <w:rFonts w:hint="eastAsia" w:ascii="宋体" w:hAnsi="宋体" w:cs="宋体"/>
                <w:szCs w:val="21"/>
              </w:rPr>
              <w:t>13. 使用运载电梯时不可超载。</w:t>
            </w:r>
          </w:p>
          <w:p>
            <w:pPr>
              <w:pStyle w:val="8"/>
              <w:shd w:val="clear" w:color="auto" w:fill="auto"/>
              <w:spacing w:line="240" w:lineRule="auto"/>
              <w:rPr>
                <w:sz w:val="21"/>
                <w:szCs w:val="21"/>
              </w:rPr>
            </w:pPr>
            <w:r>
              <w:rPr>
                <w:rFonts w:hint="eastAsia"/>
                <w:sz w:val="21"/>
                <w:szCs w:val="21"/>
              </w:rPr>
              <w:t xml:space="preserve">  </w:t>
            </w:r>
            <w:r>
              <w:rPr>
                <w:rFonts w:hint="eastAsia"/>
                <w:color w:val="FF0000"/>
                <w:sz w:val="21"/>
                <w:szCs w:val="21"/>
              </w:rPr>
              <w:t xml:space="preserve">  14.中标人需确保及时支付参与项目搬迁人员的薪资，不得发生欠薪事件，投标人需在投标文件中提供承诺函（格式自拟，加盖投标人公章）。</w:t>
            </w:r>
          </w:p>
        </w:tc>
      </w:tr>
    </w:tbl>
    <w:p>
      <w:pPr>
        <w:pStyle w:val="319"/>
        <w:shd w:val="clear" w:color="auto" w:fill="auto"/>
        <w:ind w:firstLine="482"/>
        <w:rPr>
          <w:rFonts w:ascii="Times New Roman" w:hAnsi="Times New Roman" w:cs="Times New Roman"/>
        </w:rPr>
      </w:pPr>
      <w:bookmarkStart w:id="26" w:name="_Hlk93052120"/>
      <w:r>
        <w:rPr>
          <w:rFonts w:hint="eastAsia" w:ascii="Times New Roman" w:hAnsi="Times New Roman" w:cs="Times New Roman"/>
        </w:rPr>
        <w:t>商务需求</w:t>
      </w:r>
    </w:p>
    <w:bookmarkEnd w:id="26"/>
    <w:p>
      <w:pPr>
        <w:shd w:val="clear" w:color="auto" w:fill="auto"/>
        <w:spacing w:line="240" w:lineRule="auto"/>
        <w:rPr>
          <w:b/>
          <w:bCs/>
          <w:szCs w:val="21"/>
        </w:rPr>
      </w:pPr>
      <w:r>
        <w:rPr>
          <w:rFonts w:hint="eastAsia"/>
          <w:b/>
          <w:szCs w:val="21"/>
        </w:rPr>
        <w:t>1.服务期限：</w:t>
      </w:r>
    </w:p>
    <w:p>
      <w:pPr>
        <w:shd w:val="clear" w:color="auto" w:fill="auto"/>
        <w:spacing w:line="240" w:lineRule="auto"/>
        <w:ind w:firstLine="420" w:firstLineChars="200"/>
        <w:rPr>
          <w:szCs w:val="21"/>
        </w:rPr>
      </w:pPr>
      <w:bookmarkStart w:id="27" w:name="_Hlk182775917"/>
      <w:r>
        <w:rPr>
          <w:rFonts w:hint="eastAsia"/>
          <w:szCs w:val="21"/>
        </w:rPr>
        <w:t>本项目搬迁服务期为从启动搬迁始到本项目完全完成搬迁并验收合格止，本项目存在集中一次性整体搬迁或分批次搬迁的可能性，中标公司要无条件配合采购方集中搬迁或者分批次搬迁的搬迁时间要求</w:t>
      </w:r>
      <w:bookmarkEnd w:id="27"/>
      <w:r>
        <w:rPr>
          <w:rFonts w:hint="eastAsia"/>
          <w:szCs w:val="21"/>
        </w:rPr>
        <w:t>。</w:t>
      </w:r>
    </w:p>
    <w:p>
      <w:pPr>
        <w:shd w:val="clear" w:color="auto" w:fill="auto"/>
        <w:spacing w:line="240" w:lineRule="auto"/>
        <w:rPr>
          <w:b/>
          <w:szCs w:val="21"/>
        </w:rPr>
      </w:pPr>
      <w:r>
        <w:rPr>
          <w:rFonts w:hint="eastAsia"/>
          <w:b/>
          <w:szCs w:val="21"/>
        </w:rPr>
        <w:t>2.验收方案：</w:t>
      </w:r>
    </w:p>
    <w:p>
      <w:pPr>
        <w:shd w:val="clear" w:color="auto" w:fill="auto"/>
        <w:spacing w:line="240" w:lineRule="auto"/>
        <w:ind w:firstLine="420" w:firstLineChars="200"/>
        <w:rPr>
          <w:szCs w:val="21"/>
        </w:rPr>
      </w:pPr>
      <w:r>
        <w:rPr>
          <w:rFonts w:hint="eastAsia"/>
          <w:szCs w:val="21"/>
        </w:rPr>
        <w:t>（1）验收主体：深圳少年儿童图书馆。</w:t>
      </w:r>
    </w:p>
    <w:p>
      <w:pPr>
        <w:shd w:val="clear" w:color="auto" w:fill="auto"/>
        <w:spacing w:line="240" w:lineRule="auto"/>
        <w:ind w:firstLine="420" w:firstLineChars="200"/>
        <w:rPr>
          <w:szCs w:val="21"/>
        </w:rPr>
      </w:pPr>
      <w:r>
        <w:rPr>
          <w:rFonts w:hint="eastAsia"/>
          <w:szCs w:val="21"/>
        </w:rPr>
        <w:t>（2）验收时间：服务期满或完成服务成果后。</w:t>
      </w:r>
    </w:p>
    <w:p>
      <w:pPr>
        <w:shd w:val="clear" w:color="auto" w:fill="auto"/>
        <w:spacing w:line="240" w:lineRule="auto"/>
        <w:ind w:firstLine="420" w:firstLineChars="200"/>
        <w:rPr>
          <w:szCs w:val="21"/>
        </w:rPr>
      </w:pPr>
      <w:r>
        <w:rPr>
          <w:rFonts w:hint="eastAsia"/>
          <w:szCs w:val="21"/>
        </w:rPr>
        <w:t>（3）验收方式：现场验收。</w:t>
      </w:r>
    </w:p>
    <w:p>
      <w:pPr>
        <w:shd w:val="clear" w:color="auto" w:fill="auto"/>
        <w:spacing w:line="240" w:lineRule="auto"/>
        <w:ind w:firstLine="420" w:firstLineChars="200"/>
        <w:rPr>
          <w:szCs w:val="21"/>
        </w:rPr>
      </w:pPr>
      <w:r>
        <w:rPr>
          <w:rFonts w:hint="eastAsia"/>
          <w:szCs w:val="21"/>
        </w:rPr>
        <w:t>（4）验收程序：采购人组成的验收小组进行分散或集中验收。</w:t>
      </w:r>
    </w:p>
    <w:p>
      <w:pPr>
        <w:shd w:val="clear" w:color="auto" w:fill="auto"/>
        <w:spacing w:line="240" w:lineRule="auto"/>
        <w:ind w:firstLine="420" w:firstLineChars="200"/>
        <w:rPr>
          <w:szCs w:val="21"/>
        </w:rPr>
      </w:pPr>
      <w:r>
        <w:rPr>
          <w:rFonts w:hint="eastAsia"/>
          <w:szCs w:val="21"/>
        </w:rPr>
        <w:t>（5）验收内容：中标人提供的搬迁服务。</w:t>
      </w:r>
    </w:p>
    <w:p>
      <w:pPr>
        <w:shd w:val="clear" w:color="auto" w:fill="auto"/>
        <w:spacing w:line="240" w:lineRule="auto"/>
        <w:ind w:firstLine="420" w:firstLineChars="200"/>
        <w:rPr>
          <w:szCs w:val="21"/>
        </w:rPr>
      </w:pPr>
      <w:r>
        <w:rPr>
          <w:rFonts w:hint="eastAsia"/>
          <w:szCs w:val="21"/>
        </w:rPr>
        <w:t>（6）验收标准：服务期满或完成阶段性服务成果后，采购人应对服务的成果进行详细而全面的检验。采购人有权根据检验结果要求中标人现场整改或立即更换或者提出索赔要求。检验合格后，由采购人组成的验收小组签署验收报告，作为付款凭据之一。</w:t>
      </w:r>
    </w:p>
    <w:p>
      <w:pPr>
        <w:shd w:val="clear" w:color="auto" w:fill="auto"/>
        <w:spacing w:line="240" w:lineRule="auto"/>
        <w:rPr>
          <w:szCs w:val="21"/>
        </w:rPr>
      </w:pPr>
      <w:r>
        <w:rPr>
          <w:rFonts w:hint="eastAsia"/>
          <w:b/>
          <w:szCs w:val="21"/>
        </w:rPr>
        <w:t>3.售后要求：</w:t>
      </w:r>
    </w:p>
    <w:p>
      <w:pPr>
        <w:shd w:val="clear" w:color="auto" w:fill="auto"/>
        <w:spacing w:line="240" w:lineRule="auto"/>
        <w:ind w:firstLine="420" w:firstLineChars="200"/>
        <w:rPr>
          <w:szCs w:val="21"/>
        </w:rPr>
      </w:pPr>
      <w:r>
        <w:rPr>
          <w:rFonts w:hint="eastAsia"/>
          <w:szCs w:val="21"/>
        </w:rPr>
        <w:t>中标人需提供不低于4个月售后服务期，售后服务期内，中标人将向采购人提供优质的售后技术支持服务，开通热线电话接受采购人的电话技术咨询，如故障不能排除，中标人应在2日内提供现场服务，待采购人工作运行正常后撤离现场。</w:t>
      </w:r>
    </w:p>
    <w:p>
      <w:pPr>
        <w:pStyle w:val="8"/>
        <w:widowControl w:val="0"/>
        <w:numPr>
          <w:ilvl w:val="0"/>
          <w:numId w:val="30"/>
        </w:numPr>
        <w:shd w:val="clear" w:color="auto" w:fill="auto"/>
        <w:tabs>
          <w:tab w:val="clear" w:pos="426"/>
        </w:tabs>
        <w:adjustRightInd/>
        <w:snapToGrid/>
        <w:spacing w:after="120" w:line="240" w:lineRule="auto"/>
        <w:rPr>
          <w:b w:val="0"/>
          <w:sz w:val="21"/>
          <w:szCs w:val="21"/>
        </w:rPr>
      </w:pPr>
      <w:r>
        <w:rPr>
          <w:rFonts w:hint="eastAsia"/>
          <w:sz w:val="21"/>
          <w:szCs w:val="21"/>
        </w:rPr>
        <w:t>违约责任：</w:t>
      </w:r>
    </w:p>
    <w:p>
      <w:pPr>
        <w:pStyle w:val="40"/>
        <w:shd w:val="clear" w:color="auto" w:fill="auto"/>
        <w:spacing w:line="240" w:lineRule="auto"/>
        <w:rPr>
          <w:sz w:val="21"/>
          <w:szCs w:val="21"/>
        </w:rPr>
      </w:pPr>
      <w:r>
        <w:rPr>
          <w:rFonts w:hint="eastAsia"/>
          <w:sz w:val="21"/>
          <w:szCs w:val="21"/>
        </w:rPr>
        <w:t xml:space="preserve">   （1）中标人提供的服务不符合本合同规定的，采购人有权终止合同，并且中标人须向采购人支付本合同总价5%的违约金。</w:t>
      </w:r>
    </w:p>
    <w:p>
      <w:pPr>
        <w:pStyle w:val="40"/>
        <w:shd w:val="clear" w:color="auto" w:fill="auto"/>
        <w:spacing w:line="240" w:lineRule="auto"/>
        <w:rPr>
          <w:sz w:val="21"/>
          <w:szCs w:val="21"/>
        </w:rPr>
      </w:pPr>
      <w:r>
        <w:rPr>
          <w:rFonts w:hint="eastAsia"/>
          <w:sz w:val="21"/>
          <w:szCs w:val="21"/>
        </w:rPr>
        <w:t xml:space="preserve">   （2）中标人未能按本合同规定的时间提供服务，从逾期之日起每日按本合同总价3‰的数额向采购人支付违约金；逾期半个月以上的，采购人有权终止合同，由此造成的采购人经济损失由中标人承担。</w:t>
      </w:r>
    </w:p>
    <w:p>
      <w:pPr>
        <w:shd w:val="clear" w:color="auto" w:fill="auto"/>
        <w:spacing w:line="240" w:lineRule="auto"/>
        <w:rPr>
          <w:b/>
          <w:szCs w:val="21"/>
        </w:rPr>
      </w:pPr>
      <w:r>
        <w:rPr>
          <w:rFonts w:hint="eastAsia"/>
          <w:b/>
          <w:szCs w:val="21"/>
        </w:rPr>
        <w:t>5.合同计价方式：</w:t>
      </w:r>
    </w:p>
    <w:p>
      <w:pPr>
        <w:shd w:val="clear" w:color="auto" w:fill="auto"/>
        <w:spacing w:line="240" w:lineRule="auto"/>
        <w:ind w:firstLine="420" w:firstLineChars="200"/>
        <w:rPr>
          <w:szCs w:val="21"/>
        </w:rPr>
      </w:pPr>
      <w:r>
        <w:rPr>
          <w:rFonts w:hint="eastAsia"/>
          <w:szCs w:val="21"/>
        </w:rPr>
        <w:t>固定总价，合同价作为支付上限。</w:t>
      </w:r>
    </w:p>
    <w:p>
      <w:pPr>
        <w:shd w:val="clear" w:color="auto" w:fill="auto"/>
        <w:spacing w:line="240" w:lineRule="auto"/>
        <w:rPr>
          <w:b/>
          <w:szCs w:val="21"/>
        </w:rPr>
      </w:pPr>
      <w:r>
        <w:rPr>
          <w:rFonts w:hint="eastAsia"/>
          <w:b/>
          <w:szCs w:val="21"/>
        </w:rPr>
        <w:t>6.投标报价要求：</w:t>
      </w:r>
    </w:p>
    <w:p>
      <w:pPr>
        <w:shd w:val="clear" w:color="auto" w:fill="auto"/>
        <w:spacing w:line="240" w:lineRule="auto"/>
        <w:ind w:firstLine="420" w:firstLineChars="200"/>
        <w:rPr>
          <w:szCs w:val="21"/>
        </w:rPr>
      </w:pPr>
      <w:r>
        <w:rPr>
          <w:rFonts w:hint="eastAsia"/>
          <w:szCs w:val="21"/>
        </w:rPr>
        <w:t>（1）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hd w:val="clear" w:color="auto" w:fill="auto"/>
        <w:spacing w:line="240" w:lineRule="auto"/>
        <w:ind w:firstLine="420" w:firstLineChars="200"/>
        <w:rPr>
          <w:szCs w:val="21"/>
        </w:rPr>
      </w:pPr>
      <w:r>
        <w:rPr>
          <w:rFonts w:hint="eastAsia"/>
          <w:szCs w:val="21"/>
        </w:rPr>
        <w:t>（2）投标人的投标报价，应是本项目招标范围和招标文件及合同条款上所列的各项内容中所述的全部，不得以任何理由予以重复，并以投标人在投标文件中提出的综合单价或总价为依据。</w:t>
      </w:r>
    </w:p>
    <w:p>
      <w:pPr>
        <w:shd w:val="clear" w:color="auto" w:fill="auto"/>
        <w:spacing w:line="240" w:lineRule="auto"/>
        <w:ind w:firstLine="420" w:firstLineChars="200"/>
        <w:rPr>
          <w:szCs w:val="21"/>
        </w:rPr>
      </w:pPr>
      <w:r>
        <w:rPr>
          <w:rFonts w:hint="eastAsia"/>
          <w:szCs w:val="21"/>
        </w:rPr>
        <w:t>（3）除非政府集中采购机构通过修改招标文件予以更正，否则，投标人应毫无例外地按招标文件所列清单中的项目和数量填报综合单价或总价。投标人未填综合单价或总价的项目，在实施后，将不得以支付，并视作该项费用已包括在其它有价款的综合单价或总价内。</w:t>
      </w:r>
    </w:p>
    <w:p>
      <w:pPr>
        <w:shd w:val="clear" w:color="auto" w:fill="auto"/>
        <w:spacing w:line="240" w:lineRule="auto"/>
        <w:ind w:firstLine="420" w:firstLineChars="200"/>
        <w:rPr>
          <w:szCs w:val="21"/>
        </w:rPr>
      </w:pPr>
      <w:r>
        <w:rPr>
          <w:rFonts w:hint="eastAsia"/>
          <w:szCs w:val="21"/>
        </w:rPr>
        <w:t>（4）投标人应充分了解项目的位置、情况、道路及任何其它足以影响投标报价的情况，任何因忽视或误解项目情况而导致的索赔或服务期限延长申请将不获批准。</w:t>
      </w:r>
    </w:p>
    <w:p>
      <w:pPr>
        <w:shd w:val="clear" w:color="auto" w:fill="auto"/>
        <w:spacing w:line="240" w:lineRule="auto"/>
        <w:ind w:firstLine="420" w:firstLineChars="200"/>
        <w:rPr>
          <w:szCs w:val="21"/>
        </w:rPr>
      </w:pPr>
      <w:r>
        <w:rPr>
          <w:rFonts w:hint="eastAsia"/>
          <w:szCs w:val="21"/>
        </w:rPr>
        <w:t>（5）投标人不得期望通过索赔等方式获取补偿，否则，除可能遭到拒绝外，还可能将被作为不良行为记录在案，并可能影响其以后参加政府采购的项目投标。各投标人在投标报价时，应充分考虑投标报价的风险。</w:t>
      </w:r>
    </w:p>
    <w:p>
      <w:pPr>
        <w:shd w:val="clear" w:color="auto" w:fill="auto"/>
        <w:spacing w:line="240" w:lineRule="auto"/>
        <w:rPr>
          <w:b/>
          <w:szCs w:val="21"/>
        </w:rPr>
      </w:pPr>
      <w:r>
        <w:rPr>
          <w:rFonts w:hint="eastAsia"/>
          <w:b/>
          <w:szCs w:val="21"/>
        </w:rPr>
        <w:t>7.付款方式：</w:t>
      </w:r>
    </w:p>
    <w:p>
      <w:pPr>
        <w:shd w:val="clear" w:color="auto" w:fill="auto"/>
        <w:spacing w:line="240" w:lineRule="auto"/>
        <w:ind w:firstLine="420" w:firstLineChars="200"/>
        <w:rPr>
          <w:bCs/>
          <w:szCs w:val="21"/>
        </w:rPr>
      </w:pPr>
      <w:r>
        <w:rPr>
          <w:rFonts w:hint="eastAsia"/>
          <w:bCs/>
          <w:szCs w:val="21"/>
        </w:rPr>
        <w:t>合同签订后7个工作日内支付40%预付款；中标人包装材料、团队进场、且已经开展图书下架打包等工作，支付50%；剩余10%款项中标人提供合同总额10%的履约保证金后支付，中标人同步开具同等金额发票及提供结算资料。</w:t>
      </w:r>
    </w:p>
    <w:p>
      <w:pPr>
        <w:shd w:val="clear" w:color="auto" w:fill="auto"/>
        <w:spacing w:line="240" w:lineRule="auto"/>
        <w:ind w:firstLine="420" w:firstLineChars="200"/>
        <w:rPr>
          <w:bCs/>
          <w:szCs w:val="21"/>
        </w:rPr>
      </w:pPr>
      <w:r>
        <w:rPr>
          <w:rFonts w:hint="eastAsia"/>
          <w:bCs/>
          <w:szCs w:val="21"/>
        </w:rPr>
        <w:t>搬迁工作进行中，由于政府原因造成深圳少年儿童图书馆维修改造项目终止而停止搬迁，按实际搬迁数量结算搬迁费用，剩余未搬迁款项需退回采购人。</w:t>
      </w:r>
    </w:p>
    <w:p>
      <w:pPr>
        <w:shd w:val="clear" w:color="auto" w:fill="auto"/>
        <w:spacing w:line="240" w:lineRule="auto"/>
        <w:rPr>
          <w:b/>
          <w:szCs w:val="21"/>
        </w:rPr>
      </w:pPr>
      <w:r>
        <w:rPr>
          <w:rFonts w:hint="eastAsia"/>
          <w:b/>
          <w:szCs w:val="21"/>
        </w:rPr>
        <w:t>8.争议解决方法：</w:t>
      </w:r>
    </w:p>
    <w:p>
      <w:pPr>
        <w:shd w:val="clear" w:color="auto" w:fill="auto"/>
        <w:spacing w:line="240" w:lineRule="auto"/>
        <w:ind w:firstLine="420" w:firstLineChars="200"/>
        <w:rPr>
          <w:szCs w:val="21"/>
        </w:rPr>
      </w:pPr>
      <w:r>
        <w:rPr>
          <w:rFonts w:hint="eastAsia"/>
          <w:szCs w:val="21"/>
        </w:rPr>
        <w:t>（1）采购人与中标人双方协商解决。</w:t>
      </w:r>
    </w:p>
    <w:p>
      <w:pPr>
        <w:shd w:val="clear" w:color="auto" w:fill="auto"/>
        <w:spacing w:line="240" w:lineRule="auto"/>
        <w:ind w:firstLine="420" w:firstLineChars="200"/>
        <w:rPr>
          <w:szCs w:val="21"/>
        </w:rPr>
      </w:pPr>
      <w:r>
        <w:rPr>
          <w:rFonts w:hint="eastAsia"/>
          <w:szCs w:val="21"/>
        </w:rPr>
        <w:t>（2）协商解决不成的，向采购人所在地有管辖权的人民法院提起诉讼。</w:t>
      </w:r>
    </w:p>
    <w:p>
      <w:pPr>
        <w:pStyle w:val="305"/>
        <w:ind w:firstLine="480"/>
        <w:rPr>
          <w:rFonts w:ascii="Times New Roman" w:hAnsi="Times New Roman"/>
        </w:rPr>
      </w:pPr>
      <w:r>
        <w:rPr>
          <w:rFonts w:hAnsi="Calibri"/>
          <w:color w:val="000000"/>
          <w:kern w:val="0"/>
          <w:sz w:val="24"/>
          <w:szCs w:val="24"/>
        </w:rPr>
        <w:br w:type="page"/>
      </w:r>
    </w:p>
    <w:bookmarkEnd w:id="24"/>
    <w:bookmarkEnd w:id="25"/>
    <w:p>
      <w:pPr>
        <w:pStyle w:val="309"/>
        <w:pageBreakBefore/>
        <w:shd w:val="clear" w:color="auto" w:fill="auto"/>
        <w:ind w:firstLine="562"/>
        <w:rPr>
          <w:rFonts w:ascii="Times New Roman" w:hAnsi="Times New Roman"/>
        </w:rPr>
      </w:pPr>
      <w:bookmarkStart w:id="28" w:name="_Toc169101012"/>
      <w:r>
        <w:rPr>
          <w:rFonts w:ascii="Times New Roman" w:hAnsi="Times New Roman"/>
        </w:rPr>
        <w:t>第四章 政府采购合同的签订、履约及验收</w:t>
      </w:r>
      <w:bookmarkEnd w:id="28"/>
    </w:p>
    <w:p>
      <w:pPr>
        <w:pStyle w:val="321"/>
        <w:shd w:val="clear" w:color="auto" w:fill="auto"/>
        <w:ind w:firstLine="482"/>
        <w:rPr>
          <w:rFonts w:ascii="Times New Roman" w:hAnsi="Times New Roman"/>
        </w:rPr>
      </w:pPr>
      <w:r>
        <w:rPr>
          <w:rFonts w:ascii="Times New Roman" w:hAnsi="Times New Roman"/>
        </w:rPr>
        <w:t>一、重要提示</w:t>
      </w:r>
    </w:p>
    <w:p>
      <w:pPr>
        <w:pStyle w:val="305"/>
        <w:rPr>
          <w:rFonts w:ascii="Times New Roman" w:hAnsi="Times New Roman"/>
        </w:rPr>
      </w:pPr>
      <w:bookmarkStart w:id="29" w:name="_Hlk2096823"/>
      <w:r>
        <w:rPr>
          <w:rFonts w:ascii="Times New Roman" w:hAnsi="Times New Roman"/>
        </w:rPr>
        <w:t>中标人将于中标通知书发出之日起十个工作日内，按照招标文件和投标文件内容与采购单位签订书面合同，合同书可参考本招标文件规定的合同样本，有专业类别的格式合同范本请选择相应的合同。</w:t>
      </w:r>
    </w:p>
    <w:p>
      <w:pPr>
        <w:pStyle w:val="305"/>
        <w:rPr>
          <w:rFonts w:ascii="Times New Roman" w:hAnsi="Times New Roman"/>
        </w:rPr>
      </w:pPr>
      <w:r>
        <w:rPr>
          <w:rFonts w:ascii="Times New Roman" w:hAnsi="Times New Roman"/>
        </w:rPr>
        <w:t>中标人应当按照合同约定履行义务，完成中标项目，不得将中标项目转让（转包）给他人。</w:t>
      </w:r>
    </w:p>
    <w:p>
      <w:pPr>
        <w:pStyle w:val="305"/>
        <w:rPr>
          <w:rFonts w:ascii="Times New Roman" w:hAnsi="Times New Roman"/>
        </w:rPr>
      </w:pPr>
      <w:r>
        <w:rPr>
          <w:rFonts w:ascii="Times New Roman" w:hAnsi="Times New Roman"/>
        </w:rPr>
        <w:t>《深圳经济特区政府采购条例》第五十七条规定：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pPr>
        <w:pStyle w:val="305"/>
        <w:rPr>
          <w:rFonts w:ascii="Times New Roman" w:hAnsi="Times New Roman"/>
        </w:rPr>
      </w:pPr>
      <w:r>
        <w:rPr>
          <w:rFonts w:ascii="Times New Roman" w:hAnsi="Times New Roman"/>
        </w:rPr>
        <w:t>1.在采购活动中应当回避而未回避的；</w:t>
      </w:r>
    </w:p>
    <w:p>
      <w:pPr>
        <w:pStyle w:val="305"/>
        <w:ind w:firstLine="422"/>
        <w:rPr>
          <w:rFonts w:ascii="Times New Roman" w:hAnsi="Times New Roman"/>
          <w:b/>
        </w:rPr>
      </w:pPr>
      <w:r>
        <w:rPr>
          <w:rFonts w:ascii="Times New Roman" w:hAnsi="Times New Roman"/>
          <w:b/>
        </w:rPr>
        <w:t>2.未按本条例规定签订、履行采购合同，造成严重后果的；</w:t>
      </w:r>
    </w:p>
    <w:p>
      <w:pPr>
        <w:pStyle w:val="305"/>
        <w:rPr>
          <w:rFonts w:ascii="Times New Roman" w:hAnsi="Times New Roman"/>
        </w:rPr>
      </w:pPr>
      <w:r>
        <w:rPr>
          <w:rFonts w:ascii="Times New Roman" w:hAnsi="Times New Roman"/>
        </w:rPr>
        <w:t>3.隐瞒真实情况，提供虚假资料的；</w:t>
      </w:r>
    </w:p>
    <w:p>
      <w:pPr>
        <w:pStyle w:val="305"/>
        <w:rPr>
          <w:rFonts w:ascii="Times New Roman" w:hAnsi="Times New Roman"/>
        </w:rPr>
      </w:pPr>
      <w:r>
        <w:rPr>
          <w:rFonts w:ascii="Times New Roman" w:hAnsi="Times New Roman"/>
        </w:rPr>
        <w:t>4.以非法手段排斥其他供应商参与竞争的；</w:t>
      </w:r>
    </w:p>
    <w:p>
      <w:pPr>
        <w:pStyle w:val="305"/>
        <w:rPr>
          <w:rFonts w:ascii="Times New Roman" w:hAnsi="Times New Roman"/>
        </w:rPr>
      </w:pPr>
      <w:r>
        <w:rPr>
          <w:rFonts w:ascii="Times New Roman" w:hAnsi="Times New Roman"/>
        </w:rPr>
        <w:t>5.与其他采购参加人串通投标的；</w:t>
      </w:r>
    </w:p>
    <w:p>
      <w:pPr>
        <w:pStyle w:val="305"/>
        <w:rPr>
          <w:rFonts w:ascii="Times New Roman" w:hAnsi="Times New Roman"/>
        </w:rPr>
      </w:pPr>
      <w:r>
        <w:rPr>
          <w:rFonts w:ascii="Times New Roman" w:hAnsi="Times New Roman"/>
        </w:rPr>
        <w:t>6.恶意投诉的；</w:t>
      </w:r>
    </w:p>
    <w:p>
      <w:pPr>
        <w:pStyle w:val="305"/>
        <w:rPr>
          <w:rFonts w:ascii="Times New Roman" w:hAnsi="Times New Roman"/>
        </w:rPr>
      </w:pPr>
      <w:r>
        <w:rPr>
          <w:rFonts w:ascii="Times New Roman" w:hAnsi="Times New Roman"/>
        </w:rPr>
        <w:t>7.向采购项目相关人行贿或者提供其他不当利益的；</w:t>
      </w:r>
    </w:p>
    <w:p>
      <w:pPr>
        <w:pStyle w:val="305"/>
        <w:rPr>
          <w:rFonts w:ascii="Times New Roman" w:hAnsi="Times New Roman"/>
        </w:rPr>
      </w:pPr>
      <w:r>
        <w:rPr>
          <w:rFonts w:ascii="Times New Roman" w:hAnsi="Times New Roman"/>
        </w:rPr>
        <w:t>8.阻碍、抗拒主管部门监督检查的；</w:t>
      </w:r>
    </w:p>
    <w:p>
      <w:pPr>
        <w:pStyle w:val="305"/>
        <w:rPr>
          <w:rFonts w:ascii="Times New Roman" w:hAnsi="Times New Roman"/>
        </w:rPr>
      </w:pPr>
      <w:r>
        <w:rPr>
          <w:rFonts w:ascii="Times New Roman" w:hAnsi="Times New Roman"/>
        </w:rPr>
        <w:t>9.其他违反本条例规定的行为。</w:t>
      </w:r>
    </w:p>
    <w:p>
      <w:pPr>
        <w:pStyle w:val="305"/>
        <w:rPr>
          <w:rFonts w:ascii="Times New Roman" w:hAnsi="Times New Roman"/>
          <w:sz w:val="24"/>
        </w:rPr>
      </w:pPr>
      <w:r>
        <w:rPr>
          <w:rFonts w:ascii="Times New Roman" w:hAnsi="Times New Roman"/>
        </w:rPr>
        <w:t>供应商必须诚信投标，对项目需求进行实质性响应。采购单位（或深圳市深水水务咨询有限公司）将组织聘请第三方专业机构（必要时，邀请参加本项目投标的供应商）实施项目履约验收，如未按合同履约，将按上述规定进行处理。</w:t>
      </w:r>
      <w:bookmarkEnd w:id="29"/>
    </w:p>
    <w:p>
      <w:pPr>
        <w:widowControl w:val="0"/>
        <w:shd w:val="clear" w:color="auto" w:fill="auto"/>
        <w:tabs>
          <w:tab w:val="clear" w:pos="426"/>
        </w:tabs>
        <w:spacing w:line="240" w:lineRule="auto"/>
        <w:ind w:firstLine="420" w:firstLineChars="200"/>
        <w:rPr>
          <w:rFonts w:ascii="Times New Roman" w:hAnsi="Times New Roman" w:cs="Times New Roman"/>
          <w:kern w:val="2"/>
          <w:szCs w:val="21"/>
        </w:rPr>
      </w:pPr>
    </w:p>
    <w:p>
      <w:pPr>
        <w:widowControl w:val="0"/>
        <w:shd w:val="clear" w:color="auto" w:fill="auto"/>
        <w:tabs>
          <w:tab w:val="clear" w:pos="426"/>
        </w:tabs>
        <w:spacing w:line="240" w:lineRule="auto"/>
        <w:ind w:firstLine="420" w:firstLineChars="200"/>
        <w:rPr>
          <w:rFonts w:ascii="Times New Roman" w:hAnsi="Times New Roman" w:cs="Times New Roman"/>
          <w:kern w:val="2"/>
          <w:szCs w:val="21"/>
        </w:rPr>
      </w:pPr>
    </w:p>
    <w:p>
      <w:pPr>
        <w:shd w:val="clear" w:color="auto" w:fill="auto"/>
        <w:tabs>
          <w:tab w:val="clear" w:pos="426"/>
        </w:tabs>
        <w:spacing w:line="240" w:lineRule="auto"/>
        <w:ind w:firstLine="562"/>
        <w:jc w:val="left"/>
        <w:rPr>
          <w:rFonts w:ascii="Times New Roman" w:hAnsi="Times New Roman" w:eastAsia="黑体" w:cs="Times New Roman"/>
          <w:b/>
          <w:bCs/>
          <w:kern w:val="2"/>
          <w:sz w:val="28"/>
          <w:szCs w:val="28"/>
        </w:rPr>
      </w:pPr>
      <w:r>
        <w:rPr>
          <w:rFonts w:ascii="Times New Roman" w:hAnsi="Times New Roman" w:eastAsia="黑体" w:cs="Times New Roman"/>
          <w:b/>
          <w:bCs/>
          <w:kern w:val="2"/>
          <w:sz w:val="28"/>
          <w:szCs w:val="28"/>
        </w:rPr>
        <w:br w:type="page"/>
      </w:r>
    </w:p>
    <w:p>
      <w:pPr>
        <w:pStyle w:val="321"/>
        <w:pageBreakBefore/>
        <w:shd w:val="clear" w:color="auto" w:fill="auto"/>
        <w:ind w:firstLine="482"/>
        <w:rPr>
          <w:rFonts w:ascii="Times New Roman" w:hAnsi="Times New Roman"/>
        </w:rPr>
      </w:pPr>
      <w:r>
        <w:rPr>
          <w:rFonts w:hint="eastAsia" w:ascii="Times New Roman" w:hAnsi="Times New Roman"/>
        </w:rPr>
        <w:t>二、</w:t>
      </w:r>
      <w:r>
        <w:rPr>
          <w:rFonts w:ascii="Times New Roman" w:hAnsi="Times New Roman"/>
        </w:rPr>
        <w:t>合同条款及格式（服务类）</w:t>
      </w:r>
    </w:p>
    <w:p>
      <w:pPr>
        <w:shd w:val="clear" w:color="auto" w:fill="auto"/>
        <w:tabs>
          <w:tab w:val="clear" w:pos="426"/>
        </w:tabs>
        <w:ind w:firstLine="482"/>
        <w:jc w:val="center"/>
        <w:rPr>
          <w:rFonts w:ascii="Times New Roman" w:hAnsi="Times New Roman" w:cs="Times New Roman"/>
          <w:b/>
          <w:sz w:val="24"/>
        </w:rPr>
      </w:pPr>
      <w:r>
        <w:rPr>
          <w:rFonts w:ascii="Times New Roman" w:hAnsi="Times New Roman" w:cs="Times New Roman"/>
          <w:b/>
          <w:sz w:val="24"/>
        </w:rPr>
        <w:t>有专业类别的格式合同范本请选择相应的合同</w:t>
      </w:r>
    </w:p>
    <w:p>
      <w:pPr>
        <w:shd w:val="clear" w:color="auto" w:fill="auto"/>
        <w:tabs>
          <w:tab w:val="clear" w:pos="426"/>
        </w:tabs>
        <w:ind w:firstLine="482"/>
        <w:jc w:val="center"/>
        <w:rPr>
          <w:rFonts w:ascii="Times New Roman" w:hAnsi="Times New Roman" w:cs="Times New Roman"/>
          <w:b/>
          <w:sz w:val="24"/>
        </w:rPr>
      </w:pPr>
      <w:r>
        <w:rPr>
          <w:rFonts w:ascii="Times New Roman" w:hAnsi="Times New Roman" w:cs="Times New Roman"/>
          <w:b/>
          <w:sz w:val="24"/>
        </w:rPr>
        <w:t>（仅供参考）</w:t>
      </w:r>
    </w:p>
    <w:p>
      <w:pPr>
        <w:widowControl w:val="0"/>
        <w:shd w:val="clear" w:color="auto" w:fill="auto"/>
        <w:tabs>
          <w:tab w:val="clear" w:pos="426"/>
        </w:tabs>
        <w:spacing w:line="240" w:lineRule="auto"/>
        <w:ind w:firstLine="422"/>
        <w:rPr>
          <w:rFonts w:ascii="Times New Roman" w:hAnsi="Times New Roman" w:cs="Times New Roman"/>
          <w:b/>
          <w:bCs/>
          <w:kern w:val="2"/>
          <w:szCs w:val="21"/>
        </w:rPr>
      </w:pPr>
      <w:r>
        <w:rPr>
          <w:rFonts w:ascii="Times New Roman" w:hAnsi="Times New Roman" w:cs="Times New Roman"/>
          <w:b/>
          <w:bCs/>
          <w:kern w:val="2"/>
          <w:szCs w:val="21"/>
        </w:rPr>
        <w:t>甲方：</w:t>
      </w:r>
      <w:r>
        <w:rPr>
          <w:rFonts w:ascii="Times New Roman" w:hAnsi="Times New Roman" w:cs="Times New Roman"/>
          <w:b/>
          <w:bCs/>
          <w:kern w:val="2"/>
          <w:szCs w:val="21"/>
          <w:u w:val="single"/>
        </w:rPr>
        <w:t>________</w:t>
      </w:r>
    </w:p>
    <w:p>
      <w:pPr>
        <w:widowControl w:val="0"/>
        <w:shd w:val="clear" w:color="auto" w:fill="auto"/>
        <w:tabs>
          <w:tab w:val="clear" w:pos="426"/>
        </w:tabs>
        <w:spacing w:line="240" w:lineRule="auto"/>
        <w:ind w:firstLine="422"/>
        <w:rPr>
          <w:rFonts w:ascii="Times New Roman" w:hAnsi="Times New Roman" w:cs="Times New Roman"/>
          <w:b/>
          <w:bCs/>
          <w:kern w:val="2"/>
          <w:szCs w:val="21"/>
        </w:rPr>
      </w:pPr>
      <w:r>
        <w:rPr>
          <w:rFonts w:ascii="Times New Roman" w:hAnsi="Times New Roman" w:cs="Times New Roman"/>
          <w:b/>
          <w:bCs/>
          <w:kern w:val="2"/>
          <w:szCs w:val="21"/>
        </w:rPr>
        <w:t>乙方：</w:t>
      </w:r>
      <w:r>
        <w:rPr>
          <w:rFonts w:ascii="Times New Roman" w:hAnsi="Times New Roman" w:cs="Times New Roman"/>
          <w:b/>
          <w:bCs/>
          <w:kern w:val="2"/>
          <w:szCs w:val="21"/>
          <w:u w:val="single"/>
        </w:rPr>
        <w:t>________</w:t>
      </w:r>
    </w:p>
    <w:p>
      <w:pPr>
        <w:widowControl w:val="0"/>
        <w:shd w:val="clear" w:color="auto" w:fill="auto"/>
        <w:tabs>
          <w:tab w:val="clear" w:pos="426"/>
        </w:tabs>
        <w:spacing w:line="240" w:lineRule="auto"/>
        <w:rPr>
          <w:rFonts w:ascii="Times New Roman" w:hAnsi="Times New Roman" w:cs="Times New Roman"/>
          <w:kern w:val="2"/>
          <w:szCs w:val="21"/>
        </w:rPr>
      </w:pPr>
    </w:p>
    <w:p>
      <w:pPr>
        <w:widowControl w:val="0"/>
        <w:shd w:val="clear" w:color="auto" w:fill="auto"/>
        <w:tabs>
          <w:tab w:val="clear" w:pos="426"/>
        </w:tabs>
        <w:spacing w:line="240" w:lineRule="auto"/>
        <w:rPr>
          <w:rFonts w:ascii="Times New Roman" w:hAnsi="Times New Roman" w:cs="Times New Roman"/>
          <w:kern w:val="2"/>
          <w:szCs w:val="21"/>
        </w:rPr>
      </w:pPr>
    </w:p>
    <w:p>
      <w:pPr>
        <w:widowControl w:val="0"/>
        <w:shd w:val="clear" w:color="auto" w:fill="auto"/>
        <w:tabs>
          <w:tab w:val="clear" w:pos="426"/>
        </w:tabs>
        <w:spacing w:line="240" w:lineRule="auto"/>
        <w:ind w:firstLine="420" w:firstLineChars="200"/>
        <w:rPr>
          <w:rFonts w:ascii="Times New Roman" w:hAnsi="Times New Roman" w:cs="Times New Roman"/>
          <w:kern w:val="2"/>
          <w:szCs w:val="21"/>
        </w:rPr>
      </w:pPr>
      <w:r>
        <w:rPr>
          <w:rFonts w:ascii="Times New Roman" w:hAnsi="Times New Roman" w:cs="Times New Roman"/>
          <w:kern w:val="2"/>
          <w:szCs w:val="21"/>
        </w:rPr>
        <w:t>根据深圳市深水水务咨询有限公司</w:t>
      </w:r>
      <w:r>
        <w:rPr>
          <w:rFonts w:ascii="Times New Roman" w:hAnsi="Times New Roman" w:cs="Times New Roman"/>
          <w:kern w:val="2"/>
          <w:szCs w:val="21"/>
          <w:u w:val="single"/>
        </w:rPr>
        <w:t>__________</w:t>
      </w:r>
      <w:r>
        <w:rPr>
          <w:rFonts w:ascii="Times New Roman" w:hAnsi="Times New Roman" w:cs="Times New Roman"/>
          <w:kern w:val="2"/>
          <w:szCs w:val="21"/>
        </w:rPr>
        <w:t>号招标项目的投标结果，由</w:t>
      </w:r>
      <w:r>
        <w:rPr>
          <w:rFonts w:ascii="Times New Roman" w:hAnsi="Times New Roman" w:cs="Times New Roman"/>
          <w:kern w:val="2"/>
          <w:szCs w:val="21"/>
          <w:u w:val="single"/>
        </w:rPr>
        <w:t>_____________</w:t>
      </w:r>
      <w:r>
        <w:rPr>
          <w:rFonts w:ascii="Times New Roman" w:hAnsi="Times New Roman" w:cs="Times New Roman"/>
          <w:kern w:val="2"/>
          <w:szCs w:val="21"/>
        </w:rPr>
        <w:t>单位为中标方。按照《中华人民共和国民法典》《深圳经济特区政府采购条例》《深圳经济特区政府采购条例实施细则》，经</w:t>
      </w:r>
      <w:r>
        <w:rPr>
          <w:rFonts w:ascii="Times New Roman" w:hAnsi="Times New Roman" w:cs="Times New Roman"/>
          <w:kern w:val="2"/>
          <w:szCs w:val="21"/>
          <w:u w:val="single"/>
        </w:rPr>
        <w:t>_________</w:t>
      </w:r>
      <w:r>
        <w:rPr>
          <w:rFonts w:ascii="Times New Roman" w:hAnsi="Times New Roman" w:cs="Times New Roman"/>
          <w:kern w:val="2"/>
          <w:szCs w:val="21"/>
        </w:rPr>
        <w:t>（以下简称甲方）和</w:t>
      </w:r>
      <w:r>
        <w:rPr>
          <w:rFonts w:ascii="Times New Roman" w:hAnsi="Times New Roman" w:cs="Times New Roman"/>
          <w:kern w:val="2"/>
          <w:szCs w:val="21"/>
          <w:u w:val="single"/>
        </w:rPr>
        <w:t>____________</w:t>
      </w:r>
      <w:r>
        <w:rPr>
          <w:rFonts w:ascii="Times New Roman" w:hAnsi="Times New Roman" w:cs="Times New Roman"/>
          <w:kern w:val="2"/>
          <w:szCs w:val="21"/>
        </w:rPr>
        <w:t>（以下简称乙方）协商，就甲方委托乙方承担</w:t>
      </w:r>
      <w:r>
        <w:rPr>
          <w:rFonts w:ascii="Times New Roman" w:hAnsi="Times New Roman" w:cs="Times New Roman"/>
          <w:b/>
          <w:bCs/>
          <w:snapToGrid w:val="0"/>
          <w:szCs w:val="21"/>
          <w:u w:val="single"/>
          <w:lang w:val="zh-CN"/>
        </w:rPr>
        <w:t>______________________服务项目</w:t>
      </w:r>
      <w:r>
        <w:rPr>
          <w:rFonts w:ascii="Times New Roman" w:hAnsi="Times New Roman" w:cs="Times New Roman"/>
          <w:kern w:val="2"/>
          <w:szCs w:val="21"/>
        </w:rPr>
        <w:t>，达成以下合同条款：</w:t>
      </w:r>
    </w:p>
    <w:p>
      <w:pPr>
        <w:pStyle w:val="332"/>
      </w:pPr>
      <w:r>
        <w:t>项目概况</w:t>
      </w:r>
    </w:p>
    <w:p>
      <w:pPr>
        <w:widowControl w:val="0"/>
        <w:shd w:val="clear" w:color="auto" w:fill="auto"/>
        <w:tabs>
          <w:tab w:val="clear" w:pos="426"/>
        </w:tabs>
        <w:spacing w:line="240" w:lineRule="auto"/>
        <w:ind w:firstLine="420" w:firstLineChars="200"/>
        <w:rPr>
          <w:rFonts w:ascii="Times New Roman" w:hAnsi="Times New Roman" w:cs="Times New Roman"/>
          <w:kern w:val="2"/>
          <w:szCs w:val="21"/>
        </w:rPr>
      </w:pPr>
      <w:r>
        <w:rPr>
          <w:rFonts w:ascii="Times New Roman" w:hAnsi="Times New Roman" w:cs="Times New Roman"/>
          <w:kern w:val="2"/>
          <w:szCs w:val="21"/>
        </w:rPr>
        <w:t xml:space="preserve">1.项目名称： </w:t>
      </w:r>
    </w:p>
    <w:p>
      <w:pPr>
        <w:widowControl w:val="0"/>
        <w:shd w:val="clear" w:color="auto" w:fill="auto"/>
        <w:tabs>
          <w:tab w:val="clear" w:pos="426"/>
        </w:tabs>
        <w:spacing w:line="240" w:lineRule="auto"/>
        <w:ind w:firstLine="420" w:firstLineChars="200"/>
        <w:rPr>
          <w:rFonts w:ascii="Times New Roman" w:hAnsi="Times New Roman" w:cs="Times New Roman"/>
          <w:kern w:val="2"/>
          <w:szCs w:val="21"/>
        </w:rPr>
      </w:pPr>
      <w:r>
        <w:rPr>
          <w:rFonts w:ascii="Times New Roman" w:hAnsi="Times New Roman" w:cs="Times New Roman"/>
          <w:kern w:val="2"/>
          <w:szCs w:val="21"/>
        </w:rPr>
        <w:t xml:space="preserve">2.项目内容： </w:t>
      </w:r>
    </w:p>
    <w:p>
      <w:pPr>
        <w:widowControl w:val="0"/>
        <w:shd w:val="clear" w:color="auto" w:fill="auto"/>
        <w:tabs>
          <w:tab w:val="clear" w:pos="426"/>
        </w:tabs>
        <w:spacing w:line="240" w:lineRule="auto"/>
        <w:ind w:firstLine="420" w:firstLineChars="200"/>
        <w:rPr>
          <w:rFonts w:ascii="Times New Roman" w:hAnsi="Times New Roman" w:cs="Times New Roman"/>
          <w:kern w:val="2"/>
          <w:szCs w:val="21"/>
        </w:rPr>
      </w:pPr>
      <w:r>
        <w:rPr>
          <w:rFonts w:ascii="Times New Roman" w:hAnsi="Times New Roman" w:cs="Times New Roman"/>
          <w:kern w:val="2"/>
          <w:szCs w:val="21"/>
        </w:rPr>
        <w:t>3.履约时间：</w:t>
      </w:r>
    </w:p>
    <w:p>
      <w:pPr>
        <w:widowControl w:val="0"/>
        <w:shd w:val="clear" w:color="auto" w:fill="auto"/>
        <w:tabs>
          <w:tab w:val="clear" w:pos="426"/>
        </w:tabs>
        <w:spacing w:line="240" w:lineRule="auto"/>
        <w:ind w:firstLine="420" w:firstLineChars="200"/>
        <w:rPr>
          <w:rFonts w:ascii="Times New Roman" w:hAnsi="Times New Roman" w:cs="Times New Roman"/>
          <w:kern w:val="2"/>
          <w:szCs w:val="21"/>
        </w:rPr>
      </w:pPr>
      <w:r>
        <w:rPr>
          <w:rFonts w:ascii="Times New Roman" w:hAnsi="Times New Roman" w:cs="Times New Roman"/>
          <w:kern w:val="2"/>
          <w:szCs w:val="21"/>
        </w:rPr>
        <w:t xml:space="preserve">4.履约地点： </w:t>
      </w:r>
    </w:p>
    <w:p>
      <w:pPr>
        <w:widowControl w:val="0"/>
        <w:shd w:val="clear" w:color="auto" w:fill="auto"/>
        <w:tabs>
          <w:tab w:val="clear" w:pos="426"/>
        </w:tabs>
        <w:spacing w:line="240" w:lineRule="auto"/>
        <w:ind w:firstLine="420" w:firstLineChars="200"/>
        <w:rPr>
          <w:rFonts w:ascii="Times New Roman" w:hAnsi="Times New Roman" w:cs="Times New Roman"/>
          <w:kern w:val="2"/>
        </w:rPr>
      </w:pPr>
      <w:r>
        <w:rPr>
          <w:rFonts w:ascii="Times New Roman" w:hAnsi="Times New Roman" w:cs="Times New Roman"/>
          <w:kern w:val="2"/>
          <w:szCs w:val="21"/>
        </w:rPr>
        <w:t>5.合同价款：合同总价为</w:t>
      </w:r>
      <w:r>
        <w:rPr>
          <w:rFonts w:ascii="Times New Roman" w:hAnsi="Times New Roman" w:cs="Times New Roman"/>
          <w:kern w:val="2"/>
          <w:szCs w:val="21"/>
          <w:u w:val="single"/>
        </w:rPr>
        <w:t>_________</w:t>
      </w:r>
      <w:r>
        <w:rPr>
          <w:rFonts w:ascii="Times New Roman" w:hAnsi="Times New Roman" w:cs="Times New Roman"/>
          <w:kern w:val="2"/>
          <w:szCs w:val="21"/>
        </w:rPr>
        <w:t>元，含一切税、费。</w:t>
      </w:r>
      <w:r>
        <w:rPr>
          <w:rFonts w:ascii="Times New Roman" w:hAnsi="Times New Roman" w:cs="Times New Roman"/>
          <w:kern w:val="2"/>
        </w:rPr>
        <w:t>本合同总价包括</w:t>
      </w:r>
      <w:r>
        <w:rPr>
          <w:rFonts w:ascii="Times New Roman" w:hAnsi="Times New Roman" w:cs="Times New Roman"/>
          <w:kern w:val="2"/>
          <w:szCs w:val="21"/>
        </w:rPr>
        <w:t>乙方为实施本项目实施所需的设备仪器费、车辆租赁费、</w:t>
      </w:r>
      <w:r>
        <w:rPr>
          <w:rFonts w:ascii="Times New Roman" w:hAnsi="Times New Roman" w:cs="Times New Roman"/>
          <w:kern w:val="2"/>
        </w:rPr>
        <w:t>服务和技术费用等，为固定不变价格，且不随通货膨胀的影响而波动。合同总价包括</w:t>
      </w:r>
      <w:r>
        <w:rPr>
          <w:rFonts w:ascii="Times New Roman" w:hAnsi="Times New Roman" w:cs="Times New Roman"/>
          <w:kern w:val="2"/>
          <w:szCs w:val="21"/>
        </w:rPr>
        <w:t>乙方</w:t>
      </w:r>
      <w:r>
        <w:rPr>
          <w:rFonts w:ascii="Times New Roman" w:hAnsi="Times New Roman" w:cs="Times New Roman"/>
          <w:kern w:val="2"/>
        </w:rPr>
        <w:t>履行本合同义务所发生的一切费用和支出和以各种方式寄送技术资料到甲方办公室所发生的费用。如发生本合同规定的不可抗力，合同总价可经双方友好协商予以调整。</w:t>
      </w:r>
    </w:p>
    <w:p>
      <w:pPr>
        <w:widowControl w:val="0"/>
        <w:shd w:val="clear" w:color="auto" w:fill="auto"/>
        <w:tabs>
          <w:tab w:val="clear" w:pos="426"/>
        </w:tabs>
        <w:spacing w:line="240" w:lineRule="auto"/>
        <w:ind w:firstLine="420" w:firstLineChars="200"/>
        <w:rPr>
          <w:rFonts w:ascii="Times New Roman" w:hAnsi="Times New Roman" w:cs="Times New Roman"/>
          <w:kern w:val="2"/>
          <w:szCs w:val="21"/>
        </w:rPr>
      </w:pPr>
      <w:r>
        <w:rPr>
          <w:rFonts w:ascii="Times New Roman" w:hAnsi="Times New Roman" w:cs="Times New Roman"/>
          <w:kern w:val="2"/>
        </w:rPr>
        <w:t>6.……</w:t>
      </w:r>
    </w:p>
    <w:p>
      <w:pPr>
        <w:pStyle w:val="332"/>
      </w:pPr>
      <w:r>
        <w:t>服务范围</w:t>
      </w:r>
    </w:p>
    <w:p>
      <w:pPr>
        <w:widowControl w:val="0"/>
        <w:shd w:val="clear" w:color="auto" w:fill="auto"/>
        <w:tabs>
          <w:tab w:val="clear" w:pos="426"/>
        </w:tabs>
        <w:spacing w:line="240" w:lineRule="auto"/>
        <w:ind w:firstLine="420" w:firstLineChars="200"/>
        <w:rPr>
          <w:rFonts w:ascii="Times New Roman" w:hAnsi="Times New Roman" w:cs="Times New Roman"/>
          <w:kern w:val="2"/>
          <w:szCs w:val="21"/>
        </w:rPr>
      </w:pPr>
      <w:r>
        <w:rPr>
          <w:rFonts w:ascii="Times New Roman" w:hAnsi="Times New Roman" w:cs="Times New Roman"/>
          <w:kern w:val="2"/>
          <w:szCs w:val="21"/>
        </w:rPr>
        <w:t xml:space="preserve">1.  </w:t>
      </w:r>
    </w:p>
    <w:p>
      <w:pPr>
        <w:widowControl w:val="0"/>
        <w:shd w:val="clear" w:color="auto" w:fill="auto"/>
        <w:tabs>
          <w:tab w:val="clear" w:pos="426"/>
        </w:tabs>
        <w:spacing w:line="240" w:lineRule="auto"/>
        <w:ind w:firstLine="420" w:firstLineChars="200"/>
        <w:rPr>
          <w:rFonts w:ascii="Times New Roman" w:hAnsi="Times New Roman" w:cs="Times New Roman"/>
          <w:kern w:val="2"/>
          <w:szCs w:val="21"/>
        </w:rPr>
      </w:pPr>
      <w:r>
        <w:rPr>
          <w:rFonts w:ascii="Times New Roman" w:hAnsi="Times New Roman" w:cs="Times New Roman"/>
          <w:kern w:val="2"/>
          <w:szCs w:val="21"/>
        </w:rPr>
        <w:t xml:space="preserve">2.  </w:t>
      </w:r>
    </w:p>
    <w:p>
      <w:pPr>
        <w:widowControl w:val="0"/>
        <w:shd w:val="clear" w:color="auto" w:fill="auto"/>
        <w:tabs>
          <w:tab w:val="clear" w:pos="426"/>
        </w:tabs>
        <w:spacing w:line="240" w:lineRule="auto"/>
        <w:ind w:firstLine="420" w:firstLineChars="200"/>
        <w:rPr>
          <w:rFonts w:ascii="Times New Roman" w:hAnsi="Times New Roman" w:cs="Times New Roman"/>
          <w:kern w:val="2"/>
          <w:szCs w:val="21"/>
        </w:rPr>
      </w:pPr>
      <w:r>
        <w:rPr>
          <w:rFonts w:ascii="Times New Roman" w:hAnsi="Times New Roman" w:cs="Times New Roman"/>
          <w:kern w:val="2"/>
          <w:szCs w:val="21"/>
        </w:rPr>
        <w:t xml:space="preserve">3.  </w:t>
      </w:r>
    </w:p>
    <w:p>
      <w:pPr>
        <w:widowControl w:val="0"/>
        <w:shd w:val="clear" w:color="auto" w:fill="auto"/>
        <w:tabs>
          <w:tab w:val="clear" w:pos="426"/>
        </w:tabs>
        <w:spacing w:line="240" w:lineRule="auto"/>
        <w:ind w:firstLine="420" w:firstLineChars="200"/>
        <w:rPr>
          <w:rFonts w:ascii="Times New Roman" w:hAnsi="Times New Roman" w:cs="Times New Roman"/>
          <w:kern w:val="2"/>
          <w:szCs w:val="21"/>
        </w:rPr>
      </w:pPr>
      <w:r>
        <w:rPr>
          <w:rFonts w:ascii="Times New Roman" w:hAnsi="Times New Roman" w:cs="Times New Roman"/>
          <w:kern w:val="2"/>
          <w:szCs w:val="21"/>
        </w:rPr>
        <w:t>4.其他合同未明示的相关工作。</w:t>
      </w:r>
    </w:p>
    <w:p>
      <w:pPr>
        <w:widowControl w:val="0"/>
        <w:shd w:val="clear" w:color="auto" w:fill="auto"/>
        <w:tabs>
          <w:tab w:val="clear" w:pos="426"/>
        </w:tabs>
        <w:spacing w:line="240" w:lineRule="auto"/>
        <w:ind w:firstLine="420" w:firstLineChars="200"/>
        <w:rPr>
          <w:rFonts w:ascii="Times New Roman" w:hAnsi="Times New Roman" w:cs="Times New Roman"/>
          <w:kern w:val="2"/>
          <w:szCs w:val="21"/>
        </w:rPr>
      </w:pPr>
      <w:r>
        <w:rPr>
          <w:rFonts w:ascii="Times New Roman" w:hAnsi="Times New Roman" w:cs="Times New Roman"/>
          <w:kern w:val="2"/>
          <w:szCs w:val="21"/>
        </w:rPr>
        <w:t>5.……</w:t>
      </w:r>
    </w:p>
    <w:p>
      <w:pPr>
        <w:pStyle w:val="332"/>
      </w:pPr>
      <w:r>
        <w:t>服务要求</w:t>
      </w:r>
    </w:p>
    <w:p>
      <w:pPr>
        <w:widowControl w:val="0"/>
        <w:shd w:val="clear" w:color="auto" w:fill="auto"/>
        <w:tabs>
          <w:tab w:val="clear" w:pos="426"/>
        </w:tabs>
        <w:spacing w:line="240" w:lineRule="auto"/>
        <w:ind w:firstLine="420" w:firstLineChars="200"/>
        <w:rPr>
          <w:rFonts w:ascii="Times New Roman" w:hAnsi="Times New Roman" w:cs="Times New Roman"/>
          <w:kern w:val="2"/>
          <w:szCs w:val="21"/>
        </w:rPr>
      </w:pPr>
      <w:r>
        <w:rPr>
          <w:rFonts w:ascii="Times New Roman" w:hAnsi="Times New Roman" w:cs="Times New Roman"/>
          <w:kern w:val="2"/>
          <w:szCs w:val="21"/>
        </w:rPr>
        <w:t xml:space="preserve">1. </w:t>
      </w:r>
    </w:p>
    <w:p>
      <w:pPr>
        <w:widowControl w:val="0"/>
        <w:shd w:val="clear" w:color="auto" w:fill="auto"/>
        <w:tabs>
          <w:tab w:val="clear" w:pos="426"/>
        </w:tabs>
        <w:spacing w:line="240" w:lineRule="auto"/>
        <w:ind w:firstLine="420" w:firstLineChars="200"/>
        <w:rPr>
          <w:rFonts w:ascii="Times New Roman" w:hAnsi="Times New Roman" w:cs="Times New Roman"/>
          <w:kern w:val="2"/>
          <w:szCs w:val="21"/>
        </w:rPr>
      </w:pPr>
      <w:r>
        <w:rPr>
          <w:rFonts w:ascii="Times New Roman" w:hAnsi="Times New Roman" w:cs="Times New Roman"/>
          <w:kern w:val="2"/>
          <w:szCs w:val="21"/>
        </w:rPr>
        <w:t xml:space="preserve">2. </w:t>
      </w:r>
    </w:p>
    <w:p>
      <w:pPr>
        <w:widowControl w:val="0"/>
        <w:shd w:val="clear" w:color="auto" w:fill="auto"/>
        <w:tabs>
          <w:tab w:val="clear" w:pos="426"/>
        </w:tabs>
        <w:spacing w:line="240" w:lineRule="auto"/>
        <w:ind w:firstLine="420" w:firstLineChars="200"/>
        <w:rPr>
          <w:rFonts w:ascii="Times New Roman" w:hAnsi="Times New Roman" w:cs="Times New Roman"/>
          <w:kern w:val="2"/>
          <w:szCs w:val="21"/>
        </w:rPr>
      </w:pPr>
      <w:r>
        <w:rPr>
          <w:rFonts w:ascii="Times New Roman" w:hAnsi="Times New Roman" w:cs="Times New Roman"/>
          <w:kern w:val="2"/>
          <w:szCs w:val="21"/>
        </w:rPr>
        <w:t>3.</w:t>
      </w:r>
    </w:p>
    <w:p>
      <w:pPr>
        <w:widowControl w:val="0"/>
        <w:shd w:val="clear" w:color="auto" w:fill="auto"/>
        <w:tabs>
          <w:tab w:val="clear" w:pos="426"/>
        </w:tabs>
        <w:spacing w:line="240" w:lineRule="auto"/>
        <w:ind w:firstLine="420" w:firstLineChars="200"/>
        <w:rPr>
          <w:rFonts w:ascii="Times New Roman" w:hAnsi="Times New Roman" w:cs="Times New Roman"/>
          <w:kern w:val="2"/>
          <w:szCs w:val="21"/>
        </w:rPr>
      </w:pPr>
      <w:r>
        <w:rPr>
          <w:rFonts w:ascii="Times New Roman" w:hAnsi="Times New Roman" w:cs="Times New Roman"/>
          <w:kern w:val="2"/>
          <w:szCs w:val="21"/>
        </w:rPr>
        <w:t>4.</w:t>
      </w:r>
    </w:p>
    <w:p>
      <w:pPr>
        <w:widowControl w:val="0"/>
        <w:shd w:val="clear" w:color="auto" w:fill="auto"/>
        <w:tabs>
          <w:tab w:val="clear" w:pos="426"/>
        </w:tabs>
        <w:spacing w:line="240" w:lineRule="auto"/>
        <w:ind w:firstLine="420" w:firstLineChars="200"/>
        <w:rPr>
          <w:rFonts w:ascii="Times New Roman" w:hAnsi="Times New Roman" w:cs="Times New Roman"/>
          <w:kern w:val="2"/>
          <w:szCs w:val="21"/>
        </w:rPr>
      </w:pPr>
      <w:r>
        <w:rPr>
          <w:rFonts w:ascii="Times New Roman" w:hAnsi="Times New Roman" w:cs="Times New Roman"/>
          <w:kern w:val="2"/>
          <w:szCs w:val="21"/>
        </w:rPr>
        <w:t>5.……</w:t>
      </w:r>
    </w:p>
    <w:p>
      <w:pPr>
        <w:pStyle w:val="332"/>
      </w:pPr>
      <w:r>
        <w:t>甲方的义务</w:t>
      </w:r>
    </w:p>
    <w:p>
      <w:pPr>
        <w:widowControl w:val="0"/>
        <w:shd w:val="clear" w:color="auto" w:fill="auto"/>
        <w:tabs>
          <w:tab w:val="clear" w:pos="426"/>
        </w:tabs>
        <w:spacing w:line="240" w:lineRule="auto"/>
        <w:ind w:firstLine="420" w:firstLineChars="200"/>
        <w:rPr>
          <w:rFonts w:ascii="Times New Roman" w:hAnsi="Times New Roman" w:cs="Times New Roman"/>
          <w:kern w:val="2"/>
          <w:szCs w:val="21"/>
        </w:rPr>
      </w:pPr>
      <w:r>
        <w:rPr>
          <w:rFonts w:ascii="Times New Roman" w:hAnsi="Times New Roman" w:cs="Times New Roman"/>
          <w:kern w:val="2"/>
          <w:szCs w:val="21"/>
        </w:rPr>
        <w:t>1.负责与本项目服务项目有关的第三方的协调，提供开展服务工作的外部条件。</w:t>
      </w:r>
    </w:p>
    <w:p>
      <w:pPr>
        <w:widowControl w:val="0"/>
        <w:shd w:val="clear" w:color="auto" w:fill="auto"/>
        <w:tabs>
          <w:tab w:val="clear" w:pos="426"/>
        </w:tabs>
        <w:spacing w:line="240" w:lineRule="auto"/>
        <w:ind w:firstLine="420" w:firstLineChars="200"/>
        <w:rPr>
          <w:rFonts w:ascii="Times New Roman" w:hAnsi="Times New Roman" w:cs="Times New Roman"/>
          <w:kern w:val="2"/>
          <w:szCs w:val="21"/>
        </w:rPr>
      </w:pPr>
      <w:r>
        <w:rPr>
          <w:rFonts w:ascii="Times New Roman" w:hAnsi="Times New Roman" w:cs="Times New Roman"/>
          <w:kern w:val="2"/>
          <w:szCs w:val="21"/>
        </w:rPr>
        <w:t>2.向乙方提供与本项目服务工作有关的资料。</w:t>
      </w:r>
    </w:p>
    <w:p>
      <w:pPr>
        <w:widowControl w:val="0"/>
        <w:shd w:val="clear" w:color="auto" w:fill="auto"/>
        <w:tabs>
          <w:tab w:val="clear" w:pos="426"/>
        </w:tabs>
        <w:spacing w:line="240" w:lineRule="auto"/>
        <w:ind w:firstLine="420" w:firstLineChars="200"/>
        <w:rPr>
          <w:rFonts w:ascii="Times New Roman" w:hAnsi="Times New Roman" w:cs="Times New Roman"/>
          <w:kern w:val="2"/>
          <w:szCs w:val="21"/>
        </w:rPr>
      </w:pPr>
      <w:r>
        <w:rPr>
          <w:rFonts w:ascii="Times New Roman" w:hAnsi="Times New Roman" w:cs="Times New Roman"/>
          <w:kern w:val="2"/>
          <w:szCs w:val="21"/>
        </w:rPr>
        <w:t>3.负责组织有关专家对项目成果评估报告的评审。</w:t>
      </w:r>
    </w:p>
    <w:p>
      <w:pPr>
        <w:widowControl w:val="0"/>
        <w:shd w:val="clear" w:color="auto" w:fill="auto"/>
        <w:tabs>
          <w:tab w:val="clear" w:pos="426"/>
        </w:tabs>
        <w:spacing w:line="240" w:lineRule="auto"/>
        <w:ind w:firstLine="420" w:firstLineChars="200"/>
        <w:rPr>
          <w:rFonts w:ascii="Times New Roman" w:hAnsi="Times New Roman" w:cs="Times New Roman"/>
          <w:kern w:val="2"/>
          <w:szCs w:val="21"/>
        </w:rPr>
      </w:pPr>
      <w:r>
        <w:rPr>
          <w:rFonts w:ascii="Times New Roman" w:hAnsi="Times New Roman" w:cs="Times New Roman"/>
          <w:kern w:val="2"/>
          <w:szCs w:val="21"/>
        </w:rPr>
        <w:t>4.……</w:t>
      </w:r>
    </w:p>
    <w:p>
      <w:pPr>
        <w:pStyle w:val="332"/>
      </w:pPr>
      <w:r>
        <w:t>乙方的义务</w:t>
      </w:r>
    </w:p>
    <w:p>
      <w:pPr>
        <w:widowControl w:val="0"/>
        <w:shd w:val="clear" w:color="auto" w:fill="auto"/>
        <w:tabs>
          <w:tab w:val="clear" w:pos="426"/>
        </w:tabs>
        <w:spacing w:line="240" w:lineRule="auto"/>
        <w:ind w:firstLine="420" w:firstLineChars="200"/>
        <w:rPr>
          <w:rFonts w:ascii="Times New Roman" w:hAnsi="Times New Roman" w:cs="Times New Roman"/>
          <w:kern w:val="2"/>
          <w:szCs w:val="21"/>
        </w:rPr>
      </w:pPr>
      <w:r>
        <w:rPr>
          <w:rFonts w:ascii="Times New Roman" w:hAnsi="Times New Roman" w:cs="Times New Roman"/>
          <w:kern w:val="2"/>
          <w:szCs w:val="21"/>
        </w:rPr>
        <w:t>1.应按照</w:t>
      </w:r>
      <w:r>
        <w:rPr>
          <w:rFonts w:ascii="Times New Roman" w:hAnsi="Times New Roman" w:cs="Times New Roman"/>
          <w:kern w:val="2"/>
          <w:szCs w:val="21"/>
          <w:u w:val="single"/>
        </w:rPr>
        <w:t>__________</w:t>
      </w:r>
      <w:r>
        <w:rPr>
          <w:rFonts w:ascii="Times New Roman" w:hAnsi="Times New Roman" w:cs="Times New Roman"/>
          <w:kern w:val="2"/>
          <w:szCs w:val="21"/>
        </w:rPr>
        <w:t>项目招标文件、乙方投标文件要求按期完成本项目服务工作。</w:t>
      </w:r>
    </w:p>
    <w:p>
      <w:pPr>
        <w:widowControl w:val="0"/>
        <w:shd w:val="clear" w:color="auto" w:fill="auto"/>
        <w:tabs>
          <w:tab w:val="clear" w:pos="426"/>
        </w:tabs>
        <w:spacing w:line="240" w:lineRule="auto"/>
        <w:ind w:firstLine="420" w:firstLineChars="200"/>
        <w:rPr>
          <w:rFonts w:ascii="Times New Roman" w:hAnsi="Times New Roman" w:cs="Times New Roman"/>
          <w:kern w:val="2"/>
          <w:szCs w:val="21"/>
        </w:rPr>
      </w:pPr>
      <w:r>
        <w:rPr>
          <w:rFonts w:ascii="Times New Roman" w:hAnsi="Times New Roman" w:cs="Times New Roman"/>
          <w:kern w:val="2"/>
          <w:szCs w:val="21"/>
        </w:rPr>
        <w:t>2.负责组织项目的实施，保证项目进度和成果质量，并满足验收相关标准。</w:t>
      </w:r>
    </w:p>
    <w:p>
      <w:pPr>
        <w:widowControl w:val="0"/>
        <w:shd w:val="clear" w:color="auto" w:fill="auto"/>
        <w:tabs>
          <w:tab w:val="clear" w:pos="426"/>
        </w:tabs>
        <w:spacing w:line="240" w:lineRule="auto"/>
        <w:ind w:firstLine="420" w:firstLineChars="200"/>
        <w:rPr>
          <w:rFonts w:ascii="Times New Roman" w:hAnsi="Times New Roman" w:cs="Times New Roman"/>
          <w:color w:val="FF0000"/>
          <w:kern w:val="2"/>
          <w:szCs w:val="21"/>
        </w:rPr>
      </w:pPr>
      <w:r>
        <w:rPr>
          <w:rFonts w:ascii="Times New Roman" w:hAnsi="Times New Roman" w:cs="Times New Roman"/>
          <w:kern w:val="2"/>
          <w:szCs w:val="21"/>
        </w:rPr>
        <w:t>3.</w:t>
      </w:r>
      <w:r>
        <w:rPr>
          <w:rFonts w:ascii="Times New Roman" w:hAnsi="Times New Roman" w:cs="Times New Roman"/>
          <w:kern w:val="2"/>
        </w:rPr>
        <w:t>向甲方提交</w:t>
      </w:r>
      <w:r>
        <w:rPr>
          <w:rFonts w:ascii="Times New Roman" w:hAnsi="Times New Roman" w:cs="Times New Roman"/>
          <w:kern w:val="2"/>
          <w:u w:val="single"/>
        </w:rPr>
        <w:t>_____________</w:t>
      </w:r>
      <w:r>
        <w:rPr>
          <w:rFonts w:ascii="Times New Roman" w:hAnsi="Times New Roman" w:cs="Times New Roman"/>
          <w:kern w:val="2"/>
        </w:rPr>
        <w:t>各</w:t>
      </w:r>
      <w:r>
        <w:rPr>
          <w:rFonts w:ascii="Times New Roman" w:hAnsi="Times New Roman" w:cs="Times New Roman"/>
          <w:kern w:val="2"/>
          <w:u w:val="single"/>
        </w:rPr>
        <w:t>______</w:t>
      </w:r>
      <w:r>
        <w:rPr>
          <w:rFonts w:ascii="Times New Roman" w:hAnsi="Times New Roman" w:cs="Times New Roman"/>
          <w:kern w:val="2"/>
        </w:rPr>
        <w:t>套，一套电子版文件。</w:t>
      </w:r>
    </w:p>
    <w:p>
      <w:pPr>
        <w:widowControl w:val="0"/>
        <w:shd w:val="clear" w:color="auto" w:fill="auto"/>
        <w:tabs>
          <w:tab w:val="clear" w:pos="426"/>
        </w:tabs>
        <w:spacing w:line="240" w:lineRule="auto"/>
        <w:ind w:firstLine="420" w:firstLineChars="200"/>
        <w:rPr>
          <w:rFonts w:ascii="Times New Roman" w:hAnsi="Times New Roman" w:cs="Times New Roman"/>
          <w:kern w:val="2"/>
          <w:szCs w:val="21"/>
        </w:rPr>
      </w:pPr>
      <w:r>
        <w:rPr>
          <w:rFonts w:ascii="Times New Roman" w:hAnsi="Times New Roman" w:cs="Times New Roman"/>
          <w:kern w:val="2"/>
          <w:szCs w:val="21"/>
        </w:rPr>
        <w:t>4.在履行合同期间或合同规定期限内，不得泄露与本合同规定业务活动有关的保密资料。</w:t>
      </w:r>
    </w:p>
    <w:p>
      <w:pPr>
        <w:widowControl w:val="0"/>
        <w:shd w:val="clear" w:color="auto" w:fill="auto"/>
        <w:tabs>
          <w:tab w:val="clear" w:pos="426"/>
        </w:tabs>
        <w:spacing w:line="240" w:lineRule="auto"/>
        <w:ind w:firstLine="420" w:firstLineChars="200"/>
        <w:rPr>
          <w:rFonts w:ascii="Times New Roman" w:hAnsi="Times New Roman" w:cs="Times New Roman"/>
          <w:kern w:val="2"/>
          <w:szCs w:val="21"/>
        </w:rPr>
      </w:pPr>
      <w:r>
        <w:rPr>
          <w:rFonts w:ascii="Times New Roman" w:hAnsi="Times New Roman" w:cs="Times New Roman"/>
          <w:kern w:val="2"/>
          <w:szCs w:val="21"/>
        </w:rPr>
        <w:t>5.……</w:t>
      </w:r>
    </w:p>
    <w:p>
      <w:pPr>
        <w:pStyle w:val="332"/>
      </w:pPr>
      <w:r>
        <w:t>甲方的权利</w:t>
      </w:r>
    </w:p>
    <w:p>
      <w:pPr>
        <w:widowControl w:val="0"/>
        <w:shd w:val="clear" w:color="auto" w:fill="auto"/>
        <w:tabs>
          <w:tab w:val="clear" w:pos="426"/>
        </w:tabs>
        <w:spacing w:line="240" w:lineRule="auto"/>
        <w:ind w:firstLine="420" w:firstLineChars="200"/>
        <w:rPr>
          <w:rFonts w:ascii="Times New Roman" w:hAnsi="Times New Roman" w:cs="Times New Roman"/>
          <w:kern w:val="2"/>
          <w:szCs w:val="21"/>
        </w:rPr>
      </w:pPr>
      <w:r>
        <w:rPr>
          <w:rFonts w:ascii="Times New Roman" w:hAnsi="Times New Roman" w:cs="Times New Roman"/>
          <w:kern w:val="2"/>
          <w:szCs w:val="21"/>
        </w:rPr>
        <w:t>1.有权向乙方询问工作进展情况及相关的内容。</w:t>
      </w:r>
    </w:p>
    <w:p>
      <w:pPr>
        <w:widowControl w:val="0"/>
        <w:shd w:val="clear" w:color="auto" w:fill="auto"/>
        <w:tabs>
          <w:tab w:val="clear" w:pos="426"/>
        </w:tabs>
        <w:spacing w:line="240" w:lineRule="auto"/>
        <w:ind w:firstLine="420" w:firstLineChars="200"/>
        <w:rPr>
          <w:rFonts w:ascii="Times New Roman" w:hAnsi="Times New Roman" w:cs="Times New Roman"/>
          <w:kern w:val="2"/>
          <w:szCs w:val="21"/>
        </w:rPr>
      </w:pPr>
      <w:r>
        <w:rPr>
          <w:rFonts w:ascii="Times New Roman" w:hAnsi="Times New Roman" w:cs="Times New Roman"/>
          <w:kern w:val="2"/>
          <w:szCs w:val="21"/>
        </w:rPr>
        <w:t>2.有权阐述对具体问题的意见和建议。</w:t>
      </w:r>
    </w:p>
    <w:p>
      <w:pPr>
        <w:widowControl w:val="0"/>
        <w:shd w:val="clear" w:color="auto" w:fill="auto"/>
        <w:tabs>
          <w:tab w:val="clear" w:pos="426"/>
        </w:tabs>
        <w:spacing w:line="240" w:lineRule="auto"/>
        <w:ind w:firstLine="420" w:firstLineChars="200"/>
        <w:rPr>
          <w:rFonts w:ascii="Times New Roman" w:hAnsi="Times New Roman" w:cs="Times New Roman"/>
          <w:kern w:val="2"/>
          <w:szCs w:val="21"/>
        </w:rPr>
      </w:pPr>
      <w:r>
        <w:rPr>
          <w:rFonts w:ascii="Times New Roman" w:hAnsi="Times New Roman" w:cs="Times New Roman"/>
          <w:kern w:val="2"/>
          <w:szCs w:val="21"/>
        </w:rPr>
        <w:t>3.当甲方认定乙方人员不按合同履行其职责，或与第三人串通给甲方造成经济损失的，甲方有权要求更换人员，直至终止合同并要求乙方承担相应的赔偿责任。</w:t>
      </w:r>
    </w:p>
    <w:p>
      <w:pPr>
        <w:widowControl w:val="0"/>
        <w:shd w:val="clear" w:color="auto" w:fill="auto"/>
        <w:tabs>
          <w:tab w:val="clear" w:pos="426"/>
        </w:tabs>
        <w:spacing w:line="240" w:lineRule="auto"/>
        <w:ind w:firstLine="420" w:firstLineChars="200"/>
        <w:rPr>
          <w:rFonts w:ascii="Times New Roman" w:hAnsi="Times New Roman" w:cs="Times New Roman"/>
          <w:kern w:val="2"/>
          <w:szCs w:val="21"/>
        </w:rPr>
      </w:pPr>
      <w:r>
        <w:rPr>
          <w:rFonts w:ascii="Times New Roman" w:hAnsi="Times New Roman" w:cs="Times New Roman"/>
          <w:kern w:val="2"/>
          <w:szCs w:val="21"/>
        </w:rPr>
        <w:t>4.……</w:t>
      </w:r>
    </w:p>
    <w:p>
      <w:pPr>
        <w:pStyle w:val="332"/>
      </w:pPr>
      <w:r>
        <w:t>乙方的权利</w:t>
      </w:r>
    </w:p>
    <w:p>
      <w:pPr>
        <w:widowControl w:val="0"/>
        <w:shd w:val="clear" w:color="auto" w:fill="auto"/>
        <w:tabs>
          <w:tab w:val="clear" w:pos="426"/>
        </w:tabs>
        <w:spacing w:line="240" w:lineRule="auto"/>
        <w:ind w:firstLine="420" w:firstLineChars="200"/>
        <w:rPr>
          <w:rFonts w:ascii="Times New Roman" w:hAnsi="Times New Roman" w:cs="Times New Roman"/>
          <w:kern w:val="2"/>
          <w:szCs w:val="21"/>
        </w:rPr>
      </w:pPr>
      <w:r>
        <w:rPr>
          <w:rFonts w:ascii="Times New Roman" w:hAnsi="Times New Roman" w:cs="Times New Roman"/>
          <w:kern w:val="2"/>
          <w:szCs w:val="21"/>
        </w:rPr>
        <w:t>1.乙方在本项目服务过程中，如甲方提供的资料不明确时可向甲方提出书面报告。</w:t>
      </w:r>
    </w:p>
    <w:p>
      <w:pPr>
        <w:widowControl w:val="0"/>
        <w:shd w:val="clear" w:color="auto" w:fill="auto"/>
        <w:tabs>
          <w:tab w:val="clear" w:pos="426"/>
        </w:tabs>
        <w:spacing w:line="240" w:lineRule="auto"/>
        <w:ind w:firstLine="420" w:firstLineChars="200"/>
        <w:rPr>
          <w:rFonts w:ascii="Times New Roman" w:hAnsi="Times New Roman" w:cs="Times New Roman"/>
          <w:kern w:val="2"/>
          <w:szCs w:val="21"/>
        </w:rPr>
      </w:pPr>
      <w:r>
        <w:rPr>
          <w:rFonts w:ascii="Times New Roman" w:hAnsi="Times New Roman" w:cs="Times New Roman"/>
          <w:kern w:val="2"/>
          <w:szCs w:val="21"/>
        </w:rPr>
        <w:t>2.乙方在本项目服务过程中，有权对第三方提出与本项目有关的问题进行核对或查问。</w:t>
      </w:r>
    </w:p>
    <w:p>
      <w:pPr>
        <w:widowControl w:val="0"/>
        <w:shd w:val="clear" w:color="auto" w:fill="auto"/>
        <w:tabs>
          <w:tab w:val="clear" w:pos="426"/>
        </w:tabs>
        <w:spacing w:line="240" w:lineRule="auto"/>
        <w:ind w:firstLine="420" w:firstLineChars="200"/>
        <w:rPr>
          <w:rFonts w:ascii="Times New Roman" w:hAnsi="Times New Roman" w:cs="Times New Roman"/>
          <w:kern w:val="2"/>
          <w:szCs w:val="21"/>
        </w:rPr>
      </w:pPr>
      <w:r>
        <w:rPr>
          <w:rFonts w:ascii="Times New Roman" w:hAnsi="Times New Roman" w:cs="Times New Roman"/>
          <w:kern w:val="2"/>
          <w:szCs w:val="21"/>
        </w:rPr>
        <w:t>3.乙方在本项目服务过程中，有到项目现场勘察的权利。</w:t>
      </w:r>
    </w:p>
    <w:p>
      <w:pPr>
        <w:widowControl w:val="0"/>
        <w:shd w:val="clear" w:color="auto" w:fill="auto"/>
        <w:tabs>
          <w:tab w:val="clear" w:pos="426"/>
        </w:tabs>
        <w:spacing w:line="240" w:lineRule="auto"/>
        <w:ind w:firstLine="420" w:firstLineChars="200"/>
        <w:rPr>
          <w:rFonts w:ascii="Times New Roman" w:hAnsi="Times New Roman" w:cs="Times New Roman"/>
          <w:kern w:val="2"/>
          <w:szCs w:val="21"/>
        </w:rPr>
      </w:pPr>
      <w:r>
        <w:rPr>
          <w:rFonts w:ascii="Times New Roman" w:hAnsi="Times New Roman" w:cs="Times New Roman"/>
          <w:kern w:val="2"/>
          <w:szCs w:val="21"/>
        </w:rPr>
        <w:t>4.……</w:t>
      </w:r>
    </w:p>
    <w:p>
      <w:pPr>
        <w:pStyle w:val="332"/>
      </w:pPr>
      <w:r>
        <w:t>甲方的责任</w:t>
      </w:r>
    </w:p>
    <w:p>
      <w:pPr>
        <w:widowControl w:val="0"/>
        <w:shd w:val="clear" w:color="auto" w:fill="auto"/>
        <w:tabs>
          <w:tab w:val="clear" w:pos="426"/>
        </w:tabs>
        <w:spacing w:line="240" w:lineRule="auto"/>
        <w:ind w:firstLine="420" w:firstLineChars="200"/>
        <w:rPr>
          <w:rFonts w:ascii="Times New Roman" w:hAnsi="Times New Roman" w:cs="Times New Roman"/>
          <w:kern w:val="2"/>
          <w:szCs w:val="21"/>
        </w:rPr>
      </w:pPr>
      <w:r>
        <w:rPr>
          <w:rFonts w:ascii="Times New Roman" w:hAnsi="Times New Roman" w:cs="Times New Roman"/>
          <w:kern w:val="2"/>
          <w:szCs w:val="21"/>
        </w:rPr>
        <w:t>1.应当履行本合同约定的义务，如有违反则应当承担违约责任，赔偿给乙方造成的损失。</w:t>
      </w:r>
    </w:p>
    <w:p>
      <w:pPr>
        <w:widowControl w:val="0"/>
        <w:shd w:val="clear" w:color="auto" w:fill="auto"/>
        <w:tabs>
          <w:tab w:val="clear" w:pos="426"/>
        </w:tabs>
        <w:spacing w:line="240" w:lineRule="auto"/>
        <w:ind w:firstLine="420" w:firstLineChars="200"/>
        <w:rPr>
          <w:rFonts w:ascii="Times New Roman" w:hAnsi="Times New Roman" w:cs="Times New Roman"/>
          <w:kern w:val="2"/>
          <w:szCs w:val="21"/>
        </w:rPr>
      </w:pPr>
      <w:r>
        <w:rPr>
          <w:rFonts w:ascii="Times New Roman" w:hAnsi="Times New Roman" w:cs="Times New Roman"/>
          <w:kern w:val="2"/>
          <w:szCs w:val="21"/>
        </w:rPr>
        <w:t>2.甲方向乙方提出赔偿要求不能成立时，则应补偿由于该赔偿或其他要求所导致乙方的各种费用的支出。</w:t>
      </w:r>
    </w:p>
    <w:p>
      <w:pPr>
        <w:widowControl w:val="0"/>
        <w:shd w:val="clear" w:color="auto" w:fill="auto"/>
        <w:tabs>
          <w:tab w:val="clear" w:pos="426"/>
        </w:tabs>
        <w:spacing w:line="240" w:lineRule="auto"/>
        <w:ind w:firstLine="420" w:firstLineChars="200"/>
        <w:rPr>
          <w:rFonts w:ascii="Times New Roman" w:hAnsi="Times New Roman" w:cs="Times New Roman"/>
          <w:kern w:val="2"/>
          <w:szCs w:val="21"/>
        </w:rPr>
      </w:pPr>
      <w:r>
        <w:rPr>
          <w:rFonts w:ascii="Times New Roman" w:hAnsi="Times New Roman" w:cs="Times New Roman"/>
          <w:kern w:val="2"/>
          <w:szCs w:val="21"/>
        </w:rPr>
        <w:t>3.……</w:t>
      </w:r>
    </w:p>
    <w:p>
      <w:pPr>
        <w:pStyle w:val="332"/>
      </w:pPr>
      <w:r>
        <w:t>乙方的责任</w:t>
      </w:r>
    </w:p>
    <w:p>
      <w:pPr>
        <w:widowControl w:val="0"/>
        <w:shd w:val="clear" w:color="auto" w:fill="auto"/>
        <w:tabs>
          <w:tab w:val="clear" w:pos="426"/>
        </w:tabs>
        <w:spacing w:line="240" w:lineRule="auto"/>
        <w:ind w:firstLine="420" w:firstLineChars="200"/>
        <w:rPr>
          <w:rFonts w:ascii="Times New Roman" w:hAnsi="Times New Roman" w:cs="Times New Roman"/>
          <w:kern w:val="2"/>
          <w:szCs w:val="21"/>
        </w:rPr>
      </w:pPr>
      <w:r>
        <w:rPr>
          <w:rFonts w:ascii="Times New Roman" w:hAnsi="Times New Roman" w:cs="Times New Roman"/>
          <w:kern w:val="2"/>
          <w:szCs w:val="21"/>
        </w:rPr>
        <w:t>1.乙方的责任期即本合同有效期。如因非乙方的责任造成进度的推迟或延误而超过约定的日期，双方应进一步约定相应延长合同有效期。</w:t>
      </w:r>
    </w:p>
    <w:p>
      <w:pPr>
        <w:widowControl w:val="0"/>
        <w:shd w:val="clear" w:color="auto" w:fill="auto"/>
        <w:tabs>
          <w:tab w:val="clear" w:pos="426"/>
        </w:tabs>
        <w:spacing w:line="240" w:lineRule="auto"/>
        <w:ind w:firstLine="420" w:firstLineChars="200"/>
        <w:rPr>
          <w:rFonts w:ascii="Times New Roman" w:hAnsi="Times New Roman" w:cs="Times New Roman"/>
          <w:kern w:val="2"/>
          <w:szCs w:val="21"/>
        </w:rPr>
      </w:pPr>
      <w:r>
        <w:rPr>
          <w:rFonts w:ascii="Times New Roman" w:hAnsi="Times New Roman" w:cs="Times New Roman"/>
          <w:kern w:val="2"/>
          <w:szCs w:val="21"/>
        </w:rPr>
        <w:t>2.乙方的责任期内，应当履行本合同中约定的义务，因乙方的单方过失造成的经济损失，应当向甲方进行赔偿。</w:t>
      </w:r>
    </w:p>
    <w:p>
      <w:pPr>
        <w:widowControl w:val="0"/>
        <w:shd w:val="clear" w:color="auto" w:fill="auto"/>
        <w:tabs>
          <w:tab w:val="clear" w:pos="426"/>
        </w:tabs>
        <w:spacing w:line="240" w:lineRule="auto"/>
        <w:ind w:firstLine="420" w:firstLineChars="200"/>
        <w:rPr>
          <w:rFonts w:ascii="Times New Roman" w:hAnsi="Times New Roman" w:cs="Times New Roman"/>
          <w:kern w:val="2"/>
          <w:szCs w:val="21"/>
        </w:rPr>
      </w:pPr>
      <w:r>
        <w:rPr>
          <w:rFonts w:ascii="Times New Roman" w:hAnsi="Times New Roman" w:cs="Times New Roman"/>
          <w:kern w:val="2"/>
          <w:szCs w:val="21"/>
        </w:rPr>
        <w:t>3.乙方对甲方或第三方所提出的问题不能及时核对或答复，导致合同不能全部或部分履行，乙方应承担责任。</w:t>
      </w:r>
    </w:p>
    <w:p>
      <w:pPr>
        <w:widowControl w:val="0"/>
        <w:shd w:val="clear" w:color="auto" w:fill="auto"/>
        <w:tabs>
          <w:tab w:val="clear" w:pos="426"/>
        </w:tabs>
        <w:spacing w:line="240" w:lineRule="auto"/>
        <w:ind w:firstLine="420" w:firstLineChars="200"/>
        <w:rPr>
          <w:rFonts w:ascii="Times New Roman" w:hAnsi="Times New Roman" w:cs="Times New Roman"/>
          <w:kern w:val="2"/>
          <w:szCs w:val="21"/>
        </w:rPr>
      </w:pPr>
      <w:r>
        <w:rPr>
          <w:rFonts w:ascii="Times New Roman" w:hAnsi="Times New Roman" w:cs="Times New Roman"/>
          <w:kern w:val="2"/>
          <w:szCs w:val="21"/>
        </w:rPr>
        <w:t>4.乙方向甲方提出赔偿要求不能成立时，则应补偿由于该赔偿或其他要求所导致甲方的各种费用的支出。</w:t>
      </w:r>
    </w:p>
    <w:p>
      <w:pPr>
        <w:widowControl w:val="0"/>
        <w:shd w:val="clear" w:color="auto" w:fill="auto"/>
        <w:tabs>
          <w:tab w:val="clear" w:pos="426"/>
        </w:tabs>
        <w:spacing w:line="240" w:lineRule="auto"/>
        <w:ind w:firstLine="420" w:firstLineChars="200"/>
        <w:rPr>
          <w:rFonts w:ascii="Times New Roman" w:hAnsi="Times New Roman" w:cs="Times New Roman"/>
          <w:kern w:val="2"/>
          <w:szCs w:val="21"/>
        </w:rPr>
      </w:pPr>
      <w:r>
        <w:rPr>
          <w:rFonts w:ascii="Times New Roman" w:hAnsi="Times New Roman" w:cs="Times New Roman"/>
          <w:kern w:val="2"/>
          <w:szCs w:val="21"/>
        </w:rPr>
        <w:t>5.……</w:t>
      </w:r>
    </w:p>
    <w:p>
      <w:pPr>
        <w:pStyle w:val="332"/>
      </w:pPr>
      <w:r>
        <w:t>保密要求</w:t>
      </w:r>
    </w:p>
    <w:p>
      <w:pPr>
        <w:widowControl w:val="0"/>
        <w:shd w:val="clear" w:color="auto" w:fill="auto"/>
        <w:tabs>
          <w:tab w:val="clear" w:pos="426"/>
        </w:tabs>
        <w:spacing w:line="240" w:lineRule="auto"/>
        <w:ind w:firstLine="420" w:firstLineChars="200"/>
        <w:rPr>
          <w:rFonts w:ascii="Times New Roman" w:hAnsi="Times New Roman" w:cs="Times New Roman"/>
          <w:kern w:val="2"/>
          <w:szCs w:val="21"/>
        </w:rPr>
      </w:pPr>
      <w:r>
        <w:rPr>
          <w:rFonts w:ascii="Times New Roman" w:hAnsi="Times New Roman" w:cs="Times New Roman"/>
          <w:kern w:val="2"/>
          <w:szCs w:val="21"/>
        </w:rPr>
        <w:t>1.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pPr>
        <w:widowControl w:val="0"/>
        <w:shd w:val="clear" w:color="auto" w:fill="auto"/>
        <w:tabs>
          <w:tab w:val="clear" w:pos="426"/>
        </w:tabs>
        <w:spacing w:line="240" w:lineRule="auto"/>
        <w:ind w:firstLine="420" w:firstLineChars="200"/>
        <w:rPr>
          <w:rFonts w:ascii="Times New Roman" w:hAnsi="Times New Roman" w:cs="Times New Roman"/>
          <w:kern w:val="2"/>
          <w:szCs w:val="21"/>
        </w:rPr>
      </w:pPr>
      <w:r>
        <w:rPr>
          <w:rFonts w:ascii="Times New Roman" w:hAnsi="Times New Roman" w:cs="Times New Roman"/>
          <w:kern w:val="2"/>
          <w:szCs w:val="21"/>
        </w:rPr>
        <w:t>2.乙方在履行合同过程中所获得或接触到的任何内部数据资料，未经甲方同意，不得向第三方透露。</w:t>
      </w:r>
    </w:p>
    <w:p>
      <w:pPr>
        <w:widowControl w:val="0"/>
        <w:shd w:val="clear" w:color="auto" w:fill="auto"/>
        <w:tabs>
          <w:tab w:val="clear" w:pos="426"/>
        </w:tabs>
        <w:spacing w:line="240" w:lineRule="auto"/>
        <w:ind w:firstLine="420" w:firstLineChars="200"/>
        <w:rPr>
          <w:rFonts w:ascii="Times New Roman" w:hAnsi="Times New Roman" w:cs="Times New Roman"/>
          <w:kern w:val="2"/>
          <w:szCs w:val="21"/>
        </w:rPr>
      </w:pPr>
      <w:r>
        <w:rPr>
          <w:rFonts w:ascii="Times New Roman" w:hAnsi="Times New Roman" w:cs="Times New Roman"/>
          <w:kern w:val="2"/>
          <w:szCs w:val="21"/>
        </w:rPr>
        <w:t>3.乙方实施项目的一切程序都应符合国家安全、保密的有关规定和标准。</w:t>
      </w:r>
    </w:p>
    <w:p>
      <w:pPr>
        <w:widowControl w:val="0"/>
        <w:shd w:val="clear" w:color="auto" w:fill="auto"/>
        <w:tabs>
          <w:tab w:val="clear" w:pos="426"/>
        </w:tabs>
        <w:spacing w:line="240" w:lineRule="auto"/>
        <w:ind w:firstLine="420" w:firstLineChars="200"/>
        <w:rPr>
          <w:rFonts w:ascii="Times New Roman" w:hAnsi="Times New Roman" w:cs="Times New Roman"/>
          <w:kern w:val="2"/>
          <w:szCs w:val="21"/>
        </w:rPr>
      </w:pPr>
      <w:r>
        <w:rPr>
          <w:rFonts w:ascii="Times New Roman" w:hAnsi="Times New Roman" w:cs="Times New Roman"/>
          <w:kern w:val="2"/>
          <w:szCs w:val="21"/>
        </w:rPr>
        <w:t>4.乙方参加项目的有关人员均需同甲方签订保密协议。</w:t>
      </w:r>
    </w:p>
    <w:p>
      <w:pPr>
        <w:widowControl w:val="0"/>
        <w:shd w:val="clear" w:color="auto" w:fill="auto"/>
        <w:tabs>
          <w:tab w:val="clear" w:pos="426"/>
        </w:tabs>
        <w:spacing w:line="240" w:lineRule="auto"/>
        <w:ind w:firstLine="420" w:firstLineChars="200"/>
        <w:rPr>
          <w:rFonts w:ascii="Times New Roman" w:hAnsi="Times New Roman" w:cs="Times New Roman"/>
          <w:kern w:val="2"/>
          <w:szCs w:val="21"/>
        </w:rPr>
      </w:pPr>
      <w:r>
        <w:rPr>
          <w:rFonts w:ascii="Times New Roman" w:hAnsi="Times New Roman" w:cs="Times New Roman"/>
          <w:kern w:val="2"/>
          <w:szCs w:val="21"/>
        </w:rPr>
        <w:t>5.……</w:t>
      </w:r>
    </w:p>
    <w:p>
      <w:pPr>
        <w:pStyle w:val="332"/>
        <w:rPr>
          <w:b w:val="0"/>
          <w:bCs w:val="0"/>
        </w:rPr>
      </w:pPr>
      <w:r>
        <w:t>验收条件</w:t>
      </w:r>
    </w:p>
    <w:p>
      <w:pPr>
        <w:widowControl w:val="0"/>
        <w:shd w:val="clear" w:color="auto" w:fill="auto"/>
        <w:tabs>
          <w:tab w:val="clear" w:pos="426"/>
        </w:tabs>
        <w:spacing w:line="240" w:lineRule="auto"/>
        <w:ind w:firstLine="420" w:firstLineChars="200"/>
        <w:rPr>
          <w:rFonts w:ascii="Times New Roman" w:hAnsi="Times New Roman" w:cs="Times New Roman"/>
          <w:kern w:val="2"/>
          <w:szCs w:val="21"/>
        </w:rPr>
      </w:pPr>
      <w:r>
        <w:rPr>
          <w:rFonts w:ascii="Times New Roman" w:hAnsi="Times New Roman" w:cs="Times New Roman"/>
          <w:kern w:val="2"/>
          <w:szCs w:val="21"/>
        </w:rPr>
        <w:t>1.下列文件的验收分为</w:t>
      </w:r>
      <w:r>
        <w:rPr>
          <w:rFonts w:ascii="Times New Roman" w:hAnsi="Times New Roman" w:cs="Times New Roman"/>
          <w:kern w:val="2"/>
          <w:szCs w:val="21"/>
          <w:u w:val="single"/>
        </w:rPr>
        <w:t>__________</w:t>
      </w:r>
      <w:r>
        <w:rPr>
          <w:rFonts w:ascii="Times New Roman" w:hAnsi="Times New Roman" w:cs="Times New Roman"/>
          <w:kern w:val="2"/>
          <w:szCs w:val="21"/>
        </w:rPr>
        <w:t>共</w:t>
      </w:r>
      <w:r>
        <w:rPr>
          <w:rFonts w:ascii="Times New Roman" w:hAnsi="Times New Roman" w:cs="Times New Roman"/>
          <w:kern w:val="2"/>
          <w:szCs w:val="21"/>
          <w:u w:val="single"/>
        </w:rPr>
        <w:t>____</w:t>
      </w:r>
      <w:r>
        <w:rPr>
          <w:rFonts w:ascii="Times New Roman" w:hAnsi="Times New Roman" w:cs="Times New Roman"/>
          <w:kern w:val="2"/>
          <w:szCs w:val="21"/>
        </w:rPr>
        <w:t>个阶段：</w:t>
      </w:r>
    </w:p>
    <w:p>
      <w:pPr>
        <w:widowControl w:val="0"/>
        <w:shd w:val="clear" w:color="auto" w:fill="auto"/>
        <w:tabs>
          <w:tab w:val="clear" w:pos="426"/>
        </w:tabs>
        <w:spacing w:line="240" w:lineRule="auto"/>
        <w:ind w:firstLine="420" w:firstLineChars="200"/>
        <w:rPr>
          <w:rFonts w:ascii="Times New Roman" w:hAnsi="Times New Roman" w:cs="Times New Roman"/>
          <w:kern w:val="2"/>
          <w:szCs w:val="21"/>
        </w:rPr>
      </w:pPr>
      <w:r>
        <w:rPr>
          <w:rFonts w:ascii="Times New Roman" w:hAnsi="Times New Roman" w:cs="Times New Roman"/>
          <w:kern w:val="2"/>
          <w:szCs w:val="21"/>
        </w:rPr>
        <w:t>2.其余文件和工作由用户组织有关技术人员根据国家和行业有关规范、规程、标准和用户需求直接验收。</w:t>
      </w:r>
    </w:p>
    <w:p>
      <w:pPr>
        <w:widowControl w:val="0"/>
        <w:shd w:val="clear" w:color="auto" w:fill="auto"/>
        <w:tabs>
          <w:tab w:val="clear" w:pos="426"/>
        </w:tabs>
        <w:spacing w:line="240" w:lineRule="auto"/>
        <w:ind w:firstLine="420" w:firstLineChars="200"/>
        <w:rPr>
          <w:rFonts w:ascii="Times New Roman" w:hAnsi="Times New Roman" w:cs="Times New Roman"/>
          <w:kern w:val="2"/>
          <w:szCs w:val="21"/>
        </w:rPr>
      </w:pPr>
      <w:r>
        <w:rPr>
          <w:rFonts w:ascii="Times New Roman" w:hAnsi="Times New Roman" w:cs="Times New Roman"/>
          <w:kern w:val="2"/>
          <w:szCs w:val="21"/>
        </w:rPr>
        <w:t>3.验收依据为</w:t>
      </w:r>
      <w:r>
        <w:rPr>
          <w:rFonts w:ascii="Times New Roman" w:hAnsi="Times New Roman" w:cs="Times New Roman"/>
          <w:kern w:val="2"/>
          <w:szCs w:val="21"/>
          <w:u w:val="single"/>
        </w:rPr>
        <w:t>______</w:t>
      </w:r>
      <w:r>
        <w:rPr>
          <w:rFonts w:ascii="Times New Roman" w:hAnsi="Times New Roman" w:cs="Times New Roman"/>
          <w:kern w:val="2"/>
          <w:szCs w:val="21"/>
        </w:rPr>
        <w:t>项目招标文件、乙方投标文件，国家和行业有关规范、规程和标准。</w:t>
      </w:r>
    </w:p>
    <w:p>
      <w:pPr>
        <w:widowControl w:val="0"/>
        <w:shd w:val="clear" w:color="auto" w:fill="auto"/>
        <w:tabs>
          <w:tab w:val="clear" w:pos="426"/>
        </w:tabs>
        <w:spacing w:line="240" w:lineRule="auto"/>
        <w:ind w:firstLine="420" w:firstLineChars="200"/>
        <w:rPr>
          <w:rFonts w:ascii="Times New Roman" w:hAnsi="Times New Roman" w:cs="Times New Roman"/>
          <w:kern w:val="2"/>
          <w:szCs w:val="21"/>
        </w:rPr>
      </w:pPr>
      <w:r>
        <w:rPr>
          <w:rFonts w:ascii="Times New Roman" w:hAnsi="Times New Roman" w:cs="Times New Roman"/>
          <w:kern w:val="2"/>
          <w:szCs w:val="21"/>
        </w:rPr>
        <w:t>4.……</w:t>
      </w:r>
    </w:p>
    <w:p>
      <w:pPr>
        <w:pStyle w:val="332"/>
        <w:rPr>
          <w:b w:val="0"/>
          <w:bCs w:val="0"/>
        </w:rPr>
      </w:pPr>
      <w:r>
        <w:t>付款期限、方式</w:t>
      </w:r>
    </w:p>
    <w:p>
      <w:pPr>
        <w:widowControl w:val="0"/>
        <w:shd w:val="clear" w:color="auto" w:fill="auto"/>
        <w:tabs>
          <w:tab w:val="clear" w:pos="426"/>
        </w:tabs>
        <w:spacing w:line="240" w:lineRule="auto"/>
        <w:ind w:firstLine="420" w:firstLineChars="200"/>
        <w:rPr>
          <w:rFonts w:ascii="Times New Roman" w:hAnsi="Times New Roman" w:cs="Times New Roman"/>
          <w:kern w:val="2"/>
          <w:szCs w:val="21"/>
        </w:rPr>
      </w:pPr>
      <w:r>
        <w:rPr>
          <w:rFonts w:ascii="Times New Roman" w:hAnsi="Times New Roman" w:cs="Times New Roman"/>
          <w:kern w:val="2"/>
          <w:szCs w:val="21"/>
        </w:rPr>
        <w:t>1.合同签订后</w:t>
      </w:r>
      <w:r>
        <w:rPr>
          <w:rFonts w:ascii="Times New Roman" w:hAnsi="Times New Roman" w:cs="Times New Roman"/>
          <w:kern w:val="2"/>
          <w:szCs w:val="21"/>
          <w:u w:val="single"/>
        </w:rPr>
        <w:t>_____</w:t>
      </w:r>
      <w:r>
        <w:rPr>
          <w:rFonts w:ascii="Times New Roman" w:hAnsi="Times New Roman" w:cs="Times New Roman"/>
          <w:kern w:val="2"/>
          <w:szCs w:val="21"/>
        </w:rPr>
        <w:t>天内，甲方向乙方支付合同总价</w:t>
      </w:r>
      <w:r>
        <w:rPr>
          <w:rFonts w:ascii="Times New Roman" w:hAnsi="Times New Roman" w:cs="Times New Roman"/>
          <w:kern w:val="2"/>
          <w:szCs w:val="21"/>
          <w:u w:val="single"/>
        </w:rPr>
        <w:t>____</w:t>
      </w:r>
      <w:r>
        <w:rPr>
          <w:rFonts w:ascii="Times New Roman" w:hAnsi="Times New Roman" w:cs="Times New Roman"/>
          <w:kern w:val="2"/>
          <w:szCs w:val="21"/>
        </w:rPr>
        <w:t>%的款项。</w:t>
      </w:r>
    </w:p>
    <w:p>
      <w:pPr>
        <w:widowControl w:val="0"/>
        <w:shd w:val="clear" w:color="auto" w:fill="auto"/>
        <w:tabs>
          <w:tab w:val="clear" w:pos="426"/>
        </w:tabs>
        <w:spacing w:line="240" w:lineRule="auto"/>
        <w:ind w:firstLine="420" w:firstLineChars="200"/>
        <w:rPr>
          <w:rFonts w:ascii="Times New Roman" w:hAnsi="Times New Roman" w:cs="Times New Roman"/>
          <w:kern w:val="2"/>
          <w:szCs w:val="21"/>
        </w:rPr>
      </w:pPr>
      <w:r>
        <w:rPr>
          <w:rFonts w:ascii="Times New Roman" w:hAnsi="Times New Roman" w:cs="Times New Roman"/>
          <w:kern w:val="2"/>
          <w:szCs w:val="21"/>
        </w:rPr>
        <w:t>2.完成</w:t>
      </w:r>
      <w:r>
        <w:rPr>
          <w:rFonts w:ascii="Times New Roman" w:hAnsi="Times New Roman" w:cs="Times New Roman"/>
          <w:kern w:val="2"/>
          <w:szCs w:val="21"/>
          <w:u w:val="single"/>
        </w:rPr>
        <w:t>____</w:t>
      </w:r>
      <w:r>
        <w:rPr>
          <w:rFonts w:ascii="Times New Roman" w:hAnsi="Times New Roman" w:cs="Times New Roman"/>
          <w:kern w:val="2"/>
          <w:szCs w:val="21"/>
        </w:rPr>
        <w:t>并提交</w:t>
      </w:r>
      <w:r>
        <w:rPr>
          <w:rFonts w:ascii="Times New Roman" w:hAnsi="Times New Roman" w:cs="Times New Roman"/>
          <w:kern w:val="2"/>
          <w:szCs w:val="21"/>
          <w:u w:val="single"/>
        </w:rPr>
        <w:t>____</w:t>
      </w:r>
      <w:r>
        <w:rPr>
          <w:rFonts w:ascii="Times New Roman" w:hAnsi="Times New Roman" w:cs="Times New Roman"/>
          <w:kern w:val="2"/>
          <w:szCs w:val="21"/>
        </w:rPr>
        <w:t>后，甲方向乙方支付合同总价</w:t>
      </w:r>
      <w:r>
        <w:rPr>
          <w:rFonts w:ascii="Times New Roman" w:hAnsi="Times New Roman" w:cs="Times New Roman"/>
          <w:kern w:val="2"/>
          <w:szCs w:val="21"/>
          <w:u w:val="single"/>
        </w:rPr>
        <w:t>____</w:t>
      </w:r>
      <w:r>
        <w:rPr>
          <w:rFonts w:ascii="Times New Roman" w:hAnsi="Times New Roman" w:cs="Times New Roman"/>
          <w:kern w:val="2"/>
          <w:szCs w:val="21"/>
        </w:rPr>
        <w:t>%的款项。</w:t>
      </w:r>
    </w:p>
    <w:p>
      <w:pPr>
        <w:widowControl w:val="0"/>
        <w:shd w:val="clear" w:color="auto" w:fill="auto"/>
        <w:tabs>
          <w:tab w:val="clear" w:pos="426"/>
        </w:tabs>
        <w:spacing w:line="240" w:lineRule="auto"/>
        <w:ind w:firstLine="420" w:firstLineChars="200"/>
        <w:rPr>
          <w:rFonts w:ascii="Times New Roman" w:hAnsi="Times New Roman" w:cs="Times New Roman"/>
          <w:kern w:val="2"/>
          <w:szCs w:val="21"/>
        </w:rPr>
      </w:pPr>
      <w:r>
        <w:rPr>
          <w:rFonts w:ascii="Times New Roman" w:hAnsi="Times New Roman" w:cs="Times New Roman"/>
          <w:kern w:val="2"/>
          <w:szCs w:val="21"/>
        </w:rPr>
        <w:t>3.</w:t>
      </w:r>
      <w:r>
        <w:rPr>
          <w:rFonts w:ascii="Times New Roman" w:hAnsi="Times New Roman" w:cs="Times New Roman"/>
          <w:kern w:val="2"/>
          <w:szCs w:val="21"/>
          <w:u w:val="single"/>
        </w:rPr>
        <w:t>____</w:t>
      </w:r>
      <w:r>
        <w:rPr>
          <w:rFonts w:ascii="Times New Roman" w:hAnsi="Times New Roman" w:cs="Times New Roman"/>
          <w:kern w:val="2"/>
          <w:szCs w:val="21"/>
        </w:rPr>
        <w:t>通过专家评审后，甲方向乙方支付合同总价</w:t>
      </w:r>
      <w:r>
        <w:rPr>
          <w:rFonts w:ascii="Times New Roman" w:hAnsi="Times New Roman" w:cs="Times New Roman"/>
          <w:kern w:val="2"/>
          <w:szCs w:val="21"/>
          <w:u w:val="single"/>
        </w:rPr>
        <w:t>____</w:t>
      </w:r>
      <w:r>
        <w:rPr>
          <w:rFonts w:ascii="Times New Roman" w:hAnsi="Times New Roman" w:cs="Times New Roman"/>
          <w:kern w:val="2"/>
          <w:szCs w:val="21"/>
        </w:rPr>
        <w:t>%的款项。</w:t>
      </w:r>
    </w:p>
    <w:p>
      <w:pPr>
        <w:widowControl w:val="0"/>
        <w:shd w:val="clear" w:color="auto" w:fill="auto"/>
        <w:tabs>
          <w:tab w:val="clear" w:pos="426"/>
        </w:tabs>
        <w:spacing w:line="240" w:lineRule="auto"/>
        <w:ind w:firstLine="420" w:firstLineChars="200"/>
        <w:rPr>
          <w:rFonts w:ascii="Times New Roman" w:hAnsi="Times New Roman" w:cs="Times New Roman"/>
          <w:kern w:val="2"/>
          <w:szCs w:val="21"/>
        </w:rPr>
      </w:pPr>
      <w:r>
        <w:rPr>
          <w:rFonts w:ascii="Times New Roman" w:hAnsi="Times New Roman" w:cs="Times New Roman"/>
          <w:kern w:val="2"/>
          <w:szCs w:val="21"/>
        </w:rPr>
        <w:t>4.……</w:t>
      </w:r>
    </w:p>
    <w:p>
      <w:pPr>
        <w:pStyle w:val="332"/>
        <w:rPr>
          <w:b w:val="0"/>
          <w:bCs w:val="0"/>
        </w:rPr>
      </w:pPr>
      <w:r>
        <w:t>争议解决办法</w:t>
      </w:r>
    </w:p>
    <w:p>
      <w:pPr>
        <w:widowControl w:val="0"/>
        <w:shd w:val="clear" w:color="auto" w:fill="auto"/>
        <w:tabs>
          <w:tab w:val="clear" w:pos="426"/>
        </w:tabs>
        <w:spacing w:line="240" w:lineRule="auto"/>
        <w:ind w:firstLine="420" w:firstLineChars="200"/>
        <w:rPr>
          <w:rFonts w:ascii="Times New Roman" w:hAnsi="Times New Roman" w:cs="Times New Roman"/>
          <w:kern w:val="2"/>
          <w:szCs w:val="21"/>
        </w:rPr>
      </w:pPr>
      <w:bookmarkStart w:id="30" w:name="_Hlk57737700"/>
      <w:r>
        <w:rPr>
          <w:rFonts w:ascii="Times New Roman" w:hAnsi="Times New Roman" w:cs="Times New Roman"/>
          <w:kern w:val="2"/>
          <w:szCs w:val="21"/>
        </w:rPr>
        <w:t>1.在执行本合同中所发生的或与本合同有关的一切争执，首先应由甲方和乙方友好协商解决。</w:t>
      </w:r>
    </w:p>
    <w:p>
      <w:pPr>
        <w:widowControl w:val="0"/>
        <w:shd w:val="clear" w:color="auto" w:fill="auto"/>
        <w:tabs>
          <w:tab w:val="clear" w:pos="426"/>
        </w:tabs>
        <w:spacing w:line="240" w:lineRule="auto"/>
        <w:ind w:firstLine="420" w:firstLineChars="200"/>
        <w:rPr>
          <w:rFonts w:ascii="Times New Roman" w:hAnsi="Times New Roman" w:cs="Times New Roman"/>
          <w:kern w:val="2"/>
          <w:szCs w:val="21"/>
        </w:rPr>
      </w:pPr>
      <w:r>
        <w:rPr>
          <w:rFonts w:ascii="Times New Roman" w:hAnsi="Times New Roman" w:cs="Times New Roman"/>
          <w:kern w:val="2"/>
          <w:szCs w:val="21"/>
        </w:rPr>
        <w:t>2.如协商不成，双方均有权向甲方所在地人民法院进行诉讼。</w:t>
      </w:r>
    </w:p>
    <w:p>
      <w:pPr>
        <w:widowControl w:val="0"/>
        <w:shd w:val="clear" w:color="auto" w:fill="auto"/>
        <w:tabs>
          <w:tab w:val="clear" w:pos="426"/>
        </w:tabs>
        <w:spacing w:line="240" w:lineRule="auto"/>
        <w:ind w:firstLine="420" w:firstLineChars="200"/>
        <w:rPr>
          <w:rFonts w:ascii="Times New Roman" w:hAnsi="Times New Roman" w:cs="Times New Roman"/>
          <w:kern w:val="2"/>
          <w:szCs w:val="21"/>
        </w:rPr>
      </w:pPr>
      <w:r>
        <w:rPr>
          <w:rFonts w:ascii="Times New Roman" w:hAnsi="Times New Roman" w:cs="Times New Roman"/>
          <w:kern w:val="2"/>
          <w:szCs w:val="21"/>
        </w:rPr>
        <w:t>3.……</w:t>
      </w:r>
    </w:p>
    <w:bookmarkEnd w:id="30"/>
    <w:p>
      <w:pPr>
        <w:pStyle w:val="332"/>
        <w:rPr>
          <w:b w:val="0"/>
          <w:bCs w:val="0"/>
        </w:rPr>
      </w:pPr>
      <w:r>
        <w:t>风险责任</w:t>
      </w:r>
    </w:p>
    <w:p>
      <w:pPr>
        <w:widowControl w:val="0"/>
        <w:shd w:val="clear" w:color="auto" w:fill="auto"/>
        <w:tabs>
          <w:tab w:val="clear" w:pos="426"/>
        </w:tabs>
        <w:spacing w:line="240" w:lineRule="auto"/>
        <w:ind w:firstLine="420" w:firstLineChars="200"/>
        <w:rPr>
          <w:rFonts w:ascii="Times New Roman" w:hAnsi="Times New Roman" w:cs="Times New Roman"/>
          <w:kern w:val="2"/>
          <w:szCs w:val="21"/>
        </w:rPr>
      </w:pPr>
      <w:r>
        <w:rPr>
          <w:rFonts w:ascii="Times New Roman" w:hAnsi="Times New Roman" w:cs="Times New Roman"/>
          <w:kern w:val="2"/>
          <w:szCs w:val="21"/>
        </w:rPr>
        <w:t>1.乙方应完全地按照</w:t>
      </w:r>
      <w:r>
        <w:rPr>
          <w:rFonts w:ascii="Times New Roman" w:hAnsi="Times New Roman" w:cs="Times New Roman"/>
          <w:kern w:val="2"/>
          <w:szCs w:val="21"/>
          <w:u w:val="single"/>
        </w:rPr>
        <w:t>______</w:t>
      </w:r>
      <w:r>
        <w:rPr>
          <w:rFonts w:ascii="Times New Roman" w:hAnsi="Times New Roman" w:cs="Times New Roman"/>
          <w:kern w:val="2"/>
          <w:szCs w:val="21"/>
        </w:rPr>
        <w:t>项目招标文件的要求和乙方投标文件的承诺完成本项目，出于自身财务、技术、人力等原因导致项目失败的，应承担全部责任。</w:t>
      </w:r>
    </w:p>
    <w:p>
      <w:pPr>
        <w:widowControl w:val="0"/>
        <w:shd w:val="clear" w:color="auto" w:fill="auto"/>
        <w:tabs>
          <w:tab w:val="clear" w:pos="426"/>
        </w:tabs>
        <w:spacing w:line="240" w:lineRule="auto"/>
        <w:ind w:firstLine="420" w:firstLineChars="200"/>
        <w:rPr>
          <w:rFonts w:ascii="Times New Roman" w:hAnsi="Times New Roman" w:cs="Times New Roman"/>
          <w:kern w:val="2"/>
          <w:szCs w:val="21"/>
        </w:rPr>
      </w:pPr>
      <w:r>
        <w:rPr>
          <w:rFonts w:ascii="Times New Roman" w:hAnsi="Times New Roman" w:cs="Times New Roman"/>
          <w:kern w:val="2"/>
          <w:szCs w:val="21"/>
        </w:rPr>
        <w:t>2.乙方在本项目服务履约过程中应对自身的安全生产负责，若由乙方原因发生的各种事故甲方不承担任何责任。</w:t>
      </w:r>
    </w:p>
    <w:p>
      <w:pPr>
        <w:widowControl w:val="0"/>
        <w:shd w:val="clear" w:color="auto" w:fill="auto"/>
        <w:tabs>
          <w:tab w:val="clear" w:pos="426"/>
        </w:tabs>
        <w:spacing w:line="240" w:lineRule="auto"/>
        <w:ind w:firstLine="420" w:firstLineChars="200"/>
        <w:rPr>
          <w:rFonts w:ascii="Times New Roman" w:hAnsi="Times New Roman" w:cs="Times New Roman"/>
          <w:kern w:val="2"/>
          <w:szCs w:val="21"/>
        </w:rPr>
      </w:pPr>
      <w:r>
        <w:rPr>
          <w:rFonts w:ascii="Times New Roman" w:hAnsi="Times New Roman" w:cs="Times New Roman"/>
          <w:kern w:val="2"/>
          <w:szCs w:val="21"/>
        </w:rPr>
        <w:t>3.……</w:t>
      </w:r>
    </w:p>
    <w:p>
      <w:pPr>
        <w:pStyle w:val="332"/>
        <w:rPr>
          <w:b w:val="0"/>
          <w:bCs w:val="0"/>
        </w:rPr>
      </w:pPr>
      <w:r>
        <w:t>违约责任</w:t>
      </w:r>
    </w:p>
    <w:p>
      <w:pPr>
        <w:widowControl w:val="0"/>
        <w:shd w:val="clear" w:color="auto" w:fill="auto"/>
        <w:tabs>
          <w:tab w:val="clear" w:pos="426"/>
        </w:tabs>
        <w:spacing w:line="240" w:lineRule="auto"/>
        <w:ind w:firstLine="420" w:firstLineChars="200"/>
        <w:rPr>
          <w:rFonts w:ascii="Times New Roman" w:hAnsi="Times New Roman" w:cs="Times New Roman"/>
          <w:kern w:val="2"/>
          <w:szCs w:val="21"/>
        </w:rPr>
      </w:pPr>
      <w:r>
        <w:rPr>
          <w:rFonts w:ascii="Times New Roman" w:hAnsi="Times New Roman" w:cs="Times New Roman"/>
          <w:kern w:val="2"/>
          <w:szCs w:val="21"/>
        </w:rPr>
        <w:t>1.因乙方原因，未能按规定时间完成有关工作的，每延误一天，甲方可在支付合同余款中扣除合同价款千分之</w:t>
      </w:r>
      <w:r>
        <w:rPr>
          <w:rFonts w:ascii="Times New Roman" w:hAnsi="Times New Roman" w:cs="Times New Roman"/>
          <w:kern w:val="2"/>
          <w:szCs w:val="21"/>
          <w:u w:val="single"/>
        </w:rPr>
        <w:t>____</w:t>
      </w:r>
      <w:r>
        <w:rPr>
          <w:rFonts w:ascii="Times New Roman" w:hAnsi="Times New Roman" w:cs="Times New Roman"/>
          <w:kern w:val="2"/>
          <w:szCs w:val="21"/>
        </w:rPr>
        <w:t>。</w:t>
      </w:r>
    </w:p>
    <w:p>
      <w:pPr>
        <w:widowControl w:val="0"/>
        <w:shd w:val="clear" w:color="auto" w:fill="auto"/>
        <w:tabs>
          <w:tab w:val="clear" w:pos="426"/>
        </w:tabs>
        <w:spacing w:line="240" w:lineRule="auto"/>
        <w:ind w:firstLine="420" w:firstLineChars="200"/>
        <w:rPr>
          <w:rFonts w:ascii="Times New Roman" w:hAnsi="Times New Roman" w:cs="Times New Roman"/>
          <w:kern w:val="2"/>
          <w:szCs w:val="21"/>
        </w:rPr>
      </w:pPr>
      <w:r>
        <w:rPr>
          <w:rFonts w:ascii="Times New Roman" w:hAnsi="Times New Roman" w:cs="Times New Roman"/>
          <w:kern w:val="2"/>
          <w:szCs w:val="21"/>
        </w:rPr>
        <w:t>2.由于乙方原因造成服务效果质量低劣，不能满足要求时，应继续完善服务成果，其费用由乙方承担。</w:t>
      </w:r>
    </w:p>
    <w:p>
      <w:pPr>
        <w:widowControl w:val="0"/>
        <w:shd w:val="clear" w:color="auto" w:fill="auto"/>
        <w:tabs>
          <w:tab w:val="clear" w:pos="426"/>
        </w:tabs>
        <w:spacing w:line="240" w:lineRule="auto"/>
        <w:ind w:firstLine="420" w:firstLineChars="200"/>
        <w:rPr>
          <w:rFonts w:ascii="Times New Roman" w:hAnsi="Times New Roman" w:cs="Times New Roman"/>
          <w:kern w:val="2"/>
          <w:szCs w:val="21"/>
        </w:rPr>
      </w:pPr>
      <w:r>
        <w:rPr>
          <w:rFonts w:ascii="Times New Roman" w:hAnsi="Times New Roman" w:cs="Times New Roman"/>
          <w:kern w:val="2"/>
          <w:szCs w:val="21"/>
        </w:rPr>
        <w:t>3.如乙方提供的服务成果文件不符合质量要求，必须在甲方提出要求后7天内无条件修改，其费用由乙方承担。</w:t>
      </w:r>
    </w:p>
    <w:p>
      <w:pPr>
        <w:widowControl w:val="0"/>
        <w:shd w:val="clear" w:color="auto" w:fill="auto"/>
        <w:tabs>
          <w:tab w:val="clear" w:pos="426"/>
        </w:tabs>
        <w:spacing w:line="240" w:lineRule="auto"/>
        <w:ind w:firstLine="420" w:firstLineChars="200"/>
        <w:rPr>
          <w:rFonts w:ascii="Times New Roman" w:hAnsi="Times New Roman" w:cs="Times New Roman"/>
          <w:kern w:val="2"/>
          <w:szCs w:val="21"/>
        </w:rPr>
      </w:pPr>
      <w:r>
        <w:rPr>
          <w:rFonts w:ascii="Times New Roman" w:hAnsi="Times New Roman" w:cs="Times New Roman"/>
          <w:kern w:val="2"/>
          <w:szCs w:val="21"/>
        </w:rPr>
        <w:t>4.若甲方发现乙方派出的服务人员或提供的设备不符合合同要求，乙方应在3天之内按要求派出人员或提供满足投标文件承诺的仪器设备，否则甲方有权终止合同，并保留追究乙方责任及要求赔偿损失的权利。</w:t>
      </w:r>
    </w:p>
    <w:p>
      <w:pPr>
        <w:widowControl w:val="0"/>
        <w:shd w:val="clear" w:color="auto" w:fill="auto"/>
        <w:tabs>
          <w:tab w:val="clear" w:pos="426"/>
        </w:tabs>
        <w:spacing w:line="240" w:lineRule="auto"/>
        <w:ind w:firstLine="420" w:firstLineChars="200"/>
        <w:rPr>
          <w:rFonts w:ascii="Times New Roman" w:hAnsi="Times New Roman" w:cs="Times New Roman"/>
          <w:kern w:val="2"/>
          <w:szCs w:val="21"/>
        </w:rPr>
      </w:pPr>
      <w:r>
        <w:rPr>
          <w:rFonts w:ascii="Times New Roman" w:hAnsi="Times New Roman" w:cs="Times New Roman"/>
          <w:kern w:val="2"/>
          <w:szCs w:val="21"/>
        </w:rPr>
        <w:t>5.……</w:t>
      </w:r>
    </w:p>
    <w:p>
      <w:pPr>
        <w:pStyle w:val="332"/>
      </w:pPr>
      <w:r>
        <w:t>其他</w:t>
      </w:r>
    </w:p>
    <w:p>
      <w:pPr>
        <w:widowControl w:val="0"/>
        <w:shd w:val="clear" w:color="auto" w:fill="auto"/>
        <w:tabs>
          <w:tab w:val="clear" w:pos="426"/>
        </w:tabs>
        <w:spacing w:line="240" w:lineRule="auto"/>
        <w:ind w:firstLine="420" w:firstLineChars="200"/>
        <w:rPr>
          <w:rFonts w:ascii="Times New Roman" w:hAnsi="Times New Roman" w:cs="Times New Roman"/>
          <w:kern w:val="2"/>
          <w:szCs w:val="21"/>
        </w:rPr>
      </w:pPr>
      <w:r>
        <w:rPr>
          <w:rFonts w:ascii="Times New Roman" w:hAnsi="Times New Roman" w:cs="Times New Roman"/>
          <w:kern w:val="2"/>
          <w:szCs w:val="21"/>
        </w:rPr>
        <w:t>1.本合同与</w:t>
      </w:r>
      <w:r>
        <w:rPr>
          <w:rFonts w:ascii="Times New Roman" w:hAnsi="Times New Roman" w:cs="Times New Roman"/>
          <w:kern w:val="2"/>
          <w:szCs w:val="21"/>
          <w:u w:val="single"/>
        </w:rPr>
        <w:t>________</w:t>
      </w:r>
      <w:r>
        <w:rPr>
          <w:rFonts w:ascii="Times New Roman" w:hAnsi="Times New Roman" w:cs="Times New Roman"/>
          <w:kern w:val="2"/>
          <w:szCs w:val="21"/>
        </w:rPr>
        <w:t>项目招标文件、乙方投标文件如有抵触之处，以本合同条款为准。</w:t>
      </w:r>
    </w:p>
    <w:p>
      <w:pPr>
        <w:widowControl w:val="0"/>
        <w:shd w:val="clear" w:color="auto" w:fill="auto"/>
        <w:tabs>
          <w:tab w:val="clear" w:pos="426"/>
        </w:tabs>
        <w:spacing w:line="240" w:lineRule="auto"/>
        <w:ind w:firstLine="420" w:firstLineChars="200"/>
        <w:rPr>
          <w:rFonts w:ascii="Times New Roman" w:hAnsi="Times New Roman" w:cs="Times New Roman"/>
          <w:kern w:val="2"/>
          <w:szCs w:val="21"/>
        </w:rPr>
      </w:pPr>
      <w:r>
        <w:rPr>
          <w:rFonts w:ascii="Times New Roman" w:hAnsi="Times New Roman" w:cs="Times New Roman"/>
          <w:kern w:val="2"/>
          <w:szCs w:val="21"/>
        </w:rPr>
        <w:t>2.下列文件均为本合同的组成部分：</w:t>
      </w:r>
    </w:p>
    <w:p>
      <w:pPr>
        <w:widowControl w:val="0"/>
        <w:shd w:val="clear" w:color="auto" w:fill="auto"/>
        <w:tabs>
          <w:tab w:val="clear" w:pos="426"/>
        </w:tabs>
        <w:spacing w:line="240" w:lineRule="auto"/>
        <w:ind w:firstLine="420" w:firstLineChars="200"/>
        <w:rPr>
          <w:rFonts w:ascii="Times New Roman" w:hAnsi="Times New Roman" w:cs="Times New Roman"/>
          <w:kern w:val="2"/>
          <w:szCs w:val="21"/>
        </w:rPr>
      </w:pPr>
      <w:r>
        <w:rPr>
          <w:rFonts w:ascii="Times New Roman" w:hAnsi="Times New Roman" w:cs="Times New Roman"/>
          <w:kern w:val="2"/>
          <w:szCs w:val="21"/>
        </w:rPr>
        <w:t>（1）</w:t>
      </w:r>
      <w:r>
        <w:rPr>
          <w:rFonts w:ascii="Times New Roman" w:hAnsi="Times New Roman" w:cs="Times New Roman"/>
          <w:kern w:val="2"/>
          <w:szCs w:val="21"/>
          <w:u w:val="single"/>
        </w:rPr>
        <w:t>_________</w:t>
      </w:r>
      <w:r>
        <w:rPr>
          <w:rFonts w:ascii="Times New Roman" w:hAnsi="Times New Roman" w:cs="Times New Roman"/>
          <w:kern w:val="2"/>
          <w:szCs w:val="21"/>
        </w:rPr>
        <w:t>项目招标文件、答疑及补充通知；</w:t>
      </w:r>
    </w:p>
    <w:p>
      <w:pPr>
        <w:widowControl w:val="0"/>
        <w:shd w:val="clear" w:color="auto" w:fill="auto"/>
        <w:tabs>
          <w:tab w:val="clear" w:pos="426"/>
        </w:tabs>
        <w:spacing w:line="240" w:lineRule="auto"/>
        <w:ind w:firstLine="420" w:firstLineChars="200"/>
        <w:rPr>
          <w:rFonts w:ascii="Times New Roman" w:hAnsi="Times New Roman" w:cs="Times New Roman"/>
          <w:kern w:val="2"/>
          <w:szCs w:val="21"/>
        </w:rPr>
      </w:pPr>
      <w:r>
        <w:rPr>
          <w:rFonts w:ascii="Times New Roman" w:hAnsi="Times New Roman" w:cs="Times New Roman"/>
          <w:kern w:val="2"/>
          <w:szCs w:val="21"/>
        </w:rPr>
        <w:t>（2）投标文件；</w:t>
      </w:r>
    </w:p>
    <w:p>
      <w:pPr>
        <w:widowControl w:val="0"/>
        <w:shd w:val="clear" w:color="auto" w:fill="auto"/>
        <w:tabs>
          <w:tab w:val="clear" w:pos="426"/>
        </w:tabs>
        <w:spacing w:line="240" w:lineRule="auto"/>
        <w:ind w:firstLine="420" w:firstLineChars="200"/>
        <w:rPr>
          <w:rFonts w:ascii="Times New Roman" w:hAnsi="Times New Roman" w:cs="Times New Roman"/>
          <w:kern w:val="2"/>
          <w:szCs w:val="21"/>
        </w:rPr>
      </w:pPr>
      <w:r>
        <w:rPr>
          <w:rFonts w:ascii="Times New Roman" w:hAnsi="Times New Roman" w:cs="Times New Roman"/>
          <w:kern w:val="2"/>
          <w:szCs w:val="21"/>
        </w:rPr>
        <w:t>（3）本合同执行中共同签署的补充与修正文件。</w:t>
      </w:r>
    </w:p>
    <w:p>
      <w:pPr>
        <w:widowControl w:val="0"/>
        <w:shd w:val="clear" w:color="auto" w:fill="auto"/>
        <w:tabs>
          <w:tab w:val="clear" w:pos="426"/>
        </w:tabs>
        <w:spacing w:line="240" w:lineRule="auto"/>
        <w:ind w:firstLine="420" w:firstLineChars="200"/>
        <w:rPr>
          <w:rFonts w:ascii="Times New Roman" w:hAnsi="Times New Roman" w:cs="Times New Roman"/>
          <w:kern w:val="2"/>
          <w:szCs w:val="21"/>
        </w:rPr>
      </w:pPr>
      <w:r>
        <w:rPr>
          <w:rFonts w:ascii="Times New Roman" w:hAnsi="Times New Roman" w:cs="Times New Roman"/>
          <w:kern w:val="2"/>
          <w:szCs w:val="21"/>
        </w:rPr>
        <w:t>本合同一式</w:t>
      </w:r>
      <w:r>
        <w:rPr>
          <w:rFonts w:ascii="Times New Roman" w:hAnsi="Times New Roman" w:cs="Times New Roman"/>
          <w:kern w:val="2"/>
          <w:szCs w:val="21"/>
          <w:u w:val="single"/>
        </w:rPr>
        <w:t>_____</w:t>
      </w:r>
      <w:r>
        <w:rPr>
          <w:rFonts w:ascii="Times New Roman" w:hAnsi="Times New Roman" w:cs="Times New Roman"/>
          <w:kern w:val="2"/>
          <w:szCs w:val="21"/>
        </w:rPr>
        <w:t>份，甲、乙方双方各执</w:t>
      </w:r>
      <w:r>
        <w:rPr>
          <w:rFonts w:ascii="Times New Roman" w:hAnsi="Times New Roman" w:cs="Times New Roman"/>
          <w:kern w:val="2"/>
          <w:szCs w:val="21"/>
          <w:u w:val="single"/>
        </w:rPr>
        <w:t>_____</w:t>
      </w:r>
      <w:r>
        <w:rPr>
          <w:rFonts w:ascii="Times New Roman" w:hAnsi="Times New Roman" w:cs="Times New Roman"/>
          <w:kern w:val="2"/>
          <w:szCs w:val="21"/>
        </w:rPr>
        <w:t>份，具有同等法律效力。本合同自双方法人代表签字（盖章）认可之日起生效。</w:t>
      </w:r>
    </w:p>
    <w:p>
      <w:pPr>
        <w:widowControl w:val="0"/>
        <w:shd w:val="clear" w:color="auto" w:fill="auto"/>
        <w:tabs>
          <w:tab w:val="clear" w:pos="426"/>
        </w:tabs>
        <w:spacing w:line="240" w:lineRule="auto"/>
        <w:ind w:firstLine="420" w:firstLineChars="200"/>
        <w:rPr>
          <w:rFonts w:ascii="Times New Roman" w:hAnsi="Times New Roman" w:cs="Times New Roman"/>
          <w:kern w:val="2"/>
          <w:szCs w:val="21"/>
        </w:rPr>
      </w:pPr>
      <w:r>
        <w:rPr>
          <w:rFonts w:ascii="Times New Roman" w:hAnsi="Times New Roman" w:cs="Times New Roman"/>
          <w:kern w:val="2"/>
          <w:szCs w:val="21"/>
        </w:rPr>
        <w:t>本合同未尽事宜，双方友好协商，达成解决方案，经双方签字后，可作为本合同的有效附件。</w:t>
      </w:r>
    </w:p>
    <w:p>
      <w:pPr>
        <w:widowControl w:val="0"/>
        <w:shd w:val="clear" w:color="auto" w:fill="auto"/>
        <w:tabs>
          <w:tab w:val="clear" w:pos="426"/>
        </w:tabs>
        <w:spacing w:line="240" w:lineRule="auto"/>
        <w:ind w:firstLine="420" w:firstLineChars="200"/>
        <w:rPr>
          <w:rFonts w:ascii="Times New Roman" w:hAnsi="Times New Roman" w:cs="Times New Roman"/>
          <w:kern w:val="2"/>
          <w:szCs w:val="21"/>
        </w:rPr>
      </w:pPr>
      <w:r>
        <w:rPr>
          <w:rFonts w:ascii="Times New Roman" w:hAnsi="Times New Roman" w:cs="Times New Roman"/>
          <w:kern w:val="2"/>
          <w:szCs w:val="21"/>
        </w:rPr>
        <w:t>3.</w:t>
      </w:r>
      <w:r>
        <w:rPr>
          <w:rFonts w:hint="eastAsia"/>
        </w:rPr>
        <w:t xml:space="preserve"> </w:t>
      </w:r>
      <w:r>
        <w:rPr>
          <w:rFonts w:hint="eastAsia" w:ascii="Times New Roman" w:hAnsi="Times New Roman" w:cs="Times New Roman"/>
          <w:kern w:val="2"/>
          <w:szCs w:val="21"/>
        </w:rPr>
        <w:t>除政府采购合同继续履行将损害国家利益和社会公共利益外，双方当事人不得擅自变更、中止或者终止合同。</w:t>
      </w:r>
    </w:p>
    <w:p>
      <w:pPr>
        <w:widowControl w:val="0"/>
        <w:shd w:val="clear" w:color="auto" w:fill="auto"/>
        <w:tabs>
          <w:tab w:val="clear" w:pos="426"/>
        </w:tabs>
        <w:spacing w:line="240" w:lineRule="auto"/>
        <w:ind w:firstLine="420" w:firstLineChars="200"/>
        <w:rPr>
          <w:rFonts w:ascii="Times New Roman" w:hAnsi="Times New Roman" w:cs="Times New Roman"/>
          <w:kern w:val="2"/>
          <w:szCs w:val="21"/>
        </w:rPr>
      </w:pPr>
    </w:p>
    <w:p>
      <w:pPr>
        <w:widowControl w:val="0"/>
        <w:shd w:val="clear" w:color="auto" w:fill="auto"/>
        <w:tabs>
          <w:tab w:val="clear" w:pos="426"/>
        </w:tabs>
        <w:spacing w:line="240" w:lineRule="auto"/>
        <w:ind w:firstLine="420" w:firstLineChars="200"/>
        <w:rPr>
          <w:rFonts w:ascii="Times New Roman" w:hAnsi="Times New Roman" w:cs="Times New Roman"/>
          <w:kern w:val="2"/>
          <w:szCs w:val="21"/>
        </w:rPr>
      </w:pPr>
    </w:p>
    <w:p>
      <w:pPr>
        <w:widowControl w:val="0"/>
        <w:shd w:val="clear" w:color="auto" w:fill="auto"/>
        <w:tabs>
          <w:tab w:val="clear" w:pos="426"/>
        </w:tabs>
        <w:spacing w:line="240" w:lineRule="auto"/>
        <w:ind w:firstLine="420" w:firstLineChars="200"/>
        <w:rPr>
          <w:rFonts w:ascii="Times New Roman" w:hAnsi="Times New Roman" w:cs="Times New Roman"/>
          <w:kern w:val="2"/>
          <w:szCs w:val="21"/>
        </w:rPr>
      </w:pPr>
    </w:p>
    <w:p>
      <w:pPr>
        <w:widowControl w:val="0"/>
        <w:shd w:val="clear" w:color="auto" w:fill="auto"/>
        <w:tabs>
          <w:tab w:val="clear" w:pos="426"/>
        </w:tabs>
        <w:spacing w:line="240" w:lineRule="auto"/>
        <w:ind w:firstLine="420" w:firstLineChars="200"/>
        <w:rPr>
          <w:rFonts w:ascii="Times New Roman" w:hAnsi="Times New Roman" w:cs="Times New Roman"/>
          <w:kern w:val="2"/>
          <w:szCs w:val="21"/>
        </w:rPr>
      </w:pPr>
    </w:p>
    <w:p>
      <w:pPr>
        <w:widowControl w:val="0"/>
        <w:shd w:val="clear" w:color="auto" w:fill="auto"/>
        <w:tabs>
          <w:tab w:val="clear" w:pos="426"/>
        </w:tabs>
        <w:spacing w:line="240" w:lineRule="auto"/>
        <w:ind w:left="424" w:leftChars="202"/>
        <w:rPr>
          <w:rFonts w:ascii="Times New Roman" w:hAnsi="Times New Roman" w:cs="Times New Roman"/>
          <w:kern w:val="2"/>
          <w:szCs w:val="21"/>
          <w:u w:val="single"/>
        </w:rPr>
      </w:pPr>
      <w:r>
        <w:rPr>
          <w:rFonts w:ascii="Times New Roman" w:hAnsi="Times New Roman" w:cs="Times New Roman"/>
          <w:kern w:val="2"/>
          <w:szCs w:val="21"/>
        </w:rPr>
        <w:t>甲方：</w:t>
      </w:r>
      <w:r>
        <w:rPr>
          <w:rFonts w:ascii="Times New Roman" w:hAnsi="Times New Roman" w:cs="Times New Roman"/>
          <w:kern w:val="2"/>
          <w:szCs w:val="21"/>
          <w:u w:val="single"/>
        </w:rPr>
        <w:t>________________________________</w:t>
      </w:r>
      <w:r>
        <w:rPr>
          <w:rFonts w:ascii="Times New Roman" w:hAnsi="Times New Roman" w:cs="Times New Roman"/>
          <w:kern w:val="2"/>
          <w:szCs w:val="21"/>
        </w:rPr>
        <w:t xml:space="preserve">    乙方：</w:t>
      </w:r>
      <w:r>
        <w:rPr>
          <w:rFonts w:ascii="Times New Roman" w:hAnsi="Times New Roman" w:cs="Times New Roman"/>
          <w:kern w:val="2"/>
          <w:szCs w:val="21"/>
          <w:u w:val="single"/>
        </w:rPr>
        <w:t>____________________________</w:t>
      </w:r>
    </w:p>
    <w:p>
      <w:pPr>
        <w:widowControl w:val="0"/>
        <w:shd w:val="clear" w:color="auto" w:fill="auto"/>
        <w:tabs>
          <w:tab w:val="clear" w:pos="426"/>
        </w:tabs>
        <w:spacing w:line="240" w:lineRule="auto"/>
        <w:ind w:left="424" w:leftChars="202" w:firstLine="1890" w:firstLineChars="900"/>
        <w:rPr>
          <w:rFonts w:ascii="Times New Roman" w:hAnsi="Times New Roman" w:cs="Times New Roman"/>
          <w:kern w:val="2"/>
          <w:szCs w:val="21"/>
        </w:rPr>
      </w:pPr>
      <w:r>
        <w:rPr>
          <w:rFonts w:ascii="Times New Roman" w:hAnsi="Times New Roman" w:cs="Times New Roman"/>
          <w:kern w:val="2"/>
          <w:szCs w:val="21"/>
        </w:rPr>
        <w:t>（签章）                                 （签章）</w:t>
      </w:r>
    </w:p>
    <w:p>
      <w:pPr>
        <w:widowControl w:val="0"/>
        <w:shd w:val="clear" w:color="auto" w:fill="auto"/>
        <w:tabs>
          <w:tab w:val="clear" w:pos="426"/>
        </w:tabs>
        <w:spacing w:line="240" w:lineRule="auto"/>
        <w:ind w:left="424" w:leftChars="202" w:firstLine="2730" w:firstLineChars="1300"/>
        <w:rPr>
          <w:rFonts w:ascii="Times New Roman" w:hAnsi="Times New Roman" w:cs="Times New Roman"/>
          <w:kern w:val="2"/>
          <w:szCs w:val="21"/>
        </w:rPr>
      </w:pPr>
      <w:r>
        <w:rPr>
          <w:rFonts w:ascii="Times New Roman" w:hAnsi="Times New Roman" w:cs="Times New Roman"/>
          <w:kern w:val="2"/>
          <w:szCs w:val="21"/>
        </w:rPr>
        <w:t xml:space="preserve">               </w:t>
      </w:r>
    </w:p>
    <w:p>
      <w:pPr>
        <w:widowControl w:val="0"/>
        <w:shd w:val="clear" w:color="auto" w:fill="auto"/>
        <w:tabs>
          <w:tab w:val="clear" w:pos="426"/>
        </w:tabs>
        <w:spacing w:line="240" w:lineRule="auto"/>
        <w:ind w:left="424" w:leftChars="202" w:firstLine="420"/>
        <w:rPr>
          <w:rFonts w:ascii="Times New Roman" w:hAnsi="Times New Roman" w:cs="Times New Roman"/>
          <w:kern w:val="2"/>
          <w:szCs w:val="21"/>
        </w:rPr>
      </w:pPr>
      <w:r>
        <w:rPr>
          <w:rFonts w:ascii="Times New Roman" w:hAnsi="Times New Roman" w:cs="Times New Roman"/>
          <w:kern w:val="2"/>
          <w:szCs w:val="21"/>
        </w:rPr>
        <w:t>地址：</w:t>
      </w:r>
      <w:r>
        <w:rPr>
          <w:rFonts w:ascii="Times New Roman" w:hAnsi="Times New Roman" w:cs="Times New Roman"/>
          <w:kern w:val="2"/>
          <w:szCs w:val="21"/>
          <w:u w:val="single"/>
        </w:rPr>
        <w:t>______________________________</w:t>
      </w:r>
      <w:r>
        <w:rPr>
          <w:rFonts w:ascii="Times New Roman" w:hAnsi="Times New Roman" w:cs="Times New Roman"/>
          <w:kern w:val="2"/>
          <w:szCs w:val="21"/>
        </w:rPr>
        <w:t xml:space="preserve">  地址：</w:t>
      </w:r>
      <w:r>
        <w:rPr>
          <w:rFonts w:ascii="Times New Roman" w:hAnsi="Times New Roman" w:cs="Times New Roman"/>
          <w:kern w:val="2"/>
          <w:szCs w:val="21"/>
          <w:u w:val="single"/>
        </w:rPr>
        <w:t>______________________________</w:t>
      </w:r>
    </w:p>
    <w:p>
      <w:pPr>
        <w:widowControl w:val="0"/>
        <w:shd w:val="clear" w:color="auto" w:fill="auto"/>
        <w:tabs>
          <w:tab w:val="clear" w:pos="426"/>
        </w:tabs>
        <w:spacing w:line="240" w:lineRule="auto"/>
        <w:ind w:left="424" w:leftChars="202" w:firstLine="420"/>
        <w:rPr>
          <w:rFonts w:ascii="Times New Roman" w:hAnsi="Times New Roman" w:cs="Times New Roman"/>
          <w:kern w:val="2"/>
          <w:szCs w:val="21"/>
        </w:rPr>
      </w:pPr>
      <w:r>
        <w:rPr>
          <w:rFonts w:ascii="Times New Roman" w:hAnsi="Times New Roman" w:cs="Times New Roman"/>
          <w:kern w:val="2"/>
          <w:szCs w:val="21"/>
        </w:rPr>
        <w:t>法定代表人：（签章）</w:t>
      </w:r>
      <w:r>
        <w:rPr>
          <w:rFonts w:ascii="Times New Roman" w:hAnsi="Times New Roman" w:cs="Times New Roman"/>
          <w:kern w:val="2"/>
          <w:szCs w:val="21"/>
          <w:u w:val="single"/>
        </w:rPr>
        <w:t>_________________</w:t>
      </w:r>
      <w:r>
        <w:rPr>
          <w:rFonts w:ascii="Times New Roman" w:hAnsi="Times New Roman" w:cs="Times New Roman"/>
          <w:kern w:val="2"/>
          <w:szCs w:val="21"/>
        </w:rPr>
        <w:t xml:space="preserve">  法定代表人：（签章）</w:t>
      </w:r>
      <w:r>
        <w:rPr>
          <w:rFonts w:ascii="Times New Roman" w:hAnsi="Times New Roman" w:cs="Times New Roman"/>
          <w:kern w:val="2"/>
          <w:szCs w:val="21"/>
          <w:u w:val="single"/>
        </w:rPr>
        <w:t>_________________</w:t>
      </w:r>
    </w:p>
    <w:p>
      <w:pPr>
        <w:widowControl w:val="0"/>
        <w:shd w:val="clear" w:color="auto" w:fill="auto"/>
        <w:tabs>
          <w:tab w:val="clear" w:pos="426"/>
        </w:tabs>
        <w:spacing w:line="240" w:lineRule="auto"/>
        <w:ind w:left="424" w:leftChars="202" w:firstLine="420"/>
        <w:rPr>
          <w:rFonts w:ascii="Times New Roman" w:hAnsi="Times New Roman" w:cs="Times New Roman"/>
          <w:kern w:val="2"/>
          <w:szCs w:val="21"/>
        </w:rPr>
      </w:pPr>
      <w:r>
        <w:rPr>
          <w:rFonts w:ascii="Times New Roman" w:hAnsi="Times New Roman" w:cs="Times New Roman"/>
          <w:kern w:val="2"/>
          <w:szCs w:val="21"/>
        </w:rPr>
        <w:t>开户行：</w:t>
      </w:r>
      <w:r>
        <w:rPr>
          <w:rFonts w:ascii="Times New Roman" w:hAnsi="Times New Roman" w:cs="Times New Roman"/>
          <w:kern w:val="2"/>
          <w:szCs w:val="21"/>
          <w:u w:val="single"/>
        </w:rPr>
        <w:t>____________________________</w:t>
      </w:r>
      <w:r>
        <w:rPr>
          <w:rFonts w:ascii="Times New Roman" w:hAnsi="Times New Roman" w:cs="Times New Roman"/>
          <w:kern w:val="2"/>
          <w:szCs w:val="21"/>
        </w:rPr>
        <w:t xml:space="preserve">  开户行：</w:t>
      </w:r>
      <w:r>
        <w:rPr>
          <w:rFonts w:ascii="Times New Roman" w:hAnsi="Times New Roman" w:cs="Times New Roman"/>
          <w:kern w:val="2"/>
          <w:szCs w:val="21"/>
          <w:u w:val="single"/>
        </w:rPr>
        <w:t>____________________________</w:t>
      </w:r>
    </w:p>
    <w:p>
      <w:pPr>
        <w:widowControl w:val="0"/>
        <w:shd w:val="clear" w:color="auto" w:fill="auto"/>
        <w:tabs>
          <w:tab w:val="clear" w:pos="426"/>
        </w:tabs>
        <w:spacing w:line="240" w:lineRule="auto"/>
        <w:ind w:left="424" w:leftChars="202" w:firstLine="420"/>
        <w:rPr>
          <w:rFonts w:ascii="Times New Roman" w:hAnsi="Times New Roman" w:cs="Times New Roman"/>
          <w:kern w:val="2"/>
          <w:szCs w:val="21"/>
        </w:rPr>
      </w:pPr>
      <w:r>
        <w:rPr>
          <w:rFonts w:ascii="Times New Roman" w:hAnsi="Times New Roman" w:cs="Times New Roman"/>
          <w:kern w:val="2"/>
          <w:szCs w:val="21"/>
        </w:rPr>
        <w:t>人民币帐号：</w:t>
      </w:r>
      <w:r>
        <w:rPr>
          <w:rFonts w:ascii="Times New Roman" w:hAnsi="Times New Roman" w:cs="Times New Roman"/>
          <w:kern w:val="2"/>
          <w:szCs w:val="21"/>
          <w:u w:val="single"/>
        </w:rPr>
        <w:t>________________________</w:t>
      </w:r>
      <w:r>
        <w:rPr>
          <w:rFonts w:ascii="Times New Roman" w:hAnsi="Times New Roman" w:cs="Times New Roman"/>
          <w:kern w:val="2"/>
          <w:szCs w:val="21"/>
        </w:rPr>
        <w:t xml:space="preserve">  人民币帐号：</w:t>
      </w:r>
      <w:r>
        <w:rPr>
          <w:rFonts w:ascii="Times New Roman" w:hAnsi="Times New Roman" w:cs="Times New Roman"/>
          <w:kern w:val="2"/>
          <w:szCs w:val="21"/>
          <w:u w:val="single"/>
        </w:rPr>
        <w:t>________________________</w:t>
      </w:r>
    </w:p>
    <w:p>
      <w:pPr>
        <w:widowControl w:val="0"/>
        <w:shd w:val="clear" w:color="auto" w:fill="auto"/>
        <w:tabs>
          <w:tab w:val="clear" w:pos="426"/>
        </w:tabs>
        <w:spacing w:line="240" w:lineRule="auto"/>
        <w:ind w:left="424" w:leftChars="202" w:firstLine="420"/>
        <w:rPr>
          <w:rFonts w:ascii="Times New Roman" w:hAnsi="Times New Roman" w:cs="Times New Roman"/>
          <w:kern w:val="2"/>
          <w:szCs w:val="21"/>
        </w:rPr>
      </w:pPr>
      <w:r>
        <w:rPr>
          <w:rFonts w:ascii="Times New Roman" w:hAnsi="Times New Roman" w:cs="Times New Roman"/>
          <w:kern w:val="2"/>
          <w:szCs w:val="21"/>
        </w:rPr>
        <w:t>联系人：</w:t>
      </w:r>
      <w:r>
        <w:rPr>
          <w:rFonts w:ascii="Times New Roman" w:hAnsi="Times New Roman" w:cs="Times New Roman"/>
          <w:kern w:val="2"/>
          <w:szCs w:val="21"/>
          <w:u w:val="single"/>
        </w:rPr>
        <w:t>____________________________</w:t>
      </w:r>
      <w:r>
        <w:rPr>
          <w:rFonts w:ascii="Times New Roman" w:hAnsi="Times New Roman" w:cs="Times New Roman"/>
          <w:kern w:val="2"/>
          <w:szCs w:val="21"/>
        </w:rPr>
        <w:t xml:space="preserve">  联系人：</w:t>
      </w:r>
      <w:r>
        <w:rPr>
          <w:rFonts w:ascii="Times New Roman" w:hAnsi="Times New Roman" w:cs="Times New Roman"/>
          <w:kern w:val="2"/>
          <w:szCs w:val="21"/>
          <w:u w:val="single"/>
        </w:rPr>
        <w:t>____________________________</w:t>
      </w:r>
    </w:p>
    <w:p>
      <w:pPr>
        <w:widowControl w:val="0"/>
        <w:shd w:val="clear" w:color="auto" w:fill="auto"/>
        <w:tabs>
          <w:tab w:val="clear" w:pos="426"/>
        </w:tabs>
        <w:spacing w:line="240" w:lineRule="auto"/>
        <w:ind w:left="424" w:leftChars="202" w:firstLine="420"/>
        <w:rPr>
          <w:rFonts w:ascii="Times New Roman" w:hAnsi="Times New Roman" w:cs="Times New Roman"/>
          <w:kern w:val="2"/>
          <w:szCs w:val="21"/>
        </w:rPr>
      </w:pPr>
      <w:r>
        <w:rPr>
          <w:rFonts w:ascii="Times New Roman" w:hAnsi="Times New Roman" w:cs="Times New Roman"/>
          <w:kern w:val="2"/>
          <w:szCs w:val="21"/>
        </w:rPr>
        <w:t>电话：</w:t>
      </w:r>
      <w:r>
        <w:rPr>
          <w:rFonts w:ascii="Times New Roman" w:hAnsi="Times New Roman" w:cs="Times New Roman"/>
          <w:kern w:val="2"/>
          <w:szCs w:val="21"/>
          <w:u w:val="single"/>
        </w:rPr>
        <w:t>______________________________</w:t>
      </w:r>
      <w:r>
        <w:rPr>
          <w:rFonts w:ascii="Times New Roman" w:hAnsi="Times New Roman" w:cs="Times New Roman"/>
          <w:kern w:val="2"/>
          <w:szCs w:val="21"/>
        </w:rPr>
        <w:t xml:space="preserve">  电话：</w:t>
      </w:r>
      <w:r>
        <w:rPr>
          <w:rFonts w:ascii="Times New Roman" w:hAnsi="Times New Roman" w:cs="Times New Roman"/>
          <w:kern w:val="2"/>
          <w:szCs w:val="21"/>
          <w:u w:val="single"/>
        </w:rPr>
        <w:t>______________________________</w:t>
      </w:r>
    </w:p>
    <w:p>
      <w:pPr>
        <w:widowControl w:val="0"/>
        <w:shd w:val="clear" w:color="auto" w:fill="auto"/>
        <w:tabs>
          <w:tab w:val="clear" w:pos="426"/>
        </w:tabs>
        <w:spacing w:line="240" w:lineRule="auto"/>
        <w:ind w:left="424" w:leftChars="202" w:firstLine="420"/>
        <w:rPr>
          <w:rFonts w:ascii="Times New Roman" w:hAnsi="Times New Roman" w:cs="Times New Roman"/>
          <w:kern w:val="2"/>
          <w:szCs w:val="21"/>
          <w:u w:val="single"/>
        </w:rPr>
      </w:pPr>
      <w:r>
        <w:rPr>
          <w:rFonts w:ascii="Times New Roman" w:hAnsi="Times New Roman" w:cs="Times New Roman"/>
          <w:kern w:val="2"/>
          <w:szCs w:val="21"/>
        </w:rPr>
        <w:t>日期：</w:t>
      </w:r>
      <w:r>
        <w:rPr>
          <w:rFonts w:ascii="Times New Roman" w:hAnsi="Times New Roman" w:cs="Times New Roman"/>
          <w:kern w:val="2"/>
          <w:szCs w:val="21"/>
          <w:u w:val="single"/>
        </w:rPr>
        <w:t>______________________________</w:t>
      </w:r>
      <w:r>
        <w:rPr>
          <w:rFonts w:ascii="Times New Roman" w:hAnsi="Times New Roman" w:cs="Times New Roman"/>
          <w:kern w:val="2"/>
          <w:szCs w:val="21"/>
        </w:rPr>
        <w:t xml:space="preserve">  日期：</w:t>
      </w:r>
      <w:r>
        <w:rPr>
          <w:rFonts w:ascii="Times New Roman" w:hAnsi="Times New Roman" w:cs="Times New Roman"/>
          <w:kern w:val="2"/>
          <w:szCs w:val="21"/>
          <w:u w:val="single"/>
        </w:rPr>
        <w:t>______________________________</w:t>
      </w:r>
    </w:p>
    <w:p>
      <w:pPr>
        <w:widowControl w:val="0"/>
        <w:shd w:val="clear" w:color="auto" w:fill="auto"/>
        <w:tabs>
          <w:tab w:val="clear" w:pos="426"/>
        </w:tabs>
        <w:spacing w:line="240" w:lineRule="auto"/>
        <w:ind w:left="424" w:leftChars="202" w:firstLine="420"/>
        <w:rPr>
          <w:rFonts w:ascii="Times New Roman" w:hAnsi="Times New Roman" w:cs="Times New Roman"/>
          <w:kern w:val="2"/>
          <w:szCs w:val="21"/>
        </w:rPr>
      </w:pPr>
    </w:p>
    <w:p>
      <w:pPr>
        <w:shd w:val="clear" w:color="auto" w:fill="auto"/>
        <w:tabs>
          <w:tab w:val="clear" w:pos="426"/>
        </w:tabs>
        <w:adjustRightInd/>
        <w:snapToGrid/>
        <w:spacing w:line="240" w:lineRule="auto"/>
        <w:ind w:firstLine="420"/>
        <w:jc w:val="left"/>
        <w:rPr>
          <w:rFonts w:ascii="Times New Roman" w:hAnsi="Times New Roman" w:cs="Times New Roman"/>
          <w:kern w:val="2"/>
          <w:szCs w:val="21"/>
        </w:rPr>
      </w:pPr>
      <w:r>
        <w:rPr>
          <w:rFonts w:ascii="Times New Roman" w:hAnsi="Times New Roman" w:cs="Times New Roman"/>
          <w:kern w:val="2"/>
          <w:szCs w:val="21"/>
        </w:rPr>
        <w:br w:type="page"/>
      </w:r>
    </w:p>
    <w:p>
      <w:pPr>
        <w:pStyle w:val="321"/>
        <w:pageBreakBefore/>
        <w:shd w:val="clear" w:color="auto" w:fill="auto"/>
        <w:ind w:firstLine="482"/>
        <w:rPr>
          <w:rFonts w:ascii="Times New Roman" w:hAnsi="Times New Roman"/>
        </w:rPr>
      </w:pPr>
      <w:r>
        <w:rPr>
          <w:rFonts w:ascii="Times New Roman" w:hAnsi="Times New Roman"/>
        </w:rPr>
        <w:t>三、履约担保</w:t>
      </w:r>
    </w:p>
    <w:p>
      <w:pPr>
        <w:shd w:val="clear" w:color="auto" w:fill="auto"/>
        <w:tabs>
          <w:tab w:val="clear" w:pos="426"/>
        </w:tabs>
        <w:ind w:left="6094" w:leftChars="2902" w:firstLine="440"/>
        <w:rPr>
          <w:rFonts w:ascii="Times New Roman" w:hAnsi="Times New Roman" w:cs="Times New Roman"/>
          <w:u w:val="single"/>
        </w:rPr>
      </w:pPr>
      <w:r>
        <w:rPr>
          <w:rFonts w:ascii="Times New Roman" w:hAnsi="Times New Roman" w:cs="Times New Roman"/>
          <w:sz w:val="22"/>
          <w:szCs w:val="22"/>
        </w:rPr>
        <w:t>保函编号：</w:t>
      </w:r>
      <w:r>
        <w:rPr>
          <w:rFonts w:ascii="Times New Roman" w:hAnsi="Times New Roman" w:cs="Times New Roman"/>
          <w:sz w:val="22"/>
          <w:szCs w:val="22"/>
          <w:u w:val="single"/>
        </w:rPr>
        <w:t>_______________</w:t>
      </w:r>
    </w:p>
    <w:p>
      <w:pPr>
        <w:shd w:val="clear" w:color="auto" w:fill="auto"/>
        <w:tabs>
          <w:tab w:val="clear" w:pos="426"/>
        </w:tabs>
        <w:ind w:firstLine="440"/>
        <w:rPr>
          <w:rFonts w:ascii="Times New Roman" w:hAnsi="Times New Roman" w:cs="Times New Roman"/>
          <w:sz w:val="22"/>
          <w:szCs w:val="22"/>
        </w:rPr>
      </w:pPr>
      <w:r>
        <w:rPr>
          <w:rFonts w:ascii="Times New Roman" w:hAnsi="Times New Roman" w:cs="Times New Roman"/>
          <w:sz w:val="22"/>
          <w:szCs w:val="22"/>
        </w:rPr>
        <w:t>致：</w:t>
      </w:r>
      <w:r>
        <w:rPr>
          <w:rFonts w:ascii="Times New Roman" w:hAnsi="Times New Roman" w:cs="Times New Roman"/>
          <w:sz w:val="22"/>
          <w:szCs w:val="22"/>
          <w:u w:val="single"/>
        </w:rPr>
        <w:t>__</w:t>
      </w:r>
      <w:r>
        <w:rPr>
          <w:rFonts w:ascii="Times New Roman" w:hAnsi="Times New Roman" w:cs="Times New Roman"/>
          <w:u w:val="single"/>
        </w:rPr>
        <w:t>_______________</w:t>
      </w:r>
      <w:r>
        <w:rPr>
          <w:rFonts w:ascii="Times New Roman" w:hAnsi="Times New Roman" w:cs="Times New Roman"/>
          <w:sz w:val="22"/>
          <w:szCs w:val="22"/>
          <w:u w:val="single"/>
        </w:rPr>
        <w:t>_</w:t>
      </w:r>
      <w:r>
        <w:rPr>
          <w:rFonts w:ascii="Times New Roman" w:hAnsi="Times New Roman" w:cs="Times New Roman"/>
          <w:sz w:val="22"/>
          <w:szCs w:val="22"/>
        </w:rPr>
        <w:t xml:space="preserve">： </w:t>
      </w:r>
    </w:p>
    <w:p>
      <w:pPr>
        <w:shd w:val="clear" w:color="auto" w:fill="auto"/>
        <w:tabs>
          <w:tab w:val="clear" w:pos="426"/>
        </w:tabs>
        <w:ind w:firstLine="420"/>
        <w:rPr>
          <w:rFonts w:ascii="Times New Roman" w:hAnsi="Times New Roman" w:cs="Times New Roman"/>
        </w:rPr>
      </w:pPr>
      <w:r>
        <w:rPr>
          <w:rFonts w:ascii="Times New Roman" w:hAnsi="Times New Roman" w:cs="Times New Roman"/>
        </w:rPr>
        <w:t xml:space="preserve">鉴于 </w:t>
      </w:r>
      <w:r>
        <w:rPr>
          <w:rFonts w:ascii="Times New Roman" w:hAnsi="Times New Roman" w:cs="Times New Roman"/>
          <w:u w:val="single"/>
        </w:rPr>
        <w:t>_____（被保护人)_______</w:t>
      </w:r>
      <w:r>
        <w:rPr>
          <w:rFonts w:ascii="Times New Roman" w:hAnsi="Times New Roman" w:cs="Times New Roman"/>
        </w:rPr>
        <w:t>已于贵方签订了</w:t>
      </w:r>
      <w:r>
        <w:rPr>
          <w:rFonts w:ascii="Times New Roman" w:hAnsi="Times New Roman" w:cs="Times New Roman"/>
          <w:u w:val="single"/>
        </w:rPr>
        <w:t>__（项目名称）（采购项目编号：______）__</w:t>
      </w:r>
      <w:r>
        <w:rPr>
          <w:rFonts w:ascii="Times New Roman" w:hAnsi="Times New Roman" w:cs="Times New Roman"/>
        </w:rPr>
        <w:t>的</w:t>
      </w:r>
      <w:r>
        <w:rPr>
          <w:rFonts w:ascii="Times New Roman" w:hAnsi="Times New Roman" w:cs="Times New Roman"/>
          <w:u w:val="single"/>
        </w:rPr>
        <w:t>__（采购合同名称）__</w:t>
      </w:r>
      <w:r>
        <w:rPr>
          <w:rFonts w:ascii="Times New Roman" w:hAnsi="Times New Roman" w:cs="Times New Roman"/>
        </w:rPr>
        <w:t>采购合同（下称合同)，工期自</w:t>
      </w:r>
      <w:r>
        <w:rPr>
          <w:rFonts w:ascii="Times New Roman" w:hAnsi="Times New Roman" w:cs="Times New Roman"/>
          <w:u w:val="single"/>
        </w:rPr>
        <w:t>_______年___月___日</w:t>
      </w:r>
      <w:r>
        <w:rPr>
          <w:rFonts w:ascii="Times New Roman" w:hAnsi="Times New Roman" w:cs="Times New Roman"/>
        </w:rPr>
        <w:t>至</w:t>
      </w:r>
      <w:r>
        <w:rPr>
          <w:rFonts w:ascii="Times New Roman" w:hAnsi="Times New Roman" w:cs="Times New Roman"/>
          <w:u w:val="single"/>
        </w:rPr>
        <w:t>_______年___月___日</w:t>
      </w:r>
      <w:r>
        <w:rPr>
          <w:rFonts w:ascii="Times New Roman" w:hAnsi="Times New Roman" w:cs="Times New Roman"/>
        </w:rPr>
        <w:t>。我方接受被保证人的委托，在此向受益人提供不可撤销的履约保函：</w:t>
      </w:r>
    </w:p>
    <w:p>
      <w:pPr>
        <w:shd w:val="clear" w:color="auto" w:fill="auto"/>
        <w:tabs>
          <w:tab w:val="clear" w:pos="426"/>
        </w:tabs>
        <w:ind w:firstLine="420"/>
        <w:rPr>
          <w:rFonts w:ascii="Times New Roman" w:hAnsi="Times New Roman" w:cs="Times New Roman"/>
        </w:rPr>
      </w:pPr>
      <w:r>
        <w:rPr>
          <w:rFonts w:ascii="Times New Roman" w:hAnsi="Times New Roman" w:cs="Times New Roman"/>
        </w:rPr>
        <w:t>1．本保证担保的最高担保金额为人民币</w:t>
      </w:r>
      <w:r>
        <w:rPr>
          <w:rFonts w:ascii="Times New Roman" w:hAnsi="Times New Roman" w:cs="Times New Roman"/>
          <w:u w:val="single"/>
        </w:rPr>
        <w:t>___（小写)____</w:t>
      </w:r>
      <w:r>
        <w:rPr>
          <w:rFonts w:ascii="Times New Roman" w:hAnsi="Times New Roman" w:cs="Times New Roman"/>
        </w:rPr>
        <w:t>元（</w:t>
      </w:r>
      <w:r>
        <w:rPr>
          <w:rFonts w:ascii="Times New Roman" w:hAnsi="Times New Roman" w:cs="Times New Roman"/>
          <w:u w:val="single"/>
        </w:rPr>
        <w:t>___（大写)_____</w:t>
      </w:r>
      <w:r>
        <w:rPr>
          <w:rFonts w:ascii="Times New Roman" w:hAnsi="Times New Roman" w:cs="Times New Roman"/>
        </w:rPr>
        <w:t>元）。</w:t>
      </w:r>
    </w:p>
    <w:p>
      <w:pPr>
        <w:shd w:val="clear" w:color="auto" w:fill="auto"/>
        <w:tabs>
          <w:tab w:val="clear" w:pos="426"/>
        </w:tabs>
        <w:ind w:firstLine="420"/>
        <w:rPr>
          <w:rFonts w:ascii="Times New Roman" w:hAnsi="Times New Roman" w:cs="Times New Roman"/>
        </w:rPr>
      </w:pPr>
      <w:r>
        <w:rPr>
          <w:rFonts w:ascii="Times New Roman" w:hAnsi="Times New Roman" w:cs="Times New Roman"/>
        </w:rPr>
        <w:t>2．本保证担保的保证期间自</w:t>
      </w:r>
      <w:r>
        <w:rPr>
          <w:rFonts w:ascii="Times New Roman" w:hAnsi="Times New Roman" w:cs="Times New Roman"/>
          <w:u w:val="single"/>
        </w:rPr>
        <w:t>________年____月___日</w:t>
      </w:r>
      <w:r>
        <w:rPr>
          <w:rFonts w:ascii="Times New Roman" w:hAnsi="Times New Roman" w:cs="Times New Roman"/>
        </w:rPr>
        <w:t>至</w:t>
      </w:r>
      <w:r>
        <w:rPr>
          <w:rFonts w:ascii="Times New Roman" w:hAnsi="Times New Roman" w:cs="Times New Roman"/>
          <w:u w:val="single"/>
        </w:rPr>
        <w:t>________年___月___日</w:t>
      </w:r>
      <w:r>
        <w:rPr>
          <w:rFonts w:ascii="Times New Roman" w:hAnsi="Times New Roman" w:cs="Times New Roman"/>
        </w:rPr>
        <w:t>。</w:t>
      </w:r>
    </w:p>
    <w:p>
      <w:pPr>
        <w:shd w:val="clear" w:color="auto" w:fill="auto"/>
        <w:tabs>
          <w:tab w:val="clear" w:pos="426"/>
        </w:tabs>
        <w:ind w:firstLine="420"/>
        <w:rPr>
          <w:rFonts w:ascii="Times New Roman" w:hAnsi="Times New Roman" w:cs="Times New Roman"/>
        </w:rPr>
      </w:pPr>
      <w:r>
        <w:rPr>
          <w:rFonts w:ascii="Times New Roman" w:hAnsi="Times New Roman" w:cs="Times New Roman"/>
        </w:rPr>
        <w:t>3．在本保证担保的保证期间内，我方将在收到</w:t>
      </w:r>
      <w:r>
        <w:rPr>
          <w:rFonts w:ascii="Times New Roman" w:hAnsi="Times New Roman" w:cs="Times New Roman"/>
          <w:u w:val="single"/>
        </w:rPr>
        <w:t>______（受益人）_____</w:t>
      </w:r>
      <w:r>
        <w:rPr>
          <w:rFonts w:ascii="Times New Roman" w:hAnsi="Times New Roman" w:cs="Times New Roman"/>
        </w:rPr>
        <w:t>法定代表人或其授权委托代理人签字确认并加盖公章的书面索赔通知后</w:t>
      </w:r>
      <w:r>
        <w:rPr>
          <w:rFonts w:ascii="Times New Roman" w:hAnsi="Times New Roman" w:cs="Times New Roman"/>
          <w:u w:val="single"/>
        </w:rPr>
        <w:t>_____</w:t>
      </w:r>
      <w:r>
        <w:rPr>
          <w:rFonts w:ascii="Times New Roman" w:hAnsi="Times New Roman" w:cs="Times New Roman"/>
        </w:rPr>
        <w:t>个工作日内，不争辩、不挑剔、不可撤销地向受益人支付索赔款，直至本保证的最高担保金额。</w:t>
      </w:r>
    </w:p>
    <w:p>
      <w:pPr>
        <w:shd w:val="clear" w:color="auto" w:fill="auto"/>
        <w:tabs>
          <w:tab w:val="clear" w:pos="426"/>
        </w:tabs>
        <w:ind w:firstLine="420"/>
        <w:rPr>
          <w:rFonts w:ascii="Times New Roman" w:hAnsi="Times New Roman" w:cs="Times New Roman"/>
        </w:rPr>
      </w:pPr>
      <w:r>
        <w:rPr>
          <w:rFonts w:ascii="Times New Roman" w:hAnsi="Times New Roman" w:cs="Times New Roman"/>
        </w:rPr>
        <w:t>4．索赔通知应当说明索赔理由、索赔款额的计算方法，并必须在本保证担保的保证期间内送达我方。</w:t>
      </w:r>
    </w:p>
    <w:p>
      <w:pPr>
        <w:shd w:val="clear" w:color="auto" w:fill="auto"/>
        <w:tabs>
          <w:tab w:val="clear" w:pos="426"/>
        </w:tabs>
        <w:ind w:firstLine="420"/>
        <w:rPr>
          <w:rFonts w:ascii="Times New Roman" w:hAnsi="Times New Roman" w:cs="Times New Roman"/>
        </w:rPr>
      </w:pPr>
      <w:r>
        <w:rPr>
          <w:rFonts w:ascii="Times New Roman" w:hAnsi="Times New Roman" w:cs="Times New Roman"/>
        </w:rPr>
        <w:t>5．本保证担保项下的权利不得转让。</w:t>
      </w:r>
    </w:p>
    <w:p>
      <w:pPr>
        <w:shd w:val="clear" w:color="auto" w:fill="auto"/>
        <w:tabs>
          <w:tab w:val="clear" w:pos="426"/>
        </w:tabs>
        <w:ind w:firstLine="420"/>
        <w:rPr>
          <w:rFonts w:ascii="Times New Roman" w:hAnsi="Times New Roman" w:cs="Times New Roman"/>
        </w:rPr>
      </w:pPr>
      <w:r>
        <w:rPr>
          <w:rFonts w:ascii="Times New Roman" w:hAnsi="Times New Roman" w:cs="Times New Roman"/>
        </w:rPr>
        <w:t>6．我方提供本保证担保后，受益人与被保证人对合同进行修订的，应当将修订后的合同原件送我方备案。</w:t>
      </w:r>
    </w:p>
    <w:p>
      <w:pPr>
        <w:shd w:val="clear" w:color="auto" w:fill="auto"/>
        <w:tabs>
          <w:tab w:val="clear" w:pos="426"/>
        </w:tabs>
        <w:ind w:firstLine="420"/>
        <w:rPr>
          <w:rFonts w:ascii="Times New Roman" w:hAnsi="Times New Roman" w:cs="Times New Roman"/>
        </w:rPr>
      </w:pPr>
      <w:r>
        <w:rPr>
          <w:rFonts w:ascii="Times New Roman" w:hAnsi="Times New Roman" w:cs="Times New Roman"/>
        </w:rPr>
        <w:t>7．本保证担保的保证期间届满，或我方向受益人支付的索赔款已达本保证担保的最高担保金额，我方的保证责任免除。</w:t>
      </w:r>
    </w:p>
    <w:p>
      <w:pPr>
        <w:shd w:val="clear" w:color="auto" w:fill="auto"/>
        <w:tabs>
          <w:tab w:val="clear" w:pos="426"/>
        </w:tabs>
        <w:ind w:firstLine="420"/>
        <w:rPr>
          <w:rFonts w:ascii="Times New Roman" w:hAnsi="Times New Roman" w:cs="Times New Roman"/>
        </w:rPr>
      </w:pPr>
      <w:r>
        <w:rPr>
          <w:rFonts w:ascii="Times New Roman" w:hAnsi="Times New Roman" w:cs="Times New Roman"/>
        </w:rPr>
        <w:t>8．本保证担保适用中华人民共和国法律。</w:t>
      </w:r>
    </w:p>
    <w:p>
      <w:pPr>
        <w:shd w:val="clear" w:color="auto" w:fill="auto"/>
        <w:tabs>
          <w:tab w:val="clear" w:pos="426"/>
        </w:tabs>
        <w:ind w:firstLine="420"/>
        <w:rPr>
          <w:rFonts w:ascii="Times New Roman" w:hAnsi="Times New Roman" w:cs="Times New Roman"/>
        </w:rPr>
      </w:pPr>
      <w:r>
        <w:rPr>
          <w:rFonts w:ascii="Times New Roman" w:hAnsi="Times New Roman" w:cs="Times New Roman"/>
        </w:rPr>
        <w:t>9．本保证担保以中文文本为准，涂改无效。</w:t>
      </w:r>
    </w:p>
    <w:p>
      <w:pPr>
        <w:shd w:val="clear" w:color="auto" w:fill="auto"/>
        <w:tabs>
          <w:tab w:val="clear" w:pos="426"/>
        </w:tabs>
        <w:ind w:firstLine="420"/>
        <w:rPr>
          <w:rFonts w:ascii="Times New Roman" w:hAnsi="Times New Roman" w:cs="Times New Roman"/>
        </w:rPr>
      </w:pPr>
    </w:p>
    <w:p>
      <w:pPr>
        <w:shd w:val="clear" w:color="auto" w:fill="auto"/>
        <w:tabs>
          <w:tab w:val="clear" w:pos="426"/>
        </w:tabs>
        <w:ind w:firstLine="420"/>
        <w:rPr>
          <w:rFonts w:ascii="Times New Roman" w:hAnsi="Times New Roman" w:cs="Times New Roman"/>
        </w:rPr>
      </w:pPr>
      <w:r>
        <w:rPr>
          <w:rFonts w:ascii="Times New Roman" w:hAnsi="Times New Roman" w:cs="Times New Roman"/>
        </w:rPr>
        <w:t>（本保函失效后，请将原件退回我方注销)</w:t>
      </w:r>
    </w:p>
    <w:p>
      <w:pPr>
        <w:shd w:val="clear" w:color="auto" w:fill="auto"/>
        <w:tabs>
          <w:tab w:val="clear" w:pos="426"/>
        </w:tabs>
        <w:ind w:firstLine="420"/>
        <w:rPr>
          <w:rFonts w:ascii="Times New Roman" w:hAnsi="Times New Roman" w:cs="Times New Roman"/>
        </w:rPr>
      </w:pPr>
    </w:p>
    <w:p>
      <w:pPr>
        <w:shd w:val="clear" w:color="auto" w:fill="auto"/>
        <w:tabs>
          <w:tab w:val="clear" w:pos="426"/>
        </w:tabs>
        <w:ind w:firstLine="420"/>
        <w:rPr>
          <w:rFonts w:ascii="Times New Roman" w:hAnsi="Times New Roman" w:cs="Times New Roman"/>
        </w:rPr>
      </w:pPr>
      <w:r>
        <w:rPr>
          <w:rFonts w:ascii="Times New Roman" w:hAnsi="Times New Roman" w:cs="Times New Roman"/>
        </w:rPr>
        <w:t>保证人名称（公章)：</w:t>
      </w:r>
      <w:r>
        <w:rPr>
          <w:rFonts w:ascii="Times New Roman" w:hAnsi="Times New Roman" w:cs="Times New Roman"/>
          <w:u w:val="single"/>
        </w:rPr>
        <w:t>____________________________________</w:t>
      </w:r>
    </w:p>
    <w:p>
      <w:pPr>
        <w:shd w:val="clear" w:color="auto" w:fill="auto"/>
        <w:tabs>
          <w:tab w:val="clear" w:pos="426"/>
        </w:tabs>
        <w:ind w:firstLine="420"/>
        <w:rPr>
          <w:rFonts w:ascii="Times New Roman" w:hAnsi="Times New Roman" w:cs="Times New Roman"/>
        </w:rPr>
      </w:pPr>
      <w:r>
        <w:rPr>
          <w:rFonts w:ascii="Times New Roman" w:hAnsi="Times New Roman" w:cs="Times New Roman"/>
        </w:rPr>
        <w:t>法定代表人或委托代理人（签字)：</w:t>
      </w:r>
      <w:r>
        <w:rPr>
          <w:rFonts w:ascii="Times New Roman" w:hAnsi="Times New Roman" w:cs="Times New Roman"/>
          <w:u w:val="single"/>
        </w:rPr>
        <w:t>________________________</w:t>
      </w:r>
    </w:p>
    <w:p>
      <w:pPr>
        <w:shd w:val="clear" w:color="auto" w:fill="auto"/>
        <w:tabs>
          <w:tab w:val="clear" w:pos="426"/>
        </w:tabs>
        <w:ind w:firstLine="420"/>
        <w:rPr>
          <w:rFonts w:ascii="Times New Roman" w:hAnsi="Times New Roman" w:cs="Times New Roman"/>
        </w:rPr>
      </w:pPr>
      <w:r>
        <w:rPr>
          <w:rFonts w:ascii="Times New Roman" w:hAnsi="Times New Roman" w:cs="Times New Roman"/>
        </w:rPr>
        <w:t>单位地址：</w:t>
      </w:r>
      <w:r>
        <w:rPr>
          <w:rFonts w:ascii="Times New Roman" w:hAnsi="Times New Roman" w:cs="Times New Roman"/>
          <w:u w:val="single"/>
        </w:rPr>
        <w:t>_____________________________________________</w:t>
      </w:r>
    </w:p>
    <w:p>
      <w:pPr>
        <w:shd w:val="clear" w:color="auto" w:fill="auto"/>
        <w:tabs>
          <w:tab w:val="clear" w:pos="426"/>
        </w:tabs>
        <w:ind w:firstLine="420"/>
        <w:rPr>
          <w:rFonts w:ascii="Times New Roman" w:hAnsi="Times New Roman" w:cs="Times New Roman"/>
        </w:rPr>
      </w:pPr>
      <w:r>
        <w:rPr>
          <w:rFonts w:ascii="Times New Roman" w:hAnsi="Times New Roman" w:cs="Times New Roman"/>
        </w:rPr>
        <w:t>电话：</w:t>
      </w:r>
      <w:r>
        <w:rPr>
          <w:rFonts w:ascii="Times New Roman" w:hAnsi="Times New Roman" w:cs="Times New Roman"/>
          <w:u w:val="single"/>
        </w:rPr>
        <w:t>_______________________</w:t>
      </w:r>
      <w:r>
        <w:rPr>
          <w:rFonts w:ascii="Times New Roman" w:hAnsi="Times New Roman" w:cs="Times New Roman"/>
        </w:rPr>
        <w:t>传真：</w:t>
      </w:r>
      <w:r>
        <w:rPr>
          <w:rFonts w:ascii="Times New Roman" w:hAnsi="Times New Roman" w:cs="Times New Roman"/>
          <w:u w:val="single"/>
        </w:rPr>
        <w:t>____________________</w:t>
      </w:r>
    </w:p>
    <w:p>
      <w:pPr>
        <w:shd w:val="clear" w:color="auto" w:fill="auto"/>
        <w:tabs>
          <w:tab w:val="clear" w:pos="426"/>
        </w:tabs>
        <w:ind w:firstLine="420"/>
        <w:rPr>
          <w:rFonts w:ascii="Times New Roman" w:hAnsi="Times New Roman" w:cs="Times New Roman"/>
        </w:rPr>
      </w:pPr>
      <w:r>
        <w:rPr>
          <w:rFonts w:ascii="Times New Roman" w:hAnsi="Times New Roman" w:cs="Times New Roman"/>
        </w:rPr>
        <w:t>日期：</w:t>
      </w:r>
      <w:r>
        <w:rPr>
          <w:rFonts w:ascii="Times New Roman" w:hAnsi="Times New Roman" w:eastAsia="仿宋_GB2312" w:cs="Times New Roman"/>
          <w:szCs w:val="21"/>
          <w:u w:val="single"/>
        </w:rPr>
        <w:t>_________________________________________________</w:t>
      </w:r>
    </w:p>
    <w:p>
      <w:pPr>
        <w:shd w:val="clear" w:color="auto" w:fill="auto"/>
        <w:tabs>
          <w:tab w:val="clear" w:pos="426"/>
        </w:tabs>
        <w:ind w:firstLine="420"/>
        <w:rPr>
          <w:rFonts w:ascii="Times New Roman" w:hAnsi="Times New Roman" w:cs="Times New Roman"/>
        </w:rPr>
      </w:pPr>
    </w:p>
    <w:p>
      <w:pPr>
        <w:shd w:val="clear" w:color="auto" w:fill="auto"/>
        <w:tabs>
          <w:tab w:val="clear" w:pos="426"/>
        </w:tabs>
        <w:ind w:firstLine="420"/>
        <w:rPr>
          <w:rFonts w:ascii="Times New Roman" w:hAnsi="Times New Roman" w:cs="Times New Roman"/>
        </w:rPr>
      </w:pPr>
      <w:r>
        <w:rPr>
          <w:rFonts w:hint="eastAsia" w:ascii="Times New Roman" w:hAnsi="Times New Roman" w:cs="Times New Roman"/>
        </w:rPr>
        <w:t>说明：《履约担保》为中标后提交履约保函时所用，投标文件中无需提供《履约担保》。</w:t>
      </w:r>
    </w:p>
    <w:p>
      <w:pPr>
        <w:widowControl w:val="0"/>
        <w:shd w:val="clear" w:color="auto" w:fill="auto"/>
        <w:tabs>
          <w:tab w:val="clear" w:pos="426"/>
        </w:tabs>
        <w:spacing w:line="240" w:lineRule="auto"/>
        <w:ind w:left="424" w:leftChars="202" w:firstLine="420"/>
        <w:rPr>
          <w:rFonts w:ascii="Times New Roman" w:hAnsi="Times New Roman" w:cs="Times New Roman"/>
          <w:kern w:val="2"/>
          <w:szCs w:val="21"/>
        </w:rPr>
      </w:pPr>
    </w:p>
    <w:p>
      <w:pPr>
        <w:shd w:val="clear" w:color="auto" w:fill="auto"/>
        <w:tabs>
          <w:tab w:val="clear" w:pos="426"/>
        </w:tabs>
        <w:spacing w:line="240" w:lineRule="auto"/>
        <w:ind w:firstLine="420"/>
        <w:jc w:val="left"/>
        <w:rPr>
          <w:rFonts w:ascii="Times New Roman" w:hAnsi="Times New Roman" w:cs="Times New Roman"/>
          <w:kern w:val="2"/>
          <w:szCs w:val="21"/>
        </w:rPr>
      </w:pPr>
      <w:r>
        <w:rPr>
          <w:rFonts w:ascii="Times New Roman" w:hAnsi="Times New Roman" w:cs="Times New Roman"/>
          <w:kern w:val="2"/>
          <w:szCs w:val="21"/>
        </w:rPr>
        <w:br w:type="page"/>
      </w:r>
    </w:p>
    <w:p>
      <w:pPr>
        <w:pStyle w:val="321"/>
        <w:pageBreakBefore/>
        <w:shd w:val="clear" w:color="auto" w:fill="auto"/>
        <w:ind w:firstLine="482"/>
        <w:rPr>
          <w:rFonts w:ascii="Times New Roman" w:hAnsi="Times New Roman"/>
        </w:rPr>
      </w:pPr>
      <w:r>
        <w:rPr>
          <w:rFonts w:ascii="Times New Roman" w:hAnsi="Times New Roman"/>
        </w:rPr>
        <w:t>四、政府采购履约情况反馈表</w:t>
      </w:r>
    </w:p>
    <w:p>
      <w:pPr>
        <w:shd w:val="clear" w:color="auto" w:fill="auto"/>
        <w:tabs>
          <w:tab w:val="clear" w:pos="426"/>
        </w:tabs>
        <w:ind w:firstLine="420"/>
        <w:rPr>
          <w:rFonts w:ascii="Times New Roman" w:hAnsi="Times New Roman" w:cs="Times New Roman"/>
          <w:u w:val="single"/>
        </w:rPr>
      </w:pPr>
      <w:r>
        <w:rPr>
          <w:rFonts w:ascii="Times New Roman" w:hAnsi="Times New Roman" w:cs="Times New Roman"/>
        </w:rPr>
        <w:t>采购单位名称：</w:t>
      </w:r>
      <w:r>
        <w:rPr>
          <w:rFonts w:ascii="Times New Roman" w:hAnsi="Times New Roman" w:cs="Times New Roman"/>
          <w:u w:val="single"/>
        </w:rPr>
        <w:t>__________________________</w:t>
      </w:r>
      <w:r>
        <w:rPr>
          <w:rFonts w:ascii="Times New Roman" w:hAnsi="Times New Roman" w:cs="Times New Roman"/>
        </w:rPr>
        <w:t>联系人及电话：</w:t>
      </w:r>
      <w:r>
        <w:rPr>
          <w:rFonts w:ascii="Times New Roman" w:hAnsi="Times New Roman" w:cs="Times New Roman"/>
          <w:u w:val="single"/>
        </w:rPr>
        <w:t>_________________________</w:t>
      </w:r>
    </w:p>
    <w:tbl>
      <w:tblPr>
        <w:tblStyle w:val="44"/>
        <w:tblW w:w="5000"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849"/>
        <w:gridCol w:w="727"/>
        <w:gridCol w:w="728"/>
        <w:gridCol w:w="2545"/>
        <w:gridCol w:w="1999"/>
        <w:gridCol w:w="2156"/>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1280" w:type="pct"/>
            <w:gridSpan w:val="3"/>
            <w:vAlign w:val="center"/>
          </w:tcPr>
          <w:p>
            <w:pPr>
              <w:shd w:val="clear" w:color="auto" w:fill="auto"/>
              <w:tabs>
                <w:tab w:val="clear" w:pos="426"/>
              </w:tabs>
              <w:spacing w:line="240" w:lineRule="auto"/>
              <w:jc w:val="left"/>
              <w:rPr>
                <w:rFonts w:ascii="Times New Roman" w:hAnsi="Times New Roman" w:cs="Times New Roman"/>
              </w:rPr>
            </w:pPr>
            <w:r>
              <w:rPr>
                <w:rFonts w:ascii="Times New Roman" w:hAnsi="Times New Roman" w:cs="Times New Roman"/>
              </w:rPr>
              <w:t>采购项目名称</w:t>
            </w:r>
          </w:p>
        </w:tc>
        <w:tc>
          <w:tcPr>
            <w:tcW w:w="1413" w:type="pct"/>
            <w:vAlign w:val="center"/>
          </w:tcPr>
          <w:p>
            <w:pPr>
              <w:shd w:val="clear" w:color="auto" w:fill="auto"/>
              <w:tabs>
                <w:tab w:val="clear" w:pos="426"/>
              </w:tabs>
              <w:spacing w:line="240" w:lineRule="auto"/>
              <w:jc w:val="left"/>
              <w:rPr>
                <w:rFonts w:ascii="Times New Roman" w:hAnsi="Times New Roman" w:cs="Times New Roman"/>
              </w:rPr>
            </w:pPr>
          </w:p>
        </w:tc>
        <w:tc>
          <w:tcPr>
            <w:tcW w:w="1110" w:type="pct"/>
            <w:vAlign w:val="center"/>
          </w:tcPr>
          <w:p>
            <w:pPr>
              <w:shd w:val="clear" w:color="auto" w:fill="auto"/>
              <w:tabs>
                <w:tab w:val="clear" w:pos="426"/>
              </w:tabs>
              <w:spacing w:line="240" w:lineRule="auto"/>
              <w:jc w:val="left"/>
              <w:rPr>
                <w:rFonts w:ascii="Times New Roman" w:hAnsi="Times New Roman" w:cs="Times New Roman"/>
              </w:rPr>
            </w:pPr>
            <w:r>
              <w:rPr>
                <w:rFonts w:ascii="Times New Roman" w:hAnsi="Times New Roman" w:cs="Times New Roman"/>
              </w:rPr>
              <w:t>采购项目编号</w:t>
            </w:r>
          </w:p>
        </w:tc>
        <w:tc>
          <w:tcPr>
            <w:tcW w:w="1197" w:type="pct"/>
            <w:vAlign w:val="center"/>
          </w:tcPr>
          <w:p>
            <w:pPr>
              <w:pStyle w:val="6"/>
              <w:shd w:val="clear" w:color="auto" w:fill="auto"/>
              <w:tabs>
                <w:tab w:val="clear" w:pos="426"/>
              </w:tabs>
              <w:spacing w:line="240" w:lineRule="auto"/>
              <w:ind w:firstLine="482"/>
              <w:jc w:val="left"/>
              <w:rPr>
                <w:kern w:val="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1280" w:type="pct"/>
            <w:gridSpan w:val="3"/>
            <w:vAlign w:val="center"/>
          </w:tcPr>
          <w:p>
            <w:pPr>
              <w:shd w:val="clear" w:color="auto" w:fill="auto"/>
              <w:tabs>
                <w:tab w:val="clear" w:pos="426"/>
              </w:tabs>
              <w:spacing w:line="240" w:lineRule="auto"/>
              <w:jc w:val="left"/>
              <w:rPr>
                <w:rFonts w:ascii="Times New Roman" w:hAnsi="Times New Roman" w:cs="Times New Roman"/>
              </w:rPr>
            </w:pPr>
            <w:r>
              <w:rPr>
                <w:rFonts w:ascii="Times New Roman" w:hAnsi="Times New Roman" w:cs="Times New Roman"/>
              </w:rPr>
              <w:t>中标人名称</w:t>
            </w:r>
          </w:p>
        </w:tc>
        <w:tc>
          <w:tcPr>
            <w:tcW w:w="1413" w:type="pct"/>
            <w:vAlign w:val="center"/>
          </w:tcPr>
          <w:p>
            <w:pPr>
              <w:shd w:val="clear" w:color="auto" w:fill="auto"/>
              <w:tabs>
                <w:tab w:val="clear" w:pos="426"/>
              </w:tabs>
              <w:spacing w:line="240" w:lineRule="auto"/>
              <w:jc w:val="left"/>
              <w:rPr>
                <w:rFonts w:ascii="Times New Roman" w:hAnsi="Times New Roman" w:cs="Times New Roman"/>
              </w:rPr>
            </w:pPr>
          </w:p>
        </w:tc>
        <w:tc>
          <w:tcPr>
            <w:tcW w:w="1110" w:type="pct"/>
            <w:vAlign w:val="center"/>
          </w:tcPr>
          <w:p>
            <w:pPr>
              <w:shd w:val="clear" w:color="auto" w:fill="auto"/>
              <w:tabs>
                <w:tab w:val="clear" w:pos="426"/>
              </w:tabs>
              <w:spacing w:line="240" w:lineRule="auto"/>
              <w:jc w:val="left"/>
              <w:rPr>
                <w:rFonts w:ascii="Times New Roman" w:hAnsi="Times New Roman" w:cs="Times New Roman"/>
              </w:rPr>
            </w:pPr>
            <w:r>
              <w:rPr>
                <w:rFonts w:ascii="Times New Roman" w:hAnsi="Times New Roman" w:cs="Times New Roman"/>
              </w:rPr>
              <w:t>供应商</w:t>
            </w:r>
          </w:p>
          <w:p>
            <w:pPr>
              <w:shd w:val="clear" w:color="auto" w:fill="auto"/>
              <w:tabs>
                <w:tab w:val="clear" w:pos="426"/>
              </w:tabs>
              <w:spacing w:line="240" w:lineRule="auto"/>
              <w:jc w:val="left"/>
              <w:rPr>
                <w:rFonts w:ascii="Times New Roman" w:hAnsi="Times New Roman" w:cs="Times New Roman"/>
              </w:rPr>
            </w:pPr>
            <w:r>
              <w:rPr>
                <w:rFonts w:ascii="Times New Roman" w:hAnsi="Times New Roman" w:cs="Times New Roman"/>
              </w:rPr>
              <w:t>联系人及电话</w:t>
            </w:r>
          </w:p>
        </w:tc>
        <w:tc>
          <w:tcPr>
            <w:tcW w:w="1197" w:type="pct"/>
            <w:vAlign w:val="center"/>
          </w:tcPr>
          <w:p>
            <w:pPr>
              <w:shd w:val="clear" w:color="auto" w:fill="auto"/>
              <w:tabs>
                <w:tab w:val="clear" w:pos="426"/>
              </w:tabs>
              <w:spacing w:line="240" w:lineRule="auto"/>
              <w:jc w:val="left"/>
              <w:rPr>
                <w:rFonts w:ascii="Times New Roman" w:hAnsi="Times New Roman" w:cs="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1280" w:type="pct"/>
            <w:gridSpan w:val="3"/>
            <w:vAlign w:val="center"/>
          </w:tcPr>
          <w:p>
            <w:pPr>
              <w:shd w:val="clear" w:color="auto" w:fill="auto"/>
              <w:tabs>
                <w:tab w:val="clear" w:pos="426"/>
              </w:tabs>
              <w:spacing w:line="240" w:lineRule="auto"/>
              <w:jc w:val="left"/>
              <w:rPr>
                <w:rFonts w:ascii="Times New Roman" w:hAnsi="Times New Roman" w:cs="Times New Roman"/>
              </w:rPr>
            </w:pPr>
            <w:r>
              <w:rPr>
                <w:rFonts w:ascii="Times New Roman" w:hAnsi="Times New Roman" w:cs="Times New Roman"/>
              </w:rPr>
              <w:t>中标金额</w:t>
            </w:r>
          </w:p>
        </w:tc>
        <w:tc>
          <w:tcPr>
            <w:tcW w:w="1413" w:type="pct"/>
            <w:vAlign w:val="center"/>
          </w:tcPr>
          <w:p>
            <w:pPr>
              <w:shd w:val="clear" w:color="auto" w:fill="auto"/>
              <w:tabs>
                <w:tab w:val="clear" w:pos="426"/>
              </w:tabs>
              <w:spacing w:line="240" w:lineRule="auto"/>
              <w:jc w:val="left"/>
              <w:rPr>
                <w:rFonts w:ascii="Times New Roman" w:hAnsi="Times New Roman" w:cs="Times New Roman"/>
              </w:rPr>
            </w:pPr>
          </w:p>
        </w:tc>
        <w:tc>
          <w:tcPr>
            <w:tcW w:w="1110" w:type="pct"/>
            <w:vAlign w:val="center"/>
          </w:tcPr>
          <w:p>
            <w:pPr>
              <w:shd w:val="clear" w:color="auto" w:fill="auto"/>
              <w:tabs>
                <w:tab w:val="clear" w:pos="426"/>
              </w:tabs>
              <w:spacing w:line="240" w:lineRule="auto"/>
              <w:jc w:val="left"/>
              <w:rPr>
                <w:rFonts w:ascii="Times New Roman" w:hAnsi="Times New Roman" w:cs="Times New Roman"/>
              </w:rPr>
            </w:pPr>
            <w:r>
              <w:rPr>
                <w:rFonts w:ascii="Times New Roman" w:hAnsi="Times New Roman" w:cs="Times New Roman"/>
              </w:rPr>
              <w:t>合同履约时间</w:t>
            </w:r>
          </w:p>
        </w:tc>
        <w:tc>
          <w:tcPr>
            <w:tcW w:w="1197" w:type="pct"/>
            <w:vAlign w:val="center"/>
          </w:tcPr>
          <w:p>
            <w:pPr>
              <w:shd w:val="clear" w:color="auto" w:fill="auto"/>
              <w:tabs>
                <w:tab w:val="clear" w:pos="426"/>
              </w:tabs>
              <w:spacing w:line="240" w:lineRule="auto"/>
              <w:jc w:val="left"/>
              <w:rPr>
                <w:rFonts w:ascii="Times New Roman" w:hAnsi="Times New Roman" w:cs="Times New Roman"/>
              </w:rPr>
            </w:pPr>
            <w:r>
              <w:rPr>
                <w:rFonts w:ascii="Times New Roman" w:hAnsi="Times New Roman" w:cs="Times New Roman"/>
              </w:rPr>
              <w:t>自       至</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472" w:type="pct"/>
            <w:vMerge w:val="restart"/>
            <w:vAlign w:val="center"/>
          </w:tcPr>
          <w:p>
            <w:pPr>
              <w:shd w:val="clear" w:color="auto" w:fill="auto"/>
              <w:tabs>
                <w:tab w:val="clear" w:pos="426"/>
              </w:tabs>
              <w:spacing w:line="240" w:lineRule="auto"/>
              <w:jc w:val="center"/>
              <w:rPr>
                <w:rFonts w:ascii="Times New Roman" w:hAnsi="Times New Roman" w:cs="Times New Roman"/>
              </w:rPr>
            </w:pPr>
            <w:r>
              <w:rPr>
                <w:rFonts w:ascii="Times New Roman" w:hAnsi="Times New Roman" w:cs="Times New Roman"/>
              </w:rPr>
              <w:t>履约情况评价</w:t>
            </w:r>
          </w:p>
        </w:tc>
        <w:tc>
          <w:tcPr>
            <w:tcW w:w="807" w:type="pct"/>
            <w:gridSpan w:val="2"/>
            <w:tcBorders>
              <w:right w:val="single" w:color="auto" w:sz="4" w:space="0"/>
            </w:tcBorders>
            <w:vAlign w:val="center"/>
          </w:tcPr>
          <w:p>
            <w:pPr>
              <w:shd w:val="clear" w:color="auto" w:fill="auto"/>
              <w:tabs>
                <w:tab w:val="clear" w:pos="426"/>
              </w:tabs>
              <w:spacing w:line="240" w:lineRule="auto"/>
              <w:jc w:val="center"/>
              <w:rPr>
                <w:rFonts w:ascii="Times New Roman" w:hAnsi="Times New Roman" w:cs="Times New Roman"/>
              </w:rPr>
            </w:pPr>
            <w:r>
              <w:rPr>
                <w:rFonts w:ascii="Times New Roman" w:hAnsi="Times New Roman" w:cs="Times New Roman"/>
              </w:rPr>
              <w:t>总体评价</w:t>
            </w:r>
          </w:p>
        </w:tc>
        <w:tc>
          <w:tcPr>
            <w:tcW w:w="3720" w:type="pct"/>
            <w:gridSpan w:val="3"/>
            <w:tcBorders>
              <w:left w:val="single" w:color="auto" w:sz="4" w:space="0"/>
            </w:tcBorders>
            <w:vAlign w:val="center"/>
          </w:tcPr>
          <w:p>
            <w:pPr>
              <w:shd w:val="clear" w:color="auto" w:fill="auto"/>
              <w:tabs>
                <w:tab w:val="clear" w:pos="426"/>
              </w:tabs>
              <w:spacing w:line="240" w:lineRule="auto"/>
              <w:rPr>
                <w:rFonts w:ascii="Times New Roman" w:hAnsi="Times New Roman" w:cs="Times New Roman"/>
              </w:rPr>
            </w:pPr>
            <w:r>
              <w:rPr>
                <w:rFonts w:ascii="Times New Roman" w:hAnsi="Times New Roman" w:cs="Times New Roman"/>
              </w:rPr>
              <w:t>□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472" w:type="pct"/>
            <w:vMerge w:val="continue"/>
            <w:vAlign w:val="center"/>
          </w:tcPr>
          <w:p>
            <w:pPr>
              <w:shd w:val="clear" w:color="auto" w:fill="auto"/>
              <w:tabs>
                <w:tab w:val="clear" w:pos="426"/>
              </w:tabs>
              <w:spacing w:line="240" w:lineRule="auto"/>
              <w:rPr>
                <w:rFonts w:ascii="Times New Roman" w:hAnsi="Times New Roman" w:cs="Times New Roman"/>
              </w:rPr>
            </w:pPr>
          </w:p>
        </w:tc>
        <w:tc>
          <w:tcPr>
            <w:tcW w:w="404" w:type="pct"/>
            <w:vMerge w:val="restart"/>
            <w:tcBorders>
              <w:right w:val="single" w:color="auto" w:sz="4" w:space="0"/>
            </w:tcBorders>
            <w:vAlign w:val="center"/>
          </w:tcPr>
          <w:p>
            <w:pPr>
              <w:shd w:val="clear" w:color="auto" w:fill="auto"/>
              <w:tabs>
                <w:tab w:val="clear" w:pos="426"/>
              </w:tabs>
              <w:spacing w:line="240" w:lineRule="auto"/>
              <w:jc w:val="center"/>
              <w:rPr>
                <w:rFonts w:ascii="Times New Roman" w:hAnsi="Times New Roman" w:cs="Times New Roman"/>
              </w:rPr>
            </w:pPr>
            <w:r>
              <w:rPr>
                <w:rFonts w:ascii="Times New Roman" w:hAnsi="Times New Roman" w:cs="Times New Roman"/>
              </w:rPr>
              <w:t>分项评价</w:t>
            </w:r>
          </w:p>
        </w:tc>
        <w:tc>
          <w:tcPr>
            <w:tcW w:w="404" w:type="pct"/>
            <w:tcBorders>
              <w:left w:val="single" w:color="auto" w:sz="4" w:space="0"/>
              <w:right w:val="single" w:color="auto" w:sz="4" w:space="0"/>
            </w:tcBorders>
            <w:vAlign w:val="center"/>
          </w:tcPr>
          <w:p>
            <w:pPr>
              <w:shd w:val="clear" w:color="auto" w:fill="auto"/>
              <w:tabs>
                <w:tab w:val="clear" w:pos="426"/>
              </w:tabs>
              <w:spacing w:line="240" w:lineRule="auto"/>
              <w:jc w:val="center"/>
              <w:rPr>
                <w:rFonts w:ascii="Times New Roman" w:hAnsi="Times New Roman" w:cs="Times New Roman"/>
              </w:rPr>
            </w:pPr>
            <w:r>
              <w:rPr>
                <w:rFonts w:ascii="Times New Roman" w:hAnsi="Times New Roman" w:cs="Times New Roman"/>
              </w:rPr>
              <w:t>质量方面</w:t>
            </w:r>
          </w:p>
        </w:tc>
        <w:tc>
          <w:tcPr>
            <w:tcW w:w="3720" w:type="pct"/>
            <w:gridSpan w:val="3"/>
            <w:tcBorders>
              <w:left w:val="single" w:color="auto" w:sz="4" w:space="0"/>
            </w:tcBorders>
            <w:vAlign w:val="center"/>
          </w:tcPr>
          <w:p>
            <w:pPr>
              <w:shd w:val="clear" w:color="auto" w:fill="auto"/>
              <w:tabs>
                <w:tab w:val="clear" w:pos="426"/>
              </w:tabs>
              <w:spacing w:line="240" w:lineRule="auto"/>
              <w:rPr>
                <w:rFonts w:ascii="Times New Roman" w:hAnsi="Times New Roman" w:cs="Times New Roman"/>
              </w:rPr>
            </w:pPr>
            <w:r>
              <w:rPr>
                <w:rFonts w:ascii="Times New Roman" w:hAnsi="Times New Roman" w:cs="Times New Roman"/>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472" w:type="pct"/>
            <w:vMerge w:val="continue"/>
            <w:vAlign w:val="center"/>
          </w:tcPr>
          <w:p>
            <w:pPr>
              <w:shd w:val="clear" w:color="auto" w:fill="auto"/>
              <w:tabs>
                <w:tab w:val="clear" w:pos="426"/>
              </w:tabs>
              <w:spacing w:line="240" w:lineRule="auto"/>
              <w:rPr>
                <w:rFonts w:ascii="Times New Roman" w:hAnsi="Times New Roman" w:cs="Times New Roman"/>
              </w:rPr>
            </w:pPr>
          </w:p>
        </w:tc>
        <w:tc>
          <w:tcPr>
            <w:tcW w:w="404" w:type="pct"/>
            <w:vMerge w:val="continue"/>
            <w:tcBorders>
              <w:right w:val="single" w:color="auto" w:sz="4" w:space="0"/>
            </w:tcBorders>
            <w:vAlign w:val="center"/>
          </w:tcPr>
          <w:p>
            <w:pPr>
              <w:shd w:val="clear" w:color="auto" w:fill="auto"/>
              <w:tabs>
                <w:tab w:val="clear" w:pos="426"/>
              </w:tabs>
              <w:spacing w:line="240" w:lineRule="auto"/>
              <w:rPr>
                <w:rFonts w:ascii="Times New Roman" w:hAnsi="Times New Roman" w:cs="Times New Roman"/>
              </w:rPr>
            </w:pPr>
          </w:p>
        </w:tc>
        <w:tc>
          <w:tcPr>
            <w:tcW w:w="404" w:type="pct"/>
            <w:tcBorders>
              <w:left w:val="single" w:color="auto" w:sz="4" w:space="0"/>
              <w:right w:val="single" w:color="auto" w:sz="4" w:space="0"/>
            </w:tcBorders>
            <w:vAlign w:val="center"/>
          </w:tcPr>
          <w:p>
            <w:pPr>
              <w:shd w:val="clear" w:color="auto" w:fill="auto"/>
              <w:tabs>
                <w:tab w:val="clear" w:pos="426"/>
              </w:tabs>
              <w:spacing w:line="240" w:lineRule="auto"/>
              <w:jc w:val="center"/>
              <w:rPr>
                <w:rFonts w:ascii="Times New Roman" w:hAnsi="Times New Roman" w:cs="Times New Roman"/>
              </w:rPr>
            </w:pPr>
            <w:r>
              <w:rPr>
                <w:rFonts w:ascii="Times New Roman" w:hAnsi="Times New Roman" w:cs="Times New Roman"/>
              </w:rPr>
              <w:t>价格方面</w:t>
            </w:r>
          </w:p>
        </w:tc>
        <w:tc>
          <w:tcPr>
            <w:tcW w:w="3720" w:type="pct"/>
            <w:gridSpan w:val="3"/>
            <w:tcBorders>
              <w:left w:val="single" w:color="auto" w:sz="4" w:space="0"/>
            </w:tcBorders>
            <w:vAlign w:val="center"/>
          </w:tcPr>
          <w:p>
            <w:pPr>
              <w:shd w:val="clear" w:color="auto" w:fill="auto"/>
              <w:tabs>
                <w:tab w:val="clear" w:pos="426"/>
              </w:tabs>
              <w:spacing w:line="240" w:lineRule="auto"/>
              <w:rPr>
                <w:rFonts w:ascii="Times New Roman" w:hAnsi="Times New Roman" w:cs="Times New Roman"/>
              </w:rPr>
            </w:pPr>
            <w:r>
              <w:rPr>
                <w:rFonts w:ascii="Times New Roman" w:hAnsi="Times New Roman" w:cs="Times New Roman"/>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472" w:type="pct"/>
            <w:vMerge w:val="continue"/>
            <w:vAlign w:val="center"/>
          </w:tcPr>
          <w:p>
            <w:pPr>
              <w:shd w:val="clear" w:color="auto" w:fill="auto"/>
              <w:tabs>
                <w:tab w:val="clear" w:pos="426"/>
              </w:tabs>
              <w:spacing w:line="240" w:lineRule="auto"/>
              <w:rPr>
                <w:rFonts w:ascii="Times New Roman" w:hAnsi="Times New Roman" w:cs="Times New Roman"/>
              </w:rPr>
            </w:pPr>
          </w:p>
        </w:tc>
        <w:tc>
          <w:tcPr>
            <w:tcW w:w="404" w:type="pct"/>
            <w:vMerge w:val="continue"/>
            <w:tcBorders>
              <w:right w:val="single" w:color="auto" w:sz="4" w:space="0"/>
            </w:tcBorders>
            <w:vAlign w:val="center"/>
          </w:tcPr>
          <w:p>
            <w:pPr>
              <w:shd w:val="clear" w:color="auto" w:fill="auto"/>
              <w:tabs>
                <w:tab w:val="clear" w:pos="426"/>
              </w:tabs>
              <w:spacing w:line="240" w:lineRule="auto"/>
              <w:rPr>
                <w:rFonts w:ascii="Times New Roman" w:hAnsi="Times New Roman" w:cs="Times New Roman"/>
              </w:rPr>
            </w:pPr>
          </w:p>
        </w:tc>
        <w:tc>
          <w:tcPr>
            <w:tcW w:w="404" w:type="pct"/>
            <w:tcBorders>
              <w:left w:val="single" w:color="auto" w:sz="4" w:space="0"/>
              <w:right w:val="single" w:color="auto" w:sz="4" w:space="0"/>
            </w:tcBorders>
            <w:vAlign w:val="center"/>
          </w:tcPr>
          <w:p>
            <w:pPr>
              <w:shd w:val="clear" w:color="auto" w:fill="auto"/>
              <w:tabs>
                <w:tab w:val="clear" w:pos="426"/>
              </w:tabs>
              <w:spacing w:line="240" w:lineRule="auto"/>
              <w:jc w:val="center"/>
              <w:rPr>
                <w:rFonts w:ascii="Times New Roman" w:hAnsi="Times New Roman" w:cs="Times New Roman"/>
              </w:rPr>
            </w:pPr>
            <w:r>
              <w:rPr>
                <w:rFonts w:ascii="Times New Roman" w:hAnsi="Times New Roman" w:cs="Times New Roman"/>
              </w:rPr>
              <w:t>服务方面</w:t>
            </w:r>
          </w:p>
        </w:tc>
        <w:tc>
          <w:tcPr>
            <w:tcW w:w="3720" w:type="pct"/>
            <w:gridSpan w:val="3"/>
            <w:tcBorders>
              <w:left w:val="single" w:color="auto" w:sz="4" w:space="0"/>
            </w:tcBorders>
            <w:vAlign w:val="center"/>
          </w:tcPr>
          <w:p>
            <w:pPr>
              <w:shd w:val="clear" w:color="auto" w:fill="auto"/>
              <w:tabs>
                <w:tab w:val="clear" w:pos="426"/>
              </w:tabs>
              <w:spacing w:line="240" w:lineRule="auto"/>
              <w:rPr>
                <w:rFonts w:ascii="Times New Roman" w:hAnsi="Times New Roman" w:cs="Times New Roman"/>
              </w:rPr>
            </w:pPr>
            <w:r>
              <w:rPr>
                <w:rFonts w:ascii="Times New Roman" w:hAnsi="Times New Roman" w:cs="Times New Roman"/>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472" w:type="pct"/>
            <w:vMerge w:val="continue"/>
            <w:vAlign w:val="center"/>
          </w:tcPr>
          <w:p>
            <w:pPr>
              <w:shd w:val="clear" w:color="auto" w:fill="auto"/>
              <w:tabs>
                <w:tab w:val="clear" w:pos="426"/>
              </w:tabs>
              <w:spacing w:line="240" w:lineRule="auto"/>
              <w:rPr>
                <w:rFonts w:ascii="Times New Roman" w:hAnsi="Times New Roman" w:cs="Times New Roman"/>
              </w:rPr>
            </w:pPr>
          </w:p>
        </w:tc>
        <w:tc>
          <w:tcPr>
            <w:tcW w:w="404" w:type="pct"/>
            <w:vMerge w:val="continue"/>
            <w:tcBorders>
              <w:right w:val="single" w:color="auto" w:sz="4" w:space="0"/>
            </w:tcBorders>
            <w:vAlign w:val="center"/>
          </w:tcPr>
          <w:p>
            <w:pPr>
              <w:shd w:val="clear" w:color="auto" w:fill="auto"/>
              <w:tabs>
                <w:tab w:val="clear" w:pos="426"/>
              </w:tabs>
              <w:spacing w:line="240" w:lineRule="auto"/>
              <w:rPr>
                <w:rFonts w:ascii="Times New Roman" w:hAnsi="Times New Roman" w:cs="Times New Roman"/>
              </w:rPr>
            </w:pPr>
          </w:p>
        </w:tc>
        <w:tc>
          <w:tcPr>
            <w:tcW w:w="404" w:type="pct"/>
            <w:tcBorders>
              <w:left w:val="single" w:color="auto" w:sz="4" w:space="0"/>
              <w:right w:val="single" w:color="auto" w:sz="4" w:space="0"/>
            </w:tcBorders>
            <w:vAlign w:val="center"/>
          </w:tcPr>
          <w:p>
            <w:pPr>
              <w:shd w:val="clear" w:color="auto" w:fill="auto"/>
              <w:tabs>
                <w:tab w:val="clear" w:pos="426"/>
              </w:tabs>
              <w:spacing w:line="240" w:lineRule="auto"/>
              <w:jc w:val="center"/>
              <w:rPr>
                <w:rFonts w:ascii="Times New Roman" w:hAnsi="Times New Roman" w:cs="Times New Roman"/>
              </w:rPr>
            </w:pPr>
            <w:r>
              <w:rPr>
                <w:rFonts w:ascii="Times New Roman" w:hAnsi="Times New Roman" w:cs="Times New Roman"/>
              </w:rPr>
              <w:t>时间方面</w:t>
            </w:r>
          </w:p>
        </w:tc>
        <w:tc>
          <w:tcPr>
            <w:tcW w:w="3720" w:type="pct"/>
            <w:gridSpan w:val="3"/>
            <w:tcBorders>
              <w:left w:val="single" w:color="auto" w:sz="4" w:space="0"/>
            </w:tcBorders>
            <w:vAlign w:val="center"/>
          </w:tcPr>
          <w:p>
            <w:pPr>
              <w:shd w:val="clear" w:color="auto" w:fill="auto"/>
              <w:tabs>
                <w:tab w:val="clear" w:pos="426"/>
              </w:tabs>
              <w:spacing w:line="240" w:lineRule="auto"/>
              <w:rPr>
                <w:rFonts w:ascii="Times New Roman" w:hAnsi="Times New Roman" w:cs="Times New Roman"/>
              </w:rPr>
            </w:pPr>
            <w:r>
              <w:rPr>
                <w:rFonts w:ascii="Times New Roman" w:hAnsi="Times New Roman" w:cs="Times New Roman"/>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472" w:type="pct"/>
            <w:vMerge w:val="continue"/>
            <w:vAlign w:val="center"/>
          </w:tcPr>
          <w:p>
            <w:pPr>
              <w:shd w:val="clear" w:color="auto" w:fill="auto"/>
              <w:tabs>
                <w:tab w:val="clear" w:pos="426"/>
              </w:tabs>
              <w:spacing w:line="240" w:lineRule="auto"/>
              <w:rPr>
                <w:rFonts w:ascii="Times New Roman" w:hAnsi="Times New Roman" w:cs="Times New Roman"/>
              </w:rPr>
            </w:pPr>
          </w:p>
        </w:tc>
        <w:tc>
          <w:tcPr>
            <w:tcW w:w="404" w:type="pct"/>
            <w:vMerge w:val="continue"/>
            <w:tcBorders>
              <w:right w:val="single" w:color="auto" w:sz="4" w:space="0"/>
            </w:tcBorders>
            <w:vAlign w:val="center"/>
          </w:tcPr>
          <w:p>
            <w:pPr>
              <w:shd w:val="clear" w:color="auto" w:fill="auto"/>
              <w:tabs>
                <w:tab w:val="clear" w:pos="426"/>
              </w:tabs>
              <w:spacing w:line="240" w:lineRule="auto"/>
              <w:rPr>
                <w:rFonts w:ascii="Times New Roman" w:hAnsi="Times New Roman" w:cs="Times New Roman"/>
              </w:rPr>
            </w:pPr>
          </w:p>
        </w:tc>
        <w:tc>
          <w:tcPr>
            <w:tcW w:w="404" w:type="pct"/>
            <w:tcBorders>
              <w:left w:val="single" w:color="auto" w:sz="4" w:space="0"/>
              <w:right w:val="single" w:color="auto" w:sz="4" w:space="0"/>
            </w:tcBorders>
            <w:vAlign w:val="center"/>
          </w:tcPr>
          <w:p>
            <w:pPr>
              <w:shd w:val="clear" w:color="auto" w:fill="auto"/>
              <w:tabs>
                <w:tab w:val="clear" w:pos="426"/>
              </w:tabs>
              <w:spacing w:line="240" w:lineRule="auto"/>
              <w:jc w:val="center"/>
              <w:rPr>
                <w:rFonts w:ascii="Times New Roman" w:hAnsi="Times New Roman" w:cs="Times New Roman"/>
              </w:rPr>
            </w:pPr>
            <w:r>
              <w:rPr>
                <w:rFonts w:ascii="Times New Roman" w:hAnsi="Times New Roman" w:cs="Times New Roman"/>
              </w:rPr>
              <w:t>环境保护</w:t>
            </w:r>
          </w:p>
        </w:tc>
        <w:tc>
          <w:tcPr>
            <w:tcW w:w="3720" w:type="pct"/>
            <w:gridSpan w:val="3"/>
            <w:tcBorders>
              <w:left w:val="single" w:color="auto" w:sz="4" w:space="0"/>
            </w:tcBorders>
            <w:vAlign w:val="center"/>
          </w:tcPr>
          <w:p>
            <w:pPr>
              <w:shd w:val="clear" w:color="auto" w:fill="auto"/>
              <w:tabs>
                <w:tab w:val="clear" w:pos="426"/>
              </w:tabs>
              <w:spacing w:line="240" w:lineRule="auto"/>
              <w:rPr>
                <w:rFonts w:ascii="Times New Roman" w:hAnsi="Times New Roman" w:cs="Times New Roman"/>
              </w:rPr>
            </w:pPr>
            <w:r>
              <w:rPr>
                <w:rFonts w:ascii="Times New Roman" w:hAnsi="Times New Roman" w:cs="Times New Roman"/>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472" w:type="pct"/>
            <w:vMerge w:val="continue"/>
            <w:vAlign w:val="center"/>
          </w:tcPr>
          <w:p>
            <w:pPr>
              <w:shd w:val="clear" w:color="auto" w:fill="auto"/>
              <w:tabs>
                <w:tab w:val="clear" w:pos="426"/>
              </w:tabs>
              <w:spacing w:line="240" w:lineRule="auto"/>
              <w:rPr>
                <w:rFonts w:ascii="Times New Roman" w:hAnsi="Times New Roman" w:cs="Times New Roman"/>
              </w:rPr>
            </w:pPr>
          </w:p>
        </w:tc>
        <w:tc>
          <w:tcPr>
            <w:tcW w:w="404" w:type="pct"/>
            <w:vMerge w:val="continue"/>
            <w:tcBorders>
              <w:right w:val="single" w:color="auto" w:sz="4" w:space="0"/>
            </w:tcBorders>
            <w:vAlign w:val="center"/>
          </w:tcPr>
          <w:p>
            <w:pPr>
              <w:shd w:val="clear" w:color="auto" w:fill="auto"/>
              <w:tabs>
                <w:tab w:val="clear" w:pos="426"/>
              </w:tabs>
              <w:spacing w:line="240" w:lineRule="auto"/>
              <w:rPr>
                <w:rFonts w:ascii="Times New Roman" w:hAnsi="Times New Roman" w:cs="Times New Roman"/>
              </w:rPr>
            </w:pPr>
          </w:p>
        </w:tc>
        <w:tc>
          <w:tcPr>
            <w:tcW w:w="404" w:type="pct"/>
            <w:tcBorders>
              <w:left w:val="single" w:color="auto" w:sz="4" w:space="0"/>
              <w:right w:val="single" w:color="auto" w:sz="4" w:space="0"/>
            </w:tcBorders>
            <w:vAlign w:val="center"/>
          </w:tcPr>
          <w:p>
            <w:pPr>
              <w:shd w:val="clear" w:color="auto" w:fill="auto"/>
              <w:tabs>
                <w:tab w:val="clear" w:pos="426"/>
              </w:tabs>
              <w:spacing w:line="240" w:lineRule="auto"/>
              <w:jc w:val="center"/>
              <w:rPr>
                <w:rFonts w:ascii="Times New Roman" w:hAnsi="Times New Roman" w:cs="Times New Roman"/>
              </w:rPr>
            </w:pPr>
            <w:r>
              <w:rPr>
                <w:rFonts w:ascii="Times New Roman" w:hAnsi="Times New Roman" w:cs="Times New Roman"/>
              </w:rPr>
              <w:t>其他</w:t>
            </w:r>
          </w:p>
        </w:tc>
        <w:tc>
          <w:tcPr>
            <w:tcW w:w="3720" w:type="pct"/>
            <w:gridSpan w:val="3"/>
            <w:tcBorders>
              <w:left w:val="single" w:color="auto" w:sz="4" w:space="0"/>
            </w:tcBorders>
            <w:vAlign w:val="center"/>
          </w:tcPr>
          <w:p>
            <w:pPr>
              <w:shd w:val="clear" w:color="auto" w:fill="auto"/>
              <w:tabs>
                <w:tab w:val="clear" w:pos="426"/>
              </w:tabs>
              <w:spacing w:line="240" w:lineRule="auto"/>
              <w:rPr>
                <w:rFonts w:ascii="Times New Roman" w:hAnsi="Times New Roman" w:cs="Times New Roman"/>
              </w:rPr>
            </w:pPr>
            <w:r>
              <w:rPr>
                <w:rFonts w:ascii="Times New Roman" w:hAnsi="Times New Roman" w:cs="Times New Roman"/>
              </w:rPr>
              <w:t xml:space="preserve">评价内容为：                    </w:t>
            </w:r>
          </w:p>
          <w:p>
            <w:pPr>
              <w:shd w:val="clear" w:color="auto" w:fill="auto"/>
              <w:tabs>
                <w:tab w:val="clear" w:pos="426"/>
              </w:tabs>
              <w:spacing w:line="240" w:lineRule="auto"/>
              <w:rPr>
                <w:rFonts w:ascii="Times New Roman" w:hAnsi="Times New Roman" w:cs="Times New Roman"/>
              </w:rPr>
            </w:pPr>
            <w:r>
              <w:rPr>
                <w:rFonts w:ascii="Times New Roman" w:hAnsi="Times New Roman" w:cs="Times New Roman"/>
              </w:rPr>
              <w:t>评价等级为：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94" w:hRule="atLeast"/>
          <w:jc w:val="center"/>
        </w:trPr>
        <w:tc>
          <w:tcPr>
            <w:tcW w:w="876" w:type="pct"/>
            <w:gridSpan w:val="2"/>
            <w:vAlign w:val="center"/>
          </w:tcPr>
          <w:p>
            <w:pPr>
              <w:shd w:val="clear" w:color="auto" w:fill="auto"/>
              <w:tabs>
                <w:tab w:val="clear" w:pos="426"/>
              </w:tabs>
              <w:spacing w:line="240" w:lineRule="auto"/>
              <w:rPr>
                <w:rFonts w:ascii="Times New Roman" w:hAnsi="Times New Roman" w:cs="Times New Roman"/>
              </w:rPr>
            </w:pPr>
            <w:r>
              <w:rPr>
                <w:rFonts w:ascii="Times New Roman" w:hAnsi="Times New Roman" w:cs="Times New Roman"/>
              </w:rPr>
              <w:t>具体情况说明</w:t>
            </w:r>
          </w:p>
        </w:tc>
        <w:tc>
          <w:tcPr>
            <w:tcW w:w="4124" w:type="pct"/>
            <w:gridSpan w:val="4"/>
            <w:vAlign w:val="center"/>
          </w:tcPr>
          <w:p>
            <w:pPr>
              <w:shd w:val="clear" w:color="auto" w:fill="auto"/>
              <w:tabs>
                <w:tab w:val="clear" w:pos="426"/>
              </w:tabs>
              <w:spacing w:line="240" w:lineRule="auto"/>
              <w:rPr>
                <w:rFonts w:ascii="Times New Roman" w:hAnsi="Times New Roman" w:cs="Times New Roman"/>
              </w:rPr>
            </w:pPr>
          </w:p>
          <w:p>
            <w:pPr>
              <w:shd w:val="clear" w:color="auto" w:fill="auto"/>
              <w:tabs>
                <w:tab w:val="clear" w:pos="426"/>
              </w:tabs>
              <w:spacing w:line="240" w:lineRule="auto"/>
              <w:rPr>
                <w:rFonts w:ascii="Times New Roman" w:hAnsi="Times New Roman" w:cs="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141" w:hRule="atLeast"/>
          <w:jc w:val="center"/>
        </w:trPr>
        <w:tc>
          <w:tcPr>
            <w:tcW w:w="876" w:type="pct"/>
            <w:gridSpan w:val="2"/>
            <w:vAlign w:val="center"/>
          </w:tcPr>
          <w:p>
            <w:pPr>
              <w:shd w:val="clear" w:color="auto" w:fill="auto"/>
              <w:tabs>
                <w:tab w:val="clear" w:pos="426"/>
              </w:tabs>
              <w:spacing w:line="240" w:lineRule="auto"/>
              <w:rPr>
                <w:rFonts w:ascii="Times New Roman" w:hAnsi="Times New Roman" w:cs="Times New Roman"/>
              </w:rPr>
            </w:pPr>
            <w:r>
              <w:rPr>
                <w:rFonts w:ascii="Times New Roman" w:hAnsi="Times New Roman" w:cs="Times New Roman"/>
              </w:rPr>
              <w:t>采购单位意见</w:t>
            </w:r>
          </w:p>
          <w:p>
            <w:pPr>
              <w:shd w:val="clear" w:color="auto" w:fill="auto"/>
              <w:tabs>
                <w:tab w:val="clear" w:pos="426"/>
              </w:tabs>
              <w:spacing w:line="240" w:lineRule="auto"/>
              <w:rPr>
                <w:rFonts w:ascii="Times New Roman" w:hAnsi="Times New Roman" w:cs="Times New Roman"/>
              </w:rPr>
            </w:pPr>
            <w:r>
              <w:rPr>
                <w:rFonts w:ascii="Times New Roman" w:hAnsi="Times New Roman" w:cs="Times New Roman"/>
              </w:rPr>
              <w:t>（公章）</w:t>
            </w:r>
          </w:p>
        </w:tc>
        <w:tc>
          <w:tcPr>
            <w:tcW w:w="4124" w:type="pct"/>
            <w:gridSpan w:val="4"/>
            <w:vAlign w:val="center"/>
          </w:tcPr>
          <w:p>
            <w:pPr>
              <w:shd w:val="clear" w:color="auto" w:fill="auto"/>
              <w:tabs>
                <w:tab w:val="clear" w:pos="426"/>
              </w:tabs>
              <w:spacing w:line="240" w:lineRule="auto"/>
              <w:rPr>
                <w:rFonts w:ascii="Times New Roman" w:hAnsi="Times New Roman" w:cs="Times New Roman"/>
              </w:rPr>
            </w:pPr>
          </w:p>
          <w:p>
            <w:pPr>
              <w:shd w:val="clear" w:color="auto" w:fill="auto"/>
              <w:tabs>
                <w:tab w:val="clear" w:pos="426"/>
              </w:tabs>
              <w:spacing w:line="240" w:lineRule="auto"/>
              <w:rPr>
                <w:rFonts w:ascii="Times New Roman" w:hAnsi="Times New Roman" w:cs="Times New Roman"/>
              </w:rPr>
            </w:pPr>
          </w:p>
          <w:p>
            <w:pPr>
              <w:shd w:val="clear" w:color="auto" w:fill="auto"/>
              <w:tabs>
                <w:tab w:val="clear" w:pos="426"/>
              </w:tabs>
              <w:spacing w:line="240" w:lineRule="auto"/>
              <w:rPr>
                <w:rFonts w:ascii="Times New Roman" w:hAnsi="Times New Roman" w:cs="Times New Roman"/>
              </w:rPr>
            </w:pPr>
          </w:p>
          <w:p>
            <w:pPr>
              <w:shd w:val="clear" w:color="auto" w:fill="auto"/>
              <w:tabs>
                <w:tab w:val="clear" w:pos="426"/>
              </w:tabs>
              <w:spacing w:line="240" w:lineRule="auto"/>
              <w:rPr>
                <w:rFonts w:ascii="Times New Roman" w:hAnsi="Times New Roman" w:cs="Times New Roman"/>
              </w:rPr>
            </w:pPr>
            <w:r>
              <w:rPr>
                <w:rFonts w:ascii="Times New Roman" w:hAnsi="Times New Roman" w:cs="Times New Roman"/>
              </w:rPr>
              <w:t>日期：   年   月   日</w:t>
            </w:r>
          </w:p>
        </w:tc>
      </w:tr>
    </w:tbl>
    <w:p>
      <w:pPr>
        <w:shd w:val="clear" w:color="auto" w:fill="auto"/>
        <w:tabs>
          <w:tab w:val="clear" w:pos="426"/>
        </w:tabs>
        <w:ind w:firstLine="420"/>
        <w:rPr>
          <w:rFonts w:ascii="Times New Roman" w:hAnsi="Times New Roman" w:cs="Times New Roman"/>
        </w:rPr>
      </w:pPr>
      <w:r>
        <w:rPr>
          <w:rFonts w:ascii="Times New Roman" w:hAnsi="Times New Roman" w:cs="Times New Roman"/>
        </w:rPr>
        <w:t>说明：</w:t>
      </w:r>
    </w:p>
    <w:p>
      <w:pPr>
        <w:shd w:val="clear" w:color="auto" w:fill="auto"/>
        <w:tabs>
          <w:tab w:val="clear" w:pos="426"/>
        </w:tabs>
        <w:ind w:firstLine="420"/>
        <w:rPr>
          <w:rFonts w:ascii="Times New Roman" w:hAnsi="Times New Roman" w:cs="Times New Roman"/>
        </w:rPr>
      </w:pPr>
      <w:r>
        <w:rPr>
          <w:rFonts w:ascii="Times New Roman" w:hAnsi="Times New Roman" w:cs="Times New Roman"/>
        </w:rPr>
        <w:t>1.本表为采购单位向深圳交易集团有限公司政府采购业务分公司反映政府采购项目履约情况时所用，投标文件中无需提供；</w:t>
      </w:r>
    </w:p>
    <w:p>
      <w:pPr>
        <w:shd w:val="clear" w:color="auto" w:fill="auto"/>
        <w:tabs>
          <w:tab w:val="clear" w:pos="426"/>
        </w:tabs>
        <w:ind w:firstLine="420"/>
        <w:rPr>
          <w:rFonts w:ascii="Times New Roman" w:hAnsi="Times New Roman" w:cs="Times New Roman"/>
        </w:rPr>
      </w:pPr>
      <w:r>
        <w:rPr>
          <w:rFonts w:ascii="Times New Roman" w:hAnsi="Times New Roman" w:cs="Times New Roman"/>
        </w:rPr>
        <w:t>2.履约情况评价分为优、良、中、差四个等级，请在对应的框前打“√”，然后在“具体情况说明”一栏详细说明有关情况。</w:t>
      </w:r>
    </w:p>
    <w:p>
      <w:pPr>
        <w:shd w:val="clear" w:color="auto" w:fill="auto"/>
        <w:tabs>
          <w:tab w:val="clear" w:pos="426"/>
        </w:tabs>
        <w:ind w:firstLine="420"/>
        <w:rPr>
          <w:rFonts w:ascii="Times New Roman" w:hAnsi="Times New Roman" w:cs="Times New Roman"/>
        </w:rPr>
      </w:pPr>
    </w:p>
    <w:p>
      <w:pPr>
        <w:shd w:val="clear" w:color="auto" w:fill="auto"/>
        <w:tabs>
          <w:tab w:val="clear" w:pos="426"/>
        </w:tabs>
        <w:adjustRightInd/>
        <w:snapToGrid/>
        <w:spacing w:line="240" w:lineRule="auto"/>
        <w:ind w:firstLine="420"/>
        <w:jc w:val="left"/>
        <w:rPr>
          <w:rFonts w:ascii="Times New Roman" w:hAnsi="Times New Roman" w:cs="Times New Roman"/>
        </w:rPr>
      </w:pPr>
      <w:r>
        <w:rPr>
          <w:rFonts w:ascii="Times New Roman" w:hAnsi="Times New Roman" w:cs="Times New Roman"/>
        </w:rPr>
        <w:br w:type="page"/>
      </w:r>
    </w:p>
    <w:p>
      <w:pPr>
        <w:pageBreakBefore/>
        <w:shd w:val="clear" w:color="auto" w:fill="auto"/>
        <w:tabs>
          <w:tab w:val="clear" w:pos="426"/>
        </w:tabs>
        <w:spacing w:before="240" w:after="60" w:line="312" w:lineRule="auto"/>
        <w:ind w:firstLine="562"/>
        <w:jc w:val="center"/>
        <w:outlineLvl w:val="1"/>
        <w:rPr>
          <w:rFonts w:ascii="Times New Roman" w:hAnsi="Times New Roman" w:cs="Times New Roman"/>
          <w:b/>
          <w:bCs/>
          <w:kern w:val="28"/>
          <w:sz w:val="28"/>
          <w:szCs w:val="32"/>
        </w:rPr>
      </w:pPr>
      <w:bookmarkStart w:id="31" w:name="_Toc169101013"/>
      <w:bookmarkStart w:id="32" w:name="_Toc67387125"/>
      <w:r>
        <w:rPr>
          <w:rFonts w:ascii="Times New Roman" w:hAnsi="Times New Roman" w:cs="Times New Roman"/>
          <w:b/>
          <w:bCs/>
          <w:kern w:val="28"/>
          <w:sz w:val="28"/>
          <w:szCs w:val="32"/>
        </w:rPr>
        <w:t>第五章 投标文件格式、附件</w:t>
      </w:r>
      <w:bookmarkEnd w:id="31"/>
      <w:bookmarkEnd w:id="32"/>
    </w:p>
    <w:p>
      <w:pPr>
        <w:shd w:val="clear" w:color="auto" w:fill="auto"/>
        <w:tabs>
          <w:tab w:val="clear" w:pos="426"/>
        </w:tabs>
        <w:ind w:firstLine="480"/>
        <w:rPr>
          <w:rFonts w:ascii="Times New Roman" w:hAnsi="Times New Roman" w:cs="Times New Roman"/>
          <w:bCs/>
          <w:sz w:val="24"/>
        </w:rPr>
      </w:pPr>
    </w:p>
    <w:p>
      <w:pPr>
        <w:shd w:val="clear" w:color="auto" w:fill="auto"/>
        <w:tabs>
          <w:tab w:val="clear" w:pos="426"/>
        </w:tabs>
        <w:ind w:firstLine="480"/>
        <w:rPr>
          <w:rFonts w:ascii="Times New Roman" w:hAnsi="Times New Roman" w:cs="Times New Roman"/>
        </w:rPr>
      </w:pPr>
      <w:r>
        <w:rPr>
          <w:rFonts w:ascii="Times New Roman" w:hAnsi="Times New Roman" w:cs="Times New Roman"/>
          <w:bCs/>
          <w:sz w:val="24"/>
        </w:rPr>
        <w:t>特别提醒：</w:t>
      </w:r>
      <w:r>
        <w:rPr>
          <w:rFonts w:ascii="Times New Roman" w:hAnsi="Times New Roman" w:cs="Times New Roman"/>
        </w:rPr>
        <w:t>投标人在编辑投标文件时，应严格按照招标文件提供的格式进行编写，因未按要求编写导致投标文件不予受理、无效标或废标的，一切后果由供应商自行承担。</w:t>
      </w:r>
    </w:p>
    <w:p>
      <w:pPr>
        <w:shd w:val="clear" w:color="auto" w:fill="auto"/>
        <w:tabs>
          <w:tab w:val="clear" w:pos="426"/>
        </w:tabs>
        <w:ind w:firstLine="420"/>
        <w:rPr>
          <w:rFonts w:ascii="Times New Roman" w:hAnsi="Times New Roman" w:cs="Times New Roman"/>
        </w:rPr>
      </w:pPr>
    </w:p>
    <w:p>
      <w:pPr>
        <w:shd w:val="clear" w:color="auto" w:fill="auto"/>
        <w:tabs>
          <w:tab w:val="clear" w:pos="426"/>
        </w:tabs>
        <w:ind w:firstLine="420"/>
        <w:rPr>
          <w:rFonts w:ascii="Times New Roman" w:hAnsi="Times New Roman" w:cs="Times New Roman"/>
        </w:rPr>
      </w:pPr>
    </w:p>
    <w:p>
      <w:pPr>
        <w:shd w:val="clear" w:color="auto" w:fill="auto"/>
        <w:tabs>
          <w:tab w:val="clear" w:pos="426"/>
        </w:tabs>
        <w:ind w:firstLine="420"/>
        <w:rPr>
          <w:rFonts w:ascii="Times New Roman" w:hAnsi="Times New Roman" w:cs="Times New Roman"/>
        </w:rPr>
      </w:pPr>
      <w:r>
        <w:rPr>
          <w:rFonts w:ascii="Times New Roman" w:hAnsi="Times New Roman" w:cs="Times New Roman"/>
        </w:rPr>
        <w:t>投标文件组成：</w:t>
      </w:r>
    </w:p>
    <w:p>
      <w:pPr>
        <w:shd w:val="clear" w:color="auto" w:fill="auto"/>
        <w:tabs>
          <w:tab w:val="clear" w:pos="426"/>
        </w:tabs>
        <w:ind w:firstLine="420"/>
        <w:rPr>
          <w:rFonts w:ascii="Times New Roman" w:hAnsi="Times New Roman" w:cs="Times New Roman"/>
        </w:rPr>
      </w:pPr>
    </w:p>
    <w:p>
      <w:pPr>
        <w:shd w:val="clear" w:color="auto" w:fill="auto"/>
        <w:tabs>
          <w:tab w:val="clear" w:pos="426"/>
        </w:tabs>
        <w:ind w:firstLine="420"/>
        <w:rPr>
          <w:rFonts w:ascii="Times New Roman" w:hAnsi="Times New Roman" w:cs="Times New Roman"/>
        </w:rPr>
      </w:pPr>
      <w:r>
        <w:rPr>
          <w:rFonts w:ascii="Times New Roman" w:hAnsi="Times New Roman" w:cs="Times New Roman"/>
        </w:rPr>
        <w:t>密封袋封条格式</w:t>
      </w:r>
    </w:p>
    <w:p>
      <w:pPr>
        <w:shd w:val="clear" w:color="auto" w:fill="auto"/>
        <w:tabs>
          <w:tab w:val="clear" w:pos="426"/>
        </w:tabs>
        <w:ind w:firstLine="420"/>
        <w:rPr>
          <w:rFonts w:ascii="Times New Roman" w:hAnsi="Times New Roman" w:cs="Times New Roman"/>
        </w:rPr>
      </w:pPr>
      <w:r>
        <w:rPr>
          <w:rFonts w:ascii="Times New Roman" w:hAnsi="Times New Roman" w:cs="Times New Roman"/>
        </w:rPr>
        <w:t>投标文件封面格式</w:t>
      </w:r>
    </w:p>
    <w:p>
      <w:pPr>
        <w:shd w:val="clear" w:color="auto" w:fill="auto"/>
        <w:tabs>
          <w:tab w:val="clear" w:pos="426"/>
        </w:tabs>
        <w:ind w:firstLine="420"/>
        <w:rPr>
          <w:rFonts w:ascii="Times New Roman" w:hAnsi="Times New Roman" w:cs="Times New Roman"/>
        </w:rPr>
      </w:pPr>
      <w:r>
        <w:rPr>
          <w:rFonts w:ascii="Times New Roman" w:hAnsi="Times New Roman" w:cs="Times New Roman"/>
        </w:rPr>
        <w:t>目录（目录格式自定）</w:t>
      </w:r>
    </w:p>
    <w:p>
      <w:pPr>
        <w:shd w:val="clear" w:color="auto" w:fill="auto"/>
        <w:tabs>
          <w:tab w:val="clear" w:pos="426"/>
        </w:tabs>
        <w:ind w:firstLine="420"/>
        <w:rPr>
          <w:rFonts w:ascii="Times New Roman" w:hAnsi="Times New Roman" w:cs="Times New Roman"/>
        </w:rPr>
      </w:pPr>
      <w:r>
        <w:rPr>
          <w:rFonts w:ascii="Times New Roman" w:hAnsi="Times New Roman" w:cs="Times New Roman"/>
        </w:rPr>
        <w:t>评标指引表</w:t>
      </w:r>
    </w:p>
    <w:p>
      <w:pPr>
        <w:numPr>
          <w:ilvl w:val="0"/>
          <w:numId w:val="31"/>
        </w:numPr>
        <w:shd w:val="clear" w:color="auto" w:fill="auto"/>
        <w:tabs>
          <w:tab w:val="clear" w:pos="426"/>
        </w:tabs>
        <w:spacing w:line="276" w:lineRule="auto"/>
        <w:ind w:firstLine="420"/>
        <w:rPr>
          <w:rFonts w:ascii="Times New Roman" w:hAnsi="Times New Roman" w:cs="Times New Roman"/>
        </w:rPr>
      </w:pPr>
      <w:r>
        <w:rPr>
          <w:rFonts w:ascii="Times New Roman" w:hAnsi="Times New Roman" w:cs="Times New Roman"/>
        </w:rPr>
        <w:t>投标函</w:t>
      </w:r>
    </w:p>
    <w:p>
      <w:pPr>
        <w:numPr>
          <w:ilvl w:val="0"/>
          <w:numId w:val="31"/>
        </w:numPr>
        <w:shd w:val="clear" w:color="auto" w:fill="auto"/>
        <w:tabs>
          <w:tab w:val="clear" w:pos="426"/>
        </w:tabs>
        <w:spacing w:line="276" w:lineRule="auto"/>
        <w:ind w:firstLine="420"/>
        <w:rPr>
          <w:rFonts w:ascii="Times New Roman" w:hAnsi="Times New Roman" w:cs="Times New Roman"/>
        </w:rPr>
      </w:pPr>
      <w:r>
        <w:rPr>
          <w:rFonts w:ascii="Times New Roman" w:hAnsi="Times New Roman" w:cs="Times New Roman"/>
        </w:rPr>
        <w:t>政府采购投标及履约承诺函</w:t>
      </w:r>
    </w:p>
    <w:p>
      <w:pPr>
        <w:numPr>
          <w:ilvl w:val="0"/>
          <w:numId w:val="31"/>
        </w:numPr>
        <w:shd w:val="clear" w:color="auto" w:fill="auto"/>
        <w:tabs>
          <w:tab w:val="clear" w:pos="426"/>
        </w:tabs>
        <w:spacing w:line="276" w:lineRule="auto"/>
        <w:ind w:firstLine="420"/>
        <w:rPr>
          <w:rFonts w:ascii="Times New Roman" w:hAnsi="Times New Roman" w:cs="Times New Roman"/>
        </w:rPr>
      </w:pPr>
      <w:r>
        <w:rPr>
          <w:rFonts w:ascii="Times New Roman" w:hAnsi="Times New Roman" w:cs="Times New Roman"/>
        </w:rPr>
        <w:t>法定代表人</w:t>
      </w:r>
      <w:r>
        <w:rPr>
          <w:rFonts w:hint="eastAsia" w:ascii="Times New Roman" w:hAnsi="Times New Roman" w:cs="Times New Roman"/>
        </w:rPr>
        <w:t>（负责人）</w:t>
      </w:r>
      <w:r>
        <w:rPr>
          <w:rFonts w:ascii="Times New Roman" w:hAnsi="Times New Roman" w:cs="Times New Roman"/>
        </w:rPr>
        <w:t>授权委托书、法定代表人</w:t>
      </w:r>
      <w:r>
        <w:rPr>
          <w:rFonts w:hint="eastAsia" w:ascii="Times New Roman" w:hAnsi="Times New Roman" w:cs="Times New Roman"/>
        </w:rPr>
        <w:t>（负责人）</w:t>
      </w:r>
      <w:r>
        <w:rPr>
          <w:rFonts w:ascii="Times New Roman" w:hAnsi="Times New Roman" w:cs="Times New Roman"/>
        </w:rPr>
        <w:t>证明书</w:t>
      </w:r>
    </w:p>
    <w:p>
      <w:pPr>
        <w:numPr>
          <w:ilvl w:val="0"/>
          <w:numId w:val="31"/>
        </w:numPr>
        <w:shd w:val="clear" w:color="auto" w:fill="auto"/>
        <w:tabs>
          <w:tab w:val="clear" w:pos="426"/>
        </w:tabs>
        <w:spacing w:line="276" w:lineRule="auto"/>
        <w:ind w:firstLine="420"/>
        <w:rPr>
          <w:rFonts w:ascii="Times New Roman" w:hAnsi="Times New Roman" w:cs="Times New Roman"/>
        </w:rPr>
      </w:pPr>
      <w:r>
        <w:rPr>
          <w:rFonts w:ascii="Times New Roman" w:hAnsi="Times New Roman" w:cs="Times New Roman"/>
        </w:rPr>
        <w:t>投标人基本情况表</w:t>
      </w:r>
    </w:p>
    <w:p>
      <w:pPr>
        <w:numPr>
          <w:ilvl w:val="0"/>
          <w:numId w:val="31"/>
        </w:numPr>
        <w:shd w:val="clear" w:color="auto" w:fill="auto"/>
        <w:tabs>
          <w:tab w:val="clear" w:pos="426"/>
        </w:tabs>
        <w:spacing w:line="276" w:lineRule="auto"/>
        <w:ind w:firstLine="420"/>
        <w:rPr>
          <w:rFonts w:ascii="Times New Roman" w:hAnsi="Times New Roman" w:cs="Times New Roman"/>
        </w:rPr>
      </w:pPr>
      <w:r>
        <w:rPr>
          <w:rFonts w:ascii="Times New Roman" w:hAnsi="Times New Roman" w:cs="Times New Roman"/>
        </w:rPr>
        <w:t>开标一览表（报价表）</w:t>
      </w:r>
    </w:p>
    <w:p>
      <w:pPr>
        <w:numPr>
          <w:ilvl w:val="0"/>
          <w:numId w:val="31"/>
        </w:numPr>
        <w:shd w:val="clear" w:color="auto" w:fill="auto"/>
        <w:tabs>
          <w:tab w:val="clear" w:pos="426"/>
        </w:tabs>
        <w:spacing w:line="276" w:lineRule="auto"/>
        <w:ind w:firstLine="420"/>
        <w:rPr>
          <w:rFonts w:ascii="Times New Roman" w:hAnsi="Times New Roman" w:cs="Times New Roman"/>
        </w:rPr>
      </w:pPr>
      <w:r>
        <w:rPr>
          <w:rFonts w:ascii="Times New Roman" w:hAnsi="Times New Roman" w:cs="Times New Roman"/>
        </w:rPr>
        <w:t>投标分项报价表</w:t>
      </w:r>
    </w:p>
    <w:p>
      <w:pPr>
        <w:numPr>
          <w:ilvl w:val="0"/>
          <w:numId w:val="31"/>
        </w:numPr>
        <w:shd w:val="clear" w:color="auto" w:fill="auto"/>
        <w:tabs>
          <w:tab w:val="clear" w:pos="426"/>
        </w:tabs>
        <w:spacing w:line="276" w:lineRule="auto"/>
        <w:ind w:firstLine="420"/>
        <w:rPr>
          <w:rFonts w:ascii="Times New Roman" w:hAnsi="Times New Roman" w:cs="Times New Roman"/>
        </w:rPr>
      </w:pPr>
      <w:r>
        <w:rPr>
          <w:rFonts w:ascii="Times New Roman" w:hAnsi="Times New Roman" w:cs="Times New Roman"/>
        </w:rPr>
        <w:t>实质性条款响应情况表</w:t>
      </w:r>
    </w:p>
    <w:p>
      <w:pPr>
        <w:numPr>
          <w:ilvl w:val="0"/>
          <w:numId w:val="31"/>
        </w:numPr>
        <w:shd w:val="clear" w:color="auto" w:fill="auto"/>
        <w:tabs>
          <w:tab w:val="clear" w:pos="426"/>
        </w:tabs>
        <w:spacing w:line="276" w:lineRule="auto"/>
        <w:ind w:firstLine="420"/>
        <w:rPr>
          <w:rFonts w:ascii="Times New Roman" w:hAnsi="Times New Roman" w:cs="Times New Roman"/>
        </w:rPr>
      </w:pPr>
      <w:r>
        <w:rPr>
          <w:rFonts w:hint="eastAsia" w:ascii="Times New Roman" w:hAnsi="Times New Roman" w:cs="Times New Roman"/>
        </w:rPr>
        <w:t>项目需求响应情况表（实质性条款除外）</w:t>
      </w:r>
    </w:p>
    <w:p>
      <w:pPr>
        <w:numPr>
          <w:ilvl w:val="0"/>
          <w:numId w:val="31"/>
        </w:numPr>
        <w:shd w:val="clear" w:color="auto" w:fill="auto"/>
        <w:tabs>
          <w:tab w:val="clear" w:pos="426"/>
        </w:tabs>
        <w:spacing w:line="276" w:lineRule="auto"/>
        <w:ind w:firstLine="420"/>
        <w:rPr>
          <w:rFonts w:ascii="Times New Roman" w:hAnsi="Times New Roman" w:cs="Times New Roman"/>
        </w:rPr>
      </w:pPr>
      <w:r>
        <w:rPr>
          <w:rFonts w:hint="eastAsia" w:ascii="Times New Roman" w:hAnsi="Times New Roman" w:cs="Times New Roman"/>
        </w:rPr>
        <w:t>项目总体方案（格式自拟）</w:t>
      </w:r>
    </w:p>
    <w:p>
      <w:pPr>
        <w:numPr>
          <w:ilvl w:val="0"/>
          <w:numId w:val="31"/>
        </w:numPr>
        <w:shd w:val="clear" w:color="auto" w:fill="auto"/>
        <w:tabs>
          <w:tab w:val="clear" w:pos="426"/>
        </w:tabs>
        <w:spacing w:line="276" w:lineRule="auto"/>
        <w:ind w:firstLine="420"/>
        <w:rPr>
          <w:rFonts w:ascii="Times New Roman" w:hAnsi="Times New Roman" w:cs="Times New Roman"/>
        </w:rPr>
      </w:pPr>
      <w:r>
        <w:rPr>
          <w:rFonts w:hint="eastAsia" w:ascii="Times New Roman" w:hAnsi="Times New Roman" w:cs="Times New Roman"/>
        </w:rPr>
        <w:t>图书上下架分类方案（格式自拟）</w:t>
      </w:r>
    </w:p>
    <w:p>
      <w:pPr>
        <w:numPr>
          <w:ilvl w:val="0"/>
          <w:numId w:val="31"/>
        </w:numPr>
        <w:shd w:val="clear" w:color="auto" w:fill="auto"/>
        <w:tabs>
          <w:tab w:val="clear" w:pos="426"/>
        </w:tabs>
        <w:spacing w:line="276" w:lineRule="auto"/>
        <w:ind w:firstLine="420"/>
        <w:rPr>
          <w:rFonts w:ascii="Times New Roman" w:hAnsi="Times New Roman" w:cs="Times New Roman"/>
        </w:rPr>
      </w:pPr>
      <w:r>
        <w:rPr>
          <w:rFonts w:hint="eastAsia" w:ascii="Times New Roman" w:hAnsi="Times New Roman" w:cs="Times New Roman"/>
        </w:rPr>
        <w:t>机房搬迁方案（格式自拟）</w:t>
      </w:r>
    </w:p>
    <w:p>
      <w:pPr>
        <w:numPr>
          <w:ilvl w:val="0"/>
          <w:numId w:val="31"/>
        </w:numPr>
        <w:shd w:val="clear" w:color="auto" w:fill="auto"/>
        <w:tabs>
          <w:tab w:val="clear" w:pos="426"/>
        </w:tabs>
        <w:spacing w:line="276" w:lineRule="auto"/>
        <w:ind w:firstLine="420"/>
        <w:rPr>
          <w:rFonts w:ascii="Times New Roman" w:hAnsi="Times New Roman" w:cs="Times New Roman"/>
        </w:rPr>
      </w:pPr>
      <w:r>
        <w:rPr>
          <w:rFonts w:hint="eastAsia" w:ascii="Times New Roman" w:hAnsi="Times New Roman" w:cs="Times New Roman"/>
        </w:rPr>
        <w:t>项目重点难点分析、应对措施及相关的合理化建议（格式自拟）</w:t>
      </w:r>
    </w:p>
    <w:p>
      <w:pPr>
        <w:numPr>
          <w:ilvl w:val="0"/>
          <w:numId w:val="31"/>
        </w:numPr>
        <w:shd w:val="clear" w:color="auto" w:fill="auto"/>
        <w:tabs>
          <w:tab w:val="clear" w:pos="426"/>
        </w:tabs>
        <w:spacing w:line="276" w:lineRule="auto"/>
        <w:ind w:firstLine="420"/>
        <w:rPr>
          <w:rFonts w:ascii="Times New Roman" w:hAnsi="Times New Roman" w:cs="Times New Roman"/>
        </w:rPr>
      </w:pPr>
      <w:r>
        <w:rPr>
          <w:rFonts w:hint="eastAsia" w:ascii="Times New Roman" w:hAnsi="Times New Roman" w:cs="Times New Roman"/>
        </w:rPr>
        <w:t>质量与安全保障措施（格式自拟）</w:t>
      </w:r>
    </w:p>
    <w:p>
      <w:pPr>
        <w:numPr>
          <w:ilvl w:val="0"/>
          <w:numId w:val="31"/>
        </w:numPr>
        <w:shd w:val="clear" w:color="auto" w:fill="auto"/>
        <w:tabs>
          <w:tab w:val="clear" w:pos="426"/>
        </w:tabs>
        <w:spacing w:line="276" w:lineRule="auto"/>
        <w:ind w:firstLine="420"/>
        <w:rPr>
          <w:rFonts w:ascii="Times New Roman" w:hAnsi="Times New Roman" w:cs="Times New Roman"/>
        </w:rPr>
      </w:pPr>
      <w:r>
        <w:rPr>
          <w:rFonts w:hint="eastAsia" w:ascii="Times New Roman" w:hAnsi="Times New Roman" w:cs="Times New Roman"/>
        </w:rPr>
        <w:t>拟安排的项目负责人情况（仅限一人）（格式自拟）</w:t>
      </w:r>
    </w:p>
    <w:p>
      <w:pPr>
        <w:numPr>
          <w:ilvl w:val="0"/>
          <w:numId w:val="31"/>
        </w:numPr>
        <w:shd w:val="clear" w:color="auto" w:fill="auto"/>
        <w:tabs>
          <w:tab w:val="clear" w:pos="426"/>
        </w:tabs>
        <w:spacing w:line="276" w:lineRule="auto"/>
        <w:ind w:firstLine="420"/>
        <w:rPr>
          <w:rFonts w:ascii="Times New Roman" w:hAnsi="Times New Roman" w:cs="Times New Roman"/>
        </w:rPr>
      </w:pPr>
      <w:r>
        <w:rPr>
          <w:rFonts w:hint="eastAsia" w:ascii="Times New Roman" w:hAnsi="Times New Roman" w:cs="Times New Roman"/>
        </w:rPr>
        <w:t>项目团队成员（项目负责人除外）（格式自拟）</w:t>
      </w:r>
    </w:p>
    <w:p>
      <w:pPr>
        <w:numPr>
          <w:ilvl w:val="0"/>
          <w:numId w:val="31"/>
        </w:numPr>
        <w:shd w:val="clear" w:color="auto" w:fill="auto"/>
        <w:tabs>
          <w:tab w:val="clear" w:pos="426"/>
        </w:tabs>
        <w:spacing w:line="276" w:lineRule="auto"/>
        <w:ind w:firstLine="420"/>
        <w:rPr>
          <w:rFonts w:ascii="Times New Roman" w:hAnsi="Times New Roman" w:cs="Times New Roman"/>
        </w:rPr>
      </w:pPr>
      <w:r>
        <w:rPr>
          <w:rFonts w:hint="eastAsia" w:ascii="Times New Roman" w:hAnsi="Times New Roman" w:cs="Times New Roman"/>
        </w:rPr>
        <w:t>拟投入的服务资源（场地、工具、机器等）情况（格式自拟）</w:t>
      </w:r>
    </w:p>
    <w:p>
      <w:pPr>
        <w:numPr>
          <w:ilvl w:val="0"/>
          <w:numId w:val="31"/>
        </w:numPr>
        <w:shd w:val="clear" w:color="auto" w:fill="auto"/>
        <w:tabs>
          <w:tab w:val="clear" w:pos="426"/>
        </w:tabs>
        <w:spacing w:line="276" w:lineRule="auto"/>
        <w:ind w:firstLine="420"/>
        <w:rPr>
          <w:rFonts w:ascii="Times New Roman" w:hAnsi="Times New Roman" w:cs="Times New Roman"/>
        </w:rPr>
      </w:pPr>
      <w:r>
        <w:rPr>
          <w:rFonts w:hint="eastAsia" w:ascii="Times New Roman" w:hAnsi="Times New Roman" w:cs="Times New Roman"/>
        </w:rPr>
        <w:t>响应能力（格式自拟）</w:t>
      </w:r>
    </w:p>
    <w:p>
      <w:pPr>
        <w:numPr>
          <w:ilvl w:val="0"/>
          <w:numId w:val="31"/>
        </w:numPr>
        <w:shd w:val="clear" w:color="auto" w:fill="auto"/>
        <w:tabs>
          <w:tab w:val="clear" w:pos="426"/>
        </w:tabs>
        <w:spacing w:line="276" w:lineRule="auto"/>
        <w:ind w:firstLine="420"/>
        <w:rPr>
          <w:rFonts w:ascii="Times New Roman" w:hAnsi="Times New Roman" w:cs="Times New Roman"/>
        </w:rPr>
      </w:pPr>
      <w:r>
        <w:rPr>
          <w:rFonts w:hint="eastAsia" w:ascii="Times New Roman" w:hAnsi="Times New Roman" w:cs="Times New Roman"/>
        </w:rPr>
        <w:t>供应商认证情况（格式自拟）</w:t>
      </w:r>
    </w:p>
    <w:p>
      <w:pPr>
        <w:numPr>
          <w:ilvl w:val="0"/>
          <w:numId w:val="31"/>
        </w:numPr>
        <w:shd w:val="clear" w:color="auto" w:fill="auto"/>
        <w:tabs>
          <w:tab w:val="clear" w:pos="426"/>
        </w:tabs>
        <w:spacing w:line="276" w:lineRule="auto"/>
        <w:ind w:firstLine="420"/>
        <w:rPr>
          <w:rFonts w:ascii="Times New Roman" w:hAnsi="Times New Roman" w:cs="Times New Roman"/>
        </w:rPr>
      </w:pPr>
      <w:r>
        <w:rPr>
          <w:rFonts w:hint="eastAsia" w:ascii="Times New Roman" w:hAnsi="Times New Roman" w:cs="Times New Roman"/>
        </w:rPr>
        <w:t>供应商同类项目业绩情况（格式自拟）</w:t>
      </w:r>
    </w:p>
    <w:p>
      <w:pPr>
        <w:numPr>
          <w:ilvl w:val="0"/>
          <w:numId w:val="31"/>
        </w:numPr>
        <w:shd w:val="clear" w:color="auto" w:fill="auto"/>
        <w:tabs>
          <w:tab w:val="clear" w:pos="426"/>
        </w:tabs>
        <w:spacing w:line="276" w:lineRule="auto"/>
        <w:ind w:firstLine="420"/>
        <w:rPr>
          <w:rFonts w:ascii="Times New Roman" w:hAnsi="Times New Roman" w:cs="Times New Roman"/>
        </w:rPr>
      </w:pPr>
      <w:r>
        <w:rPr>
          <w:rFonts w:hint="eastAsia" w:ascii="Times New Roman" w:hAnsi="Times New Roman" w:cs="Times New Roman"/>
        </w:rPr>
        <w:t>用户评价（格式自拟）</w:t>
      </w:r>
    </w:p>
    <w:p>
      <w:pPr>
        <w:numPr>
          <w:ilvl w:val="0"/>
          <w:numId w:val="31"/>
        </w:numPr>
        <w:shd w:val="clear" w:color="auto" w:fill="auto"/>
        <w:tabs>
          <w:tab w:val="clear" w:pos="426"/>
        </w:tabs>
        <w:spacing w:line="276" w:lineRule="auto"/>
        <w:ind w:firstLine="420"/>
        <w:rPr>
          <w:rFonts w:ascii="Times New Roman" w:hAnsi="Times New Roman" w:cs="Times New Roman"/>
        </w:rPr>
      </w:pPr>
      <w:r>
        <w:rPr>
          <w:rFonts w:ascii="Times New Roman" w:hAnsi="Times New Roman" w:cs="Times New Roman"/>
        </w:rPr>
        <w:t>优惠政策声明函等证明文件（可选）</w:t>
      </w:r>
    </w:p>
    <w:p>
      <w:pPr>
        <w:numPr>
          <w:ilvl w:val="0"/>
          <w:numId w:val="31"/>
        </w:numPr>
        <w:shd w:val="clear" w:color="auto" w:fill="auto"/>
        <w:tabs>
          <w:tab w:val="clear" w:pos="426"/>
        </w:tabs>
        <w:spacing w:line="276" w:lineRule="auto"/>
        <w:ind w:firstLine="420"/>
        <w:rPr>
          <w:rFonts w:ascii="Times New Roman" w:hAnsi="Times New Roman" w:cs="Times New Roman"/>
        </w:rPr>
      </w:pPr>
      <w:r>
        <w:rPr>
          <w:rFonts w:ascii="Times New Roman" w:hAnsi="Times New Roman" w:cs="Times New Roman"/>
        </w:rPr>
        <w:t>招标代理服务费承诺书</w:t>
      </w:r>
    </w:p>
    <w:p>
      <w:pPr>
        <w:numPr>
          <w:ilvl w:val="0"/>
          <w:numId w:val="31"/>
        </w:numPr>
        <w:shd w:val="clear" w:color="auto" w:fill="auto"/>
        <w:tabs>
          <w:tab w:val="clear" w:pos="426"/>
        </w:tabs>
        <w:spacing w:line="276" w:lineRule="auto"/>
        <w:ind w:firstLine="420"/>
        <w:rPr>
          <w:rFonts w:ascii="Times New Roman" w:hAnsi="Times New Roman" w:cs="Times New Roman"/>
        </w:rPr>
      </w:pPr>
      <w:r>
        <w:rPr>
          <w:rFonts w:hint="eastAsia" w:ascii="Times New Roman" w:hAnsi="Times New Roman" w:cs="Times New Roman"/>
        </w:rPr>
        <w:t>政府采购违法行为风险知悉确认书</w:t>
      </w:r>
    </w:p>
    <w:p>
      <w:pPr>
        <w:numPr>
          <w:ilvl w:val="0"/>
          <w:numId w:val="31"/>
        </w:numPr>
        <w:shd w:val="clear" w:color="auto" w:fill="auto"/>
        <w:tabs>
          <w:tab w:val="clear" w:pos="426"/>
        </w:tabs>
        <w:spacing w:line="276" w:lineRule="auto"/>
        <w:ind w:firstLine="420"/>
        <w:rPr>
          <w:rFonts w:ascii="Times New Roman" w:hAnsi="Times New Roman" w:cs="Times New Roman"/>
        </w:rPr>
      </w:pPr>
      <w:r>
        <w:rPr>
          <w:rFonts w:ascii="Times New Roman" w:hAnsi="Times New Roman" w:cs="Times New Roman"/>
        </w:rPr>
        <w:t>招标文件要求的其他内容及投标人认为需要加以说明的其他内容</w:t>
      </w:r>
    </w:p>
    <w:p>
      <w:pPr>
        <w:shd w:val="clear" w:color="auto" w:fill="auto"/>
        <w:tabs>
          <w:tab w:val="clear" w:pos="426"/>
        </w:tabs>
        <w:ind w:firstLine="422"/>
        <w:rPr>
          <w:rFonts w:ascii="Times New Roman" w:hAnsi="Times New Roman" w:cs="Times New Roman"/>
          <w:b/>
          <w:bCs/>
        </w:rPr>
      </w:pPr>
    </w:p>
    <w:p>
      <w:pPr>
        <w:shd w:val="clear" w:color="auto" w:fill="auto"/>
        <w:tabs>
          <w:tab w:val="clear" w:pos="426"/>
        </w:tabs>
        <w:spacing w:before="280" w:after="290" w:line="377" w:lineRule="auto"/>
        <w:ind w:firstLine="482"/>
        <w:jc w:val="center"/>
        <w:outlineLvl w:val="2"/>
        <w:rPr>
          <w:rFonts w:ascii="Times New Roman" w:hAnsi="Times New Roman" w:cs="Times New Roman"/>
          <w:b/>
          <w:sz w:val="24"/>
        </w:rPr>
      </w:pPr>
      <w:r>
        <w:rPr>
          <w:rFonts w:ascii="Times New Roman" w:hAnsi="Times New Roman" w:cs="Times New Roman"/>
          <w:b/>
          <w:sz w:val="24"/>
        </w:rPr>
        <w:br w:type="page"/>
      </w:r>
      <w:r>
        <w:rPr>
          <w:rFonts w:ascii="Times New Roman" w:hAnsi="Times New Roman" w:cs="Times New Roman"/>
          <w:b/>
          <w:sz w:val="24"/>
        </w:rPr>
        <w:t>密封袋封条格式</w:t>
      </w:r>
    </w:p>
    <w:p>
      <w:pPr>
        <w:shd w:val="clear" w:color="auto" w:fill="auto"/>
        <w:tabs>
          <w:tab w:val="clear" w:pos="426"/>
        </w:tabs>
        <w:ind w:firstLine="880"/>
        <w:jc w:val="center"/>
        <w:rPr>
          <w:rFonts w:ascii="Times New Roman" w:hAnsi="Times New Roman" w:cs="Times New Roman"/>
          <w:sz w:val="44"/>
          <w:szCs w:val="44"/>
          <w:u w:val="single"/>
        </w:rPr>
      </w:pPr>
    </w:p>
    <w:p>
      <w:pPr>
        <w:shd w:val="clear" w:color="auto" w:fill="auto"/>
        <w:tabs>
          <w:tab w:val="clear" w:pos="426"/>
        </w:tabs>
        <w:ind w:firstLine="880"/>
        <w:jc w:val="center"/>
        <w:rPr>
          <w:rFonts w:ascii="Times New Roman" w:hAnsi="Times New Roman" w:cs="Times New Roman"/>
          <w:sz w:val="44"/>
          <w:szCs w:val="44"/>
        </w:rPr>
      </w:pPr>
      <w:r>
        <w:rPr>
          <w:rFonts w:hint="eastAsia" w:ascii="Times New Roman" w:hAnsi="Times New Roman" w:cs="Times New Roman"/>
          <w:sz w:val="44"/>
          <w:szCs w:val="44"/>
          <w:u w:val="single"/>
        </w:rPr>
        <w:t>深圳少年儿童图书馆整体搬迁服务</w:t>
      </w:r>
    </w:p>
    <w:p>
      <w:pPr>
        <w:shd w:val="clear" w:color="auto" w:fill="auto"/>
        <w:tabs>
          <w:tab w:val="clear" w:pos="426"/>
        </w:tabs>
        <w:ind w:firstLine="420"/>
        <w:jc w:val="center"/>
        <w:rPr>
          <w:rFonts w:ascii="Times New Roman" w:hAnsi="Times New Roman" w:cs="Times New Roman"/>
        </w:rPr>
      </w:pPr>
    </w:p>
    <w:p>
      <w:pPr>
        <w:shd w:val="clear" w:color="auto" w:fill="auto"/>
        <w:tabs>
          <w:tab w:val="clear" w:pos="426"/>
        </w:tabs>
        <w:ind w:firstLine="420"/>
        <w:jc w:val="center"/>
        <w:rPr>
          <w:rFonts w:ascii="Times New Roman" w:hAnsi="Times New Roman" w:cs="Times New Roman"/>
        </w:rPr>
      </w:pPr>
    </w:p>
    <w:p>
      <w:pPr>
        <w:shd w:val="clear" w:color="auto" w:fill="auto"/>
        <w:tabs>
          <w:tab w:val="clear" w:pos="426"/>
        </w:tabs>
        <w:ind w:firstLine="1040"/>
        <w:jc w:val="center"/>
        <w:rPr>
          <w:rFonts w:ascii="Times New Roman" w:hAnsi="Times New Roman" w:cs="Times New Roman"/>
          <w:sz w:val="52"/>
          <w:szCs w:val="52"/>
        </w:rPr>
      </w:pPr>
      <w:r>
        <w:rPr>
          <w:rFonts w:ascii="Times New Roman" w:hAnsi="Times New Roman" w:cs="Times New Roman"/>
          <w:sz w:val="52"/>
          <w:szCs w:val="52"/>
        </w:rPr>
        <w:t>□投标文件</w:t>
      </w:r>
    </w:p>
    <w:p>
      <w:pPr>
        <w:shd w:val="clear" w:color="auto" w:fill="auto"/>
        <w:tabs>
          <w:tab w:val="clear" w:pos="426"/>
        </w:tabs>
        <w:ind w:firstLine="1040"/>
        <w:jc w:val="center"/>
        <w:rPr>
          <w:rFonts w:ascii="Times New Roman" w:hAnsi="Times New Roman" w:cs="Times New Roman"/>
          <w:sz w:val="52"/>
          <w:szCs w:val="52"/>
        </w:rPr>
      </w:pPr>
      <w:r>
        <w:rPr>
          <w:rFonts w:ascii="Times New Roman" w:hAnsi="Times New Roman" w:cs="Times New Roman"/>
          <w:sz w:val="52"/>
          <w:szCs w:val="52"/>
        </w:rPr>
        <w:t>□开标信封</w:t>
      </w:r>
    </w:p>
    <w:p>
      <w:pPr>
        <w:shd w:val="clear" w:color="auto" w:fill="auto"/>
        <w:tabs>
          <w:tab w:val="clear" w:pos="426"/>
        </w:tabs>
        <w:ind w:firstLine="420"/>
        <w:rPr>
          <w:rFonts w:ascii="Times New Roman" w:hAnsi="Times New Roman" w:cs="Times New Roman"/>
        </w:rPr>
      </w:pPr>
    </w:p>
    <w:p>
      <w:pPr>
        <w:shd w:val="clear" w:color="auto" w:fill="auto"/>
        <w:tabs>
          <w:tab w:val="clear" w:pos="426"/>
        </w:tabs>
        <w:ind w:firstLine="420"/>
        <w:rPr>
          <w:rFonts w:ascii="Times New Roman" w:hAnsi="Times New Roman" w:cs="Times New Roman"/>
        </w:rPr>
      </w:pPr>
    </w:p>
    <w:p>
      <w:pPr>
        <w:shd w:val="clear" w:color="auto" w:fill="auto"/>
        <w:tabs>
          <w:tab w:val="clear" w:pos="426"/>
        </w:tabs>
        <w:ind w:firstLine="420"/>
        <w:rPr>
          <w:rFonts w:ascii="Times New Roman" w:hAnsi="Times New Roman" w:cs="Times New Roman"/>
        </w:rPr>
      </w:pPr>
    </w:p>
    <w:p>
      <w:pPr>
        <w:shd w:val="clear" w:color="auto" w:fill="auto"/>
        <w:tabs>
          <w:tab w:val="clear" w:pos="426"/>
        </w:tabs>
        <w:ind w:firstLine="420"/>
        <w:rPr>
          <w:rFonts w:ascii="Times New Roman" w:hAnsi="Times New Roman" w:cs="Times New Roman"/>
        </w:rPr>
      </w:pPr>
    </w:p>
    <w:p>
      <w:pPr>
        <w:shd w:val="clear" w:color="auto" w:fill="auto"/>
        <w:tabs>
          <w:tab w:val="clear" w:pos="426"/>
        </w:tabs>
        <w:ind w:firstLine="420"/>
        <w:rPr>
          <w:rFonts w:ascii="Times New Roman" w:hAnsi="Times New Roman" w:cs="Times New Roman"/>
        </w:rPr>
      </w:pPr>
    </w:p>
    <w:p>
      <w:pPr>
        <w:shd w:val="clear" w:color="auto" w:fill="auto"/>
        <w:tabs>
          <w:tab w:val="clear" w:pos="426"/>
        </w:tabs>
        <w:ind w:firstLine="420"/>
        <w:rPr>
          <w:rFonts w:ascii="Times New Roman" w:hAnsi="Times New Roman" w:cs="Times New Roman"/>
        </w:rPr>
      </w:pPr>
    </w:p>
    <w:p>
      <w:pPr>
        <w:shd w:val="clear" w:color="auto" w:fill="auto"/>
        <w:tabs>
          <w:tab w:val="clear" w:pos="426"/>
        </w:tabs>
        <w:ind w:firstLine="420"/>
        <w:rPr>
          <w:rFonts w:ascii="Times New Roman" w:hAnsi="Times New Roman" w:cs="Times New Roman"/>
        </w:rPr>
      </w:pPr>
    </w:p>
    <w:p>
      <w:pPr>
        <w:shd w:val="clear" w:color="auto" w:fill="auto"/>
        <w:tabs>
          <w:tab w:val="clear" w:pos="426"/>
        </w:tabs>
        <w:ind w:left="708" w:leftChars="337" w:right="706" w:rightChars="336" w:firstLine="560"/>
        <w:rPr>
          <w:rFonts w:ascii="Times New Roman" w:hAnsi="Times New Roman" w:cs="Times New Roman"/>
          <w:sz w:val="28"/>
          <w:szCs w:val="28"/>
        </w:rPr>
      </w:pPr>
      <w:r>
        <w:rPr>
          <w:rFonts w:ascii="Times New Roman" w:hAnsi="Times New Roman" w:cs="Times New Roman"/>
          <w:sz w:val="28"/>
          <w:szCs w:val="28"/>
        </w:rPr>
        <w:t>招标项目编号：</w:t>
      </w:r>
      <w:r>
        <w:rPr>
          <w:rFonts w:ascii="Times New Roman" w:hAnsi="Times New Roman" w:cs="Times New Roman"/>
          <w:sz w:val="28"/>
          <w:szCs w:val="28"/>
          <w:u w:val="single"/>
        </w:rPr>
        <w:t>_________________________________</w:t>
      </w:r>
    </w:p>
    <w:p>
      <w:pPr>
        <w:shd w:val="clear" w:color="auto" w:fill="auto"/>
        <w:tabs>
          <w:tab w:val="clear" w:pos="426"/>
        </w:tabs>
        <w:ind w:left="708" w:leftChars="337" w:firstLine="560"/>
        <w:rPr>
          <w:rFonts w:ascii="Times New Roman" w:hAnsi="Times New Roman" w:cs="Times New Roman"/>
          <w:sz w:val="28"/>
          <w:szCs w:val="28"/>
        </w:rPr>
      </w:pPr>
      <w:r>
        <w:rPr>
          <w:rFonts w:ascii="Times New Roman" w:hAnsi="Times New Roman" w:cs="Times New Roman"/>
          <w:sz w:val="28"/>
          <w:szCs w:val="28"/>
        </w:rPr>
        <w:t>投标人名称（公章)：</w:t>
      </w:r>
      <w:r>
        <w:rPr>
          <w:rFonts w:ascii="Times New Roman" w:hAnsi="Times New Roman" w:cs="Times New Roman"/>
          <w:sz w:val="28"/>
          <w:szCs w:val="28"/>
          <w:u w:val="single"/>
        </w:rPr>
        <w:t>__________________________________</w:t>
      </w:r>
    </w:p>
    <w:p>
      <w:pPr>
        <w:shd w:val="clear" w:color="auto" w:fill="auto"/>
        <w:tabs>
          <w:tab w:val="clear" w:pos="426"/>
        </w:tabs>
        <w:ind w:left="708" w:leftChars="337" w:firstLine="560"/>
        <w:rPr>
          <w:rFonts w:ascii="Times New Roman" w:hAnsi="Times New Roman" w:cs="Times New Roman"/>
          <w:sz w:val="28"/>
          <w:szCs w:val="28"/>
        </w:rPr>
      </w:pPr>
      <w:r>
        <w:rPr>
          <w:rFonts w:ascii="Times New Roman" w:hAnsi="Times New Roman" w:cs="Times New Roman"/>
          <w:sz w:val="28"/>
          <w:szCs w:val="28"/>
        </w:rPr>
        <w:t>投标人代表（签名</w:t>
      </w:r>
      <w:r>
        <w:rPr>
          <w:rFonts w:hint="eastAsia" w:ascii="Times New Roman" w:hAnsi="Times New Roman" w:cs="Times New Roman"/>
          <w:sz w:val="28"/>
          <w:szCs w:val="28"/>
        </w:rPr>
        <w:t>或盖章</w:t>
      </w:r>
      <w:r>
        <w:rPr>
          <w:rFonts w:ascii="Times New Roman" w:hAnsi="Times New Roman" w:cs="Times New Roman"/>
          <w:sz w:val="28"/>
          <w:szCs w:val="28"/>
        </w:rPr>
        <w:t>）：</w:t>
      </w:r>
      <w:r>
        <w:rPr>
          <w:rFonts w:ascii="Times New Roman" w:hAnsi="Times New Roman" w:cs="Times New Roman"/>
          <w:sz w:val="28"/>
          <w:szCs w:val="28"/>
          <w:u w:val="single"/>
        </w:rPr>
        <w:t>_________________________________</w:t>
      </w:r>
    </w:p>
    <w:p>
      <w:pPr>
        <w:shd w:val="clear" w:color="auto" w:fill="auto"/>
        <w:tabs>
          <w:tab w:val="clear" w:pos="426"/>
        </w:tabs>
        <w:ind w:left="708" w:leftChars="337" w:firstLine="560"/>
        <w:rPr>
          <w:rFonts w:ascii="Times New Roman" w:hAnsi="Times New Roman" w:cs="Times New Roman"/>
          <w:sz w:val="28"/>
          <w:szCs w:val="28"/>
        </w:rPr>
      </w:pPr>
      <w:r>
        <w:rPr>
          <w:rFonts w:ascii="Times New Roman" w:hAnsi="Times New Roman" w:cs="Times New Roman"/>
          <w:sz w:val="28"/>
          <w:szCs w:val="28"/>
        </w:rPr>
        <w:t>投标截止日期：</w:t>
      </w:r>
      <w:r>
        <w:rPr>
          <w:rFonts w:ascii="Times New Roman" w:hAnsi="Times New Roman" w:cs="Times New Roman"/>
          <w:sz w:val="28"/>
          <w:szCs w:val="28"/>
          <w:u w:val="single"/>
        </w:rPr>
        <w:t>______年___月___日___时___分（前不得开封）</w:t>
      </w:r>
    </w:p>
    <w:p>
      <w:pPr>
        <w:shd w:val="clear" w:color="auto" w:fill="auto"/>
        <w:tabs>
          <w:tab w:val="clear" w:pos="426"/>
        </w:tabs>
        <w:spacing w:before="280" w:after="290" w:line="377" w:lineRule="auto"/>
        <w:ind w:firstLine="482"/>
        <w:jc w:val="center"/>
        <w:outlineLvl w:val="2"/>
        <w:rPr>
          <w:rFonts w:ascii="Times New Roman" w:hAnsi="Times New Roman" w:cs="Times New Roman"/>
          <w:b/>
          <w:sz w:val="24"/>
        </w:rPr>
      </w:pPr>
      <w:r>
        <w:rPr>
          <w:rFonts w:ascii="Times New Roman" w:hAnsi="Times New Roman" w:cs="Times New Roman"/>
          <w:b/>
          <w:sz w:val="24"/>
        </w:rPr>
        <w:br w:type="page"/>
      </w:r>
      <w:r>
        <w:rPr>
          <w:rFonts w:ascii="Times New Roman" w:hAnsi="Times New Roman" w:cs="Times New Roman"/>
          <w:b/>
          <w:sz w:val="24"/>
        </w:rPr>
        <w:t>投标文件封面格式</w:t>
      </w:r>
    </w:p>
    <w:p>
      <w:pPr>
        <w:shd w:val="clear" w:color="auto" w:fill="auto"/>
        <w:tabs>
          <w:tab w:val="clear" w:pos="426"/>
        </w:tabs>
        <w:ind w:firstLine="880"/>
        <w:jc w:val="right"/>
        <w:rPr>
          <w:rFonts w:ascii="Times New Roman" w:hAnsi="Times New Roman" w:cs="Times New Roman"/>
          <w:sz w:val="44"/>
          <w:szCs w:val="44"/>
          <w:u w:val="single"/>
        </w:rPr>
      </w:pPr>
      <w:r>
        <w:rPr>
          <w:rFonts w:ascii="Times New Roman" w:hAnsi="Times New Roman" w:cs="Times New Roman"/>
          <w:sz w:val="44"/>
          <w:szCs w:val="44"/>
          <w:u w:val="single"/>
        </w:rPr>
        <w:t>正/副本</w:t>
      </w:r>
    </w:p>
    <w:p>
      <w:pPr>
        <w:shd w:val="clear" w:color="auto" w:fill="auto"/>
        <w:tabs>
          <w:tab w:val="clear" w:pos="426"/>
        </w:tabs>
        <w:ind w:firstLine="880"/>
        <w:jc w:val="center"/>
        <w:rPr>
          <w:rFonts w:ascii="Times New Roman" w:hAnsi="Times New Roman" w:cs="Times New Roman"/>
          <w:sz w:val="44"/>
          <w:szCs w:val="44"/>
          <w:u w:val="single"/>
        </w:rPr>
      </w:pPr>
    </w:p>
    <w:p>
      <w:pPr>
        <w:shd w:val="clear" w:color="auto" w:fill="auto"/>
        <w:tabs>
          <w:tab w:val="clear" w:pos="426"/>
        </w:tabs>
        <w:ind w:firstLine="880"/>
        <w:jc w:val="center"/>
        <w:rPr>
          <w:rFonts w:ascii="Times New Roman" w:hAnsi="Times New Roman" w:cs="Times New Roman"/>
          <w:sz w:val="44"/>
          <w:szCs w:val="44"/>
        </w:rPr>
      </w:pPr>
      <w:r>
        <w:rPr>
          <w:rFonts w:hint="eastAsia" w:ascii="Times New Roman" w:hAnsi="Times New Roman" w:cs="Times New Roman"/>
          <w:sz w:val="44"/>
          <w:szCs w:val="44"/>
          <w:u w:val="single"/>
        </w:rPr>
        <w:t>深圳少年儿童图书馆整体搬迁服务</w:t>
      </w:r>
    </w:p>
    <w:p>
      <w:pPr>
        <w:shd w:val="clear" w:color="auto" w:fill="auto"/>
        <w:tabs>
          <w:tab w:val="clear" w:pos="426"/>
        </w:tabs>
        <w:ind w:firstLine="420"/>
        <w:jc w:val="center"/>
        <w:rPr>
          <w:rFonts w:ascii="Times New Roman" w:hAnsi="Times New Roman" w:cs="Times New Roman"/>
        </w:rPr>
      </w:pPr>
    </w:p>
    <w:p>
      <w:pPr>
        <w:shd w:val="clear" w:color="auto" w:fill="auto"/>
        <w:tabs>
          <w:tab w:val="clear" w:pos="426"/>
        </w:tabs>
        <w:ind w:firstLine="420"/>
        <w:jc w:val="center"/>
        <w:rPr>
          <w:rFonts w:ascii="Times New Roman" w:hAnsi="Times New Roman" w:cs="Times New Roman"/>
        </w:rPr>
      </w:pPr>
    </w:p>
    <w:p>
      <w:pPr>
        <w:shd w:val="clear" w:color="auto" w:fill="auto"/>
        <w:tabs>
          <w:tab w:val="clear" w:pos="426"/>
        </w:tabs>
        <w:ind w:firstLine="1040"/>
        <w:jc w:val="center"/>
        <w:rPr>
          <w:rFonts w:ascii="Times New Roman" w:hAnsi="Times New Roman" w:cs="Times New Roman"/>
          <w:sz w:val="52"/>
          <w:szCs w:val="52"/>
        </w:rPr>
      </w:pPr>
      <w:r>
        <w:rPr>
          <w:rFonts w:ascii="Times New Roman" w:hAnsi="Times New Roman" w:cs="Times New Roman"/>
          <w:sz w:val="52"/>
          <w:szCs w:val="52"/>
        </w:rPr>
        <w:t>投标文件</w:t>
      </w:r>
    </w:p>
    <w:p>
      <w:pPr>
        <w:widowControl w:val="0"/>
        <w:shd w:val="clear" w:color="auto" w:fill="auto"/>
        <w:tabs>
          <w:tab w:val="clear" w:pos="426"/>
        </w:tabs>
        <w:spacing w:line="300" w:lineRule="auto"/>
        <w:ind w:firstLine="420" w:firstLineChars="200"/>
        <w:rPr>
          <w:rFonts w:ascii="Times New Roman" w:hAnsi="Times New Roman" w:cs="Times New Roman"/>
          <w:kern w:val="2"/>
          <w:szCs w:val="21"/>
        </w:rPr>
      </w:pPr>
    </w:p>
    <w:p>
      <w:pPr>
        <w:widowControl w:val="0"/>
        <w:shd w:val="clear" w:color="auto" w:fill="auto"/>
        <w:tabs>
          <w:tab w:val="clear" w:pos="426"/>
        </w:tabs>
        <w:spacing w:line="300" w:lineRule="auto"/>
        <w:ind w:firstLine="420" w:firstLineChars="200"/>
        <w:rPr>
          <w:rFonts w:ascii="Times New Roman" w:hAnsi="Times New Roman" w:cs="Times New Roman"/>
          <w:kern w:val="2"/>
          <w:szCs w:val="21"/>
        </w:rPr>
      </w:pPr>
    </w:p>
    <w:p>
      <w:pPr>
        <w:widowControl w:val="0"/>
        <w:shd w:val="clear" w:color="auto" w:fill="auto"/>
        <w:tabs>
          <w:tab w:val="clear" w:pos="426"/>
        </w:tabs>
        <w:spacing w:line="300" w:lineRule="auto"/>
        <w:ind w:firstLine="420" w:firstLineChars="200"/>
        <w:rPr>
          <w:rFonts w:ascii="Times New Roman" w:hAnsi="Times New Roman" w:cs="Times New Roman"/>
          <w:kern w:val="2"/>
          <w:szCs w:val="21"/>
        </w:rPr>
      </w:pPr>
    </w:p>
    <w:p>
      <w:pPr>
        <w:widowControl w:val="0"/>
        <w:shd w:val="clear" w:color="auto" w:fill="auto"/>
        <w:tabs>
          <w:tab w:val="clear" w:pos="426"/>
        </w:tabs>
        <w:spacing w:line="300" w:lineRule="auto"/>
        <w:ind w:firstLine="420" w:firstLineChars="200"/>
        <w:rPr>
          <w:rFonts w:ascii="Times New Roman" w:hAnsi="Times New Roman" w:cs="Times New Roman"/>
          <w:kern w:val="2"/>
          <w:szCs w:val="21"/>
        </w:rPr>
      </w:pPr>
    </w:p>
    <w:p>
      <w:pPr>
        <w:widowControl w:val="0"/>
        <w:shd w:val="clear" w:color="auto" w:fill="auto"/>
        <w:tabs>
          <w:tab w:val="clear" w:pos="426"/>
        </w:tabs>
        <w:spacing w:line="300" w:lineRule="auto"/>
        <w:ind w:firstLine="420" w:firstLineChars="200"/>
        <w:rPr>
          <w:rFonts w:ascii="Times New Roman" w:hAnsi="Times New Roman" w:cs="Times New Roman"/>
          <w:kern w:val="2"/>
          <w:szCs w:val="21"/>
        </w:rPr>
      </w:pPr>
    </w:p>
    <w:p>
      <w:pPr>
        <w:widowControl w:val="0"/>
        <w:shd w:val="clear" w:color="auto" w:fill="auto"/>
        <w:tabs>
          <w:tab w:val="clear" w:pos="426"/>
        </w:tabs>
        <w:spacing w:line="300" w:lineRule="auto"/>
        <w:ind w:firstLine="420" w:firstLineChars="200"/>
        <w:rPr>
          <w:rFonts w:ascii="Times New Roman" w:hAnsi="Times New Roman" w:cs="Times New Roman"/>
          <w:kern w:val="2"/>
          <w:szCs w:val="21"/>
        </w:rPr>
      </w:pPr>
    </w:p>
    <w:p>
      <w:pPr>
        <w:widowControl w:val="0"/>
        <w:shd w:val="clear" w:color="auto" w:fill="auto"/>
        <w:tabs>
          <w:tab w:val="clear" w:pos="426"/>
        </w:tabs>
        <w:spacing w:line="300" w:lineRule="auto"/>
        <w:ind w:firstLine="420" w:firstLineChars="200"/>
        <w:rPr>
          <w:rFonts w:ascii="Times New Roman" w:hAnsi="Times New Roman" w:cs="Times New Roman"/>
          <w:kern w:val="2"/>
          <w:szCs w:val="21"/>
        </w:rPr>
      </w:pPr>
    </w:p>
    <w:p>
      <w:pPr>
        <w:widowControl w:val="0"/>
        <w:shd w:val="clear" w:color="auto" w:fill="auto"/>
        <w:tabs>
          <w:tab w:val="clear" w:pos="426"/>
        </w:tabs>
        <w:spacing w:line="300" w:lineRule="auto"/>
        <w:ind w:firstLine="420" w:firstLineChars="200"/>
        <w:rPr>
          <w:rFonts w:ascii="Times New Roman" w:hAnsi="Times New Roman" w:cs="Times New Roman"/>
          <w:kern w:val="2"/>
          <w:szCs w:val="21"/>
        </w:rPr>
      </w:pPr>
    </w:p>
    <w:p>
      <w:pPr>
        <w:shd w:val="clear" w:color="auto" w:fill="auto"/>
        <w:tabs>
          <w:tab w:val="clear" w:pos="426"/>
        </w:tabs>
        <w:ind w:left="1275" w:leftChars="607" w:firstLine="560"/>
        <w:rPr>
          <w:rFonts w:ascii="Times New Roman" w:hAnsi="Times New Roman" w:cs="Times New Roman"/>
          <w:sz w:val="28"/>
          <w:szCs w:val="28"/>
        </w:rPr>
      </w:pPr>
      <w:r>
        <w:rPr>
          <w:rFonts w:ascii="Times New Roman" w:hAnsi="Times New Roman" w:cs="Times New Roman"/>
          <w:sz w:val="28"/>
          <w:szCs w:val="28"/>
        </w:rPr>
        <w:t>招标项目编号：</w:t>
      </w:r>
      <w:r>
        <w:rPr>
          <w:rFonts w:ascii="Times New Roman" w:hAnsi="Times New Roman" w:cs="Times New Roman"/>
          <w:sz w:val="28"/>
          <w:szCs w:val="28"/>
          <w:u w:val="single"/>
        </w:rPr>
        <w:t>_______________________________</w:t>
      </w:r>
    </w:p>
    <w:p>
      <w:pPr>
        <w:shd w:val="clear" w:color="auto" w:fill="auto"/>
        <w:tabs>
          <w:tab w:val="clear" w:pos="426"/>
        </w:tabs>
        <w:ind w:left="1275" w:leftChars="607" w:firstLine="560"/>
        <w:rPr>
          <w:rFonts w:ascii="Times New Roman" w:hAnsi="Times New Roman" w:cs="Times New Roman"/>
          <w:sz w:val="28"/>
          <w:szCs w:val="28"/>
        </w:rPr>
      </w:pPr>
      <w:r>
        <w:rPr>
          <w:rFonts w:ascii="Times New Roman" w:hAnsi="Times New Roman" w:cs="Times New Roman"/>
          <w:sz w:val="28"/>
          <w:szCs w:val="28"/>
        </w:rPr>
        <w:t>投标人名称（公章)：</w:t>
      </w:r>
      <w:r>
        <w:rPr>
          <w:rFonts w:ascii="Times New Roman" w:hAnsi="Times New Roman" w:cs="Times New Roman"/>
          <w:sz w:val="28"/>
          <w:szCs w:val="28"/>
          <w:u w:val="single"/>
        </w:rPr>
        <w:t>__________________________</w:t>
      </w:r>
    </w:p>
    <w:p>
      <w:pPr>
        <w:shd w:val="clear" w:color="auto" w:fill="auto"/>
        <w:tabs>
          <w:tab w:val="clear" w:pos="426"/>
        </w:tabs>
        <w:ind w:left="1275" w:leftChars="607" w:firstLine="560"/>
        <w:rPr>
          <w:rFonts w:ascii="Times New Roman" w:hAnsi="Times New Roman" w:cs="Times New Roman"/>
          <w:sz w:val="28"/>
          <w:szCs w:val="28"/>
        </w:rPr>
      </w:pPr>
      <w:r>
        <w:rPr>
          <w:rFonts w:ascii="Times New Roman" w:hAnsi="Times New Roman" w:cs="Times New Roman"/>
          <w:sz w:val="28"/>
          <w:szCs w:val="28"/>
        </w:rPr>
        <w:t>投标人代表（签名</w:t>
      </w:r>
      <w:r>
        <w:rPr>
          <w:rFonts w:hint="eastAsia" w:ascii="Times New Roman" w:hAnsi="Times New Roman" w:cs="Times New Roman"/>
          <w:sz w:val="28"/>
          <w:szCs w:val="28"/>
        </w:rPr>
        <w:t>或盖章</w:t>
      </w:r>
      <w:r>
        <w:rPr>
          <w:rFonts w:ascii="Times New Roman" w:hAnsi="Times New Roman" w:cs="Times New Roman"/>
          <w:sz w:val="28"/>
          <w:szCs w:val="28"/>
        </w:rPr>
        <w:t>）：</w:t>
      </w:r>
      <w:r>
        <w:rPr>
          <w:rFonts w:ascii="Times New Roman" w:hAnsi="Times New Roman" w:cs="Times New Roman"/>
          <w:sz w:val="28"/>
          <w:szCs w:val="28"/>
          <w:u w:val="single"/>
        </w:rPr>
        <w:t>_________________________</w:t>
      </w:r>
    </w:p>
    <w:p>
      <w:pPr>
        <w:shd w:val="clear" w:color="auto" w:fill="auto"/>
        <w:tabs>
          <w:tab w:val="clear" w:pos="426"/>
        </w:tabs>
        <w:ind w:left="1275" w:leftChars="607" w:firstLine="560"/>
        <w:rPr>
          <w:rFonts w:ascii="Times New Roman" w:hAnsi="Times New Roman" w:cs="Times New Roman"/>
          <w:sz w:val="28"/>
          <w:szCs w:val="28"/>
        </w:rPr>
      </w:pPr>
      <w:r>
        <w:rPr>
          <w:rFonts w:ascii="Times New Roman" w:hAnsi="Times New Roman" w:cs="Times New Roman"/>
          <w:sz w:val="28"/>
          <w:szCs w:val="28"/>
        </w:rPr>
        <w:t>投标日期：</w:t>
      </w:r>
      <w:r>
        <w:rPr>
          <w:rFonts w:ascii="Times New Roman" w:hAnsi="Times New Roman" w:cs="Times New Roman"/>
          <w:sz w:val="28"/>
          <w:szCs w:val="28"/>
          <w:u w:val="single"/>
        </w:rPr>
        <w:t>__________________年_____月______日</w:t>
      </w:r>
    </w:p>
    <w:p>
      <w:pPr>
        <w:shd w:val="clear" w:color="auto" w:fill="auto"/>
        <w:tabs>
          <w:tab w:val="clear" w:pos="426"/>
        </w:tabs>
        <w:ind w:firstLine="420"/>
        <w:rPr>
          <w:rFonts w:ascii="Times New Roman" w:hAnsi="Times New Roman" w:cs="Times New Roman"/>
        </w:rPr>
      </w:pPr>
    </w:p>
    <w:p>
      <w:pPr>
        <w:shd w:val="clear" w:color="auto" w:fill="auto"/>
        <w:tabs>
          <w:tab w:val="clear" w:pos="426"/>
        </w:tabs>
        <w:spacing w:before="280" w:after="290" w:line="377" w:lineRule="auto"/>
        <w:ind w:firstLine="482"/>
        <w:jc w:val="center"/>
        <w:outlineLvl w:val="2"/>
        <w:rPr>
          <w:rFonts w:ascii="Times New Roman" w:hAnsi="Times New Roman" w:cs="Times New Roman"/>
          <w:b/>
          <w:sz w:val="24"/>
        </w:rPr>
      </w:pPr>
      <w:r>
        <w:rPr>
          <w:rFonts w:ascii="Times New Roman" w:hAnsi="Times New Roman" w:cs="Times New Roman"/>
          <w:b/>
          <w:sz w:val="24"/>
        </w:rPr>
        <w:br w:type="page"/>
      </w:r>
      <w:r>
        <w:rPr>
          <w:rFonts w:ascii="Times New Roman" w:hAnsi="Times New Roman" w:cs="Times New Roman"/>
          <w:b/>
          <w:sz w:val="24"/>
        </w:rPr>
        <w:t>投标文件目录（目录格式自定）</w:t>
      </w:r>
    </w:p>
    <w:p>
      <w:pPr>
        <w:shd w:val="clear" w:color="auto" w:fill="auto"/>
        <w:tabs>
          <w:tab w:val="clear" w:pos="426"/>
        </w:tabs>
        <w:ind w:firstLine="420"/>
        <w:rPr>
          <w:rFonts w:ascii="Times New Roman" w:hAnsi="Times New Roman" w:cs="Times New Roman"/>
        </w:rPr>
      </w:pPr>
      <w:r>
        <w:rPr>
          <w:rFonts w:ascii="Times New Roman" w:hAnsi="Times New Roman" w:cs="Times New Roman"/>
        </w:rPr>
        <w:t>按照招标文件的要求编制投标文件相应内容，请标明各部分内容的页码。</w:t>
      </w:r>
    </w:p>
    <w:p>
      <w:pPr>
        <w:shd w:val="clear" w:color="auto" w:fill="auto"/>
        <w:tabs>
          <w:tab w:val="clear" w:pos="426"/>
        </w:tabs>
        <w:ind w:firstLine="420"/>
        <w:rPr>
          <w:rFonts w:ascii="Times New Roman" w:hAnsi="Times New Roman" w:cs="Times New Roman"/>
        </w:rPr>
      </w:pPr>
    </w:p>
    <w:p>
      <w:pPr>
        <w:shd w:val="clear" w:color="auto" w:fill="auto"/>
        <w:tabs>
          <w:tab w:val="clear" w:pos="426"/>
        </w:tabs>
        <w:ind w:firstLine="420"/>
        <w:rPr>
          <w:rFonts w:ascii="Times New Roman" w:hAnsi="Times New Roman" w:cs="Times New Roman"/>
        </w:rPr>
      </w:pPr>
    </w:p>
    <w:p>
      <w:pPr>
        <w:shd w:val="clear" w:color="auto" w:fill="auto"/>
        <w:tabs>
          <w:tab w:val="clear" w:pos="426"/>
        </w:tabs>
        <w:spacing w:before="280" w:after="290" w:line="377" w:lineRule="auto"/>
        <w:ind w:firstLine="482"/>
        <w:jc w:val="center"/>
        <w:outlineLvl w:val="2"/>
        <w:rPr>
          <w:rFonts w:ascii="Times New Roman" w:hAnsi="Times New Roman" w:cs="Times New Roman"/>
          <w:b/>
          <w:sz w:val="24"/>
        </w:rPr>
      </w:pPr>
      <w:r>
        <w:rPr>
          <w:rFonts w:ascii="Times New Roman" w:hAnsi="Times New Roman" w:cs="Times New Roman"/>
          <w:b/>
          <w:sz w:val="24"/>
        </w:rPr>
        <w:br w:type="page"/>
      </w:r>
      <w:r>
        <w:rPr>
          <w:rFonts w:ascii="Times New Roman" w:hAnsi="Times New Roman" w:cs="Times New Roman"/>
          <w:b/>
          <w:sz w:val="24"/>
        </w:rPr>
        <w:t>评标指引表</w:t>
      </w:r>
    </w:p>
    <w:p>
      <w:pPr>
        <w:shd w:val="clear" w:color="auto" w:fill="auto"/>
        <w:tabs>
          <w:tab w:val="clear" w:pos="426"/>
        </w:tabs>
        <w:ind w:firstLine="422"/>
        <w:jc w:val="center"/>
        <w:rPr>
          <w:rFonts w:ascii="Times New Roman" w:hAnsi="Times New Roman" w:cs="Times New Roman"/>
          <w:b/>
        </w:rPr>
      </w:pPr>
      <w:r>
        <w:rPr>
          <w:rFonts w:ascii="Times New Roman" w:hAnsi="Times New Roman" w:cs="Times New Roman"/>
          <w:b/>
        </w:rPr>
        <w:t>（置于投标文件的首页）</w:t>
      </w:r>
    </w:p>
    <w:p>
      <w:pPr>
        <w:widowControl w:val="0"/>
        <w:shd w:val="clear" w:color="auto" w:fill="auto"/>
        <w:tabs>
          <w:tab w:val="clear" w:pos="426"/>
        </w:tabs>
        <w:spacing w:line="300" w:lineRule="auto"/>
        <w:ind w:firstLine="420" w:firstLineChars="200"/>
        <w:rPr>
          <w:rFonts w:ascii="Times New Roman" w:hAnsi="Times New Roman" w:cs="Times New Roman"/>
          <w:kern w:val="2"/>
          <w:szCs w:val="21"/>
        </w:rPr>
      </w:pPr>
      <w:r>
        <w:rPr>
          <w:rFonts w:ascii="Times New Roman" w:hAnsi="Times New Roman" w:cs="Times New Roman"/>
          <w:kern w:val="2"/>
          <w:szCs w:val="21"/>
        </w:rPr>
        <w:t>为方便参与该项目的评委专家的评标，快速找到评标事项与该项目投标文件所对应的位置，请投标人参照下表格式，编制本项目评标指引表。</w:t>
      </w:r>
    </w:p>
    <w:p>
      <w:pPr>
        <w:widowControl w:val="0"/>
        <w:shd w:val="clear" w:color="auto" w:fill="auto"/>
        <w:tabs>
          <w:tab w:val="clear" w:pos="426"/>
        </w:tabs>
        <w:spacing w:line="300" w:lineRule="auto"/>
        <w:ind w:firstLine="420" w:firstLineChars="200"/>
        <w:rPr>
          <w:rFonts w:ascii="Times New Roman" w:hAnsi="Times New Roman" w:cs="Times New Roman"/>
          <w:kern w:val="2"/>
          <w:szCs w:val="21"/>
        </w:rPr>
      </w:pPr>
      <w:r>
        <w:rPr>
          <w:rFonts w:ascii="Times New Roman" w:hAnsi="Times New Roman" w:cs="Times New Roman"/>
          <w:kern w:val="2"/>
          <w:szCs w:val="21"/>
        </w:rPr>
        <w:t>项目名称：</w:t>
      </w:r>
    </w:p>
    <w:p>
      <w:pPr>
        <w:widowControl w:val="0"/>
        <w:shd w:val="clear" w:color="auto" w:fill="auto"/>
        <w:tabs>
          <w:tab w:val="clear" w:pos="426"/>
        </w:tabs>
        <w:spacing w:line="300" w:lineRule="auto"/>
        <w:ind w:firstLine="420" w:firstLineChars="200"/>
        <w:rPr>
          <w:rFonts w:ascii="Times New Roman" w:hAnsi="Times New Roman" w:cs="Times New Roman"/>
          <w:kern w:val="2"/>
          <w:szCs w:val="21"/>
        </w:rPr>
      </w:pPr>
      <w:r>
        <w:rPr>
          <w:rFonts w:ascii="Times New Roman" w:hAnsi="Times New Roman" w:cs="Times New Roman"/>
          <w:kern w:val="2"/>
          <w:szCs w:val="21"/>
        </w:rPr>
        <w:t>招标项目编号：</w:t>
      </w:r>
    </w:p>
    <w:p>
      <w:pPr>
        <w:shd w:val="clear" w:color="auto" w:fill="auto"/>
        <w:tabs>
          <w:tab w:val="clear" w:pos="426"/>
        </w:tabs>
        <w:ind w:firstLine="422"/>
        <w:jc w:val="center"/>
        <w:rPr>
          <w:rFonts w:ascii="Times New Roman" w:hAnsi="Times New Roman" w:cs="Times New Roman"/>
          <w:b/>
        </w:rPr>
      </w:pPr>
      <w:r>
        <w:rPr>
          <w:rFonts w:ascii="Times New Roman" w:hAnsi="Times New Roman" w:cs="Times New Roman"/>
          <w:b/>
        </w:rPr>
        <w:t>项目评标指引表</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326"/>
        <w:gridCol w:w="3629"/>
        <w:gridCol w:w="1545"/>
        <w:gridCol w:w="92"/>
        <w:gridCol w:w="1284"/>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7"/>
            <w:vAlign w:val="center"/>
          </w:tcPr>
          <w:p>
            <w:pPr>
              <w:shd w:val="clear" w:color="auto" w:fill="auto"/>
              <w:tabs>
                <w:tab w:val="clear" w:pos="426"/>
              </w:tabs>
              <w:spacing w:line="240" w:lineRule="auto"/>
              <w:jc w:val="center"/>
              <w:rPr>
                <w:rFonts w:ascii="Times New Roman" w:hAnsi="Times New Roman" w:cs="Times New Roman"/>
                <w:b/>
              </w:rPr>
            </w:pPr>
            <w:r>
              <w:rPr>
                <w:rFonts w:ascii="Times New Roman" w:hAnsi="Times New Roman" w:cs="Times New Roman"/>
                <w:b/>
              </w:rPr>
              <w:t>一、资格性审查指引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1" w:type="pct"/>
            <w:vAlign w:val="center"/>
          </w:tcPr>
          <w:p>
            <w:pPr>
              <w:shd w:val="clear" w:color="auto" w:fill="auto"/>
              <w:tabs>
                <w:tab w:val="clear" w:pos="426"/>
              </w:tabs>
              <w:spacing w:line="240" w:lineRule="auto"/>
              <w:jc w:val="center"/>
              <w:rPr>
                <w:rFonts w:ascii="Times New Roman" w:hAnsi="Times New Roman" w:cs="Times New Roman"/>
                <w:b/>
              </w:rPr>
            </w:pPr>
            <w:r>
              <w:rPr>
                <w:rFonts w:ascii="Times New Roman" w:hAnsi="Times New Roman" w:cs="Times New Roman"/>
                <w:b/>
              </w:rPr>
              <w:t>序号</w:t>
            </w:r>
          </w:p>
        </w:tc>
        <w:tc>
          <w:tcPr>
            <w:tcW w:w="2196" w:type="pct"/>
            <w:gridSpan w:val="2"/>
            <w:vAlign w:val="center"/>
          </w:tcPr>
          <w:p>
            <w:pPr>
              <w:shd w:val="clear" w:color="auto" w:fill="auto"/>
              <w:tabs>
                <w:tab w:val="clear" w:pos="426"/>
              </w:tabs>
              <w:spacing w:line="240" w:lineRule="auto"/>
              <w:jc w:val="center"/>
              <w:rPr>
                <w:rFonts w:ascii="Times New Roman" w:hAnsi="Times New Roman" w:cs="Times New Roman"/>
                <w:b/>
              </w:rPr>
            </w:pPr>
            <w:r>
              <w:rPr>
                <w:rFonts w:ascii="Times New Roman" w:hAnsi="Times New Roman" w:cs="Times New Roman"/>
                <w:b/>
              </w:rPr>
              <w:t>资格性审查项目</w:t>
            </w:r>
          </w:p>
        </w:tc>
        <w:tc>
          <w:tcPr>
            <w:tcW w:w="1622" w:type="pct"/>
            <w:gridSpan w:val="3"/>
            <w:vAlign w:val="center"/>
          </w:tcPr>
          <w:p>
            <w:pPr>
              <w:shd w:val="clear" w:color="auto" w:fill="auto"/>
              <w:tabs>
                <w:tab w:val="clear" w:pos="426"/>
              </w:tabs>
              <w:spacing w:line="240" w:lineRule="auto"/>
              <w:jc w:val="center"/>
              <w:rPr>
                <w:rFonts w:ascii="Times New Roman" w:hAnsi="Times New Roman" w:cs="Times New Roman"/>
                <w:b/>
              </w:rPr>
            </w:pPr>
            <w:r>
              <w:rPr>
                <w:rFonts w:ascii="Times New Roman" w:hAnsi="Times New Roman" w:cs="Times New Roman"/>
                <w:b/>
              </w:rPr>
              <w:t>证明文件</w:t>
            </w:r>
          </w:p>
        </w:tc>
        <w:tc>
          <w:tcPr>
            <w:tcW w:w="731" w:type="pct"/>
            <w:vAlign w:val="center"/>
          </w:tcPr>
          <w:p>
            <w:pPr>
              <w:shd w:val="clear" w:color="auto" w:fill="auto"/>
              <w:tabs>
                <w:tab w:val="clear" w:pos="426"/>
              </w:tabs>
              <w:spacing w:line="240" w:lineRule="auto"/>
              <w:jc w:val="center"/>
              <w:rPr>
                <w:rFonts w:ascii="Times New Roman" w:hAnsi="Times New Roman" w:cs="Times New Roman"/>
                <w:b/>
              </w:rPr>
            </w:pPr>
            <w:r>
              <w:rPr>
                <w:rFonts w:ascii="Times New Roman" w:hAnsi="Times New Roman" w:cs="Times New Roman"/>
                <w:b/>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1" w:type="pct"/>
            <w:vMerge w:val="restart"/>
            <w:vAlign w:val="center"/>
          </w:tcPr>
          <w:p>
            <w:pPr>
              <w:shd w:val="clear" w:color="auto" w:fill="auto"/>
              <w:tabs>
                <w:tab w:val="clear" w:pos="426"/>
              </w:tabs>
              <w:spacing w:line="240" w:lineRule="auto"/>
              <w:jc w:val="center"/>
              <w:rPr>
                <w:rFonts w:ascii="Times New Roman" w:hAnsi="Times New Roman" w:cs="Times New Roman"/>
                <w:b/>
              </w:rPr>
            </w:pPr>
            <w:r>
              <w:rPr>
                <w:rFonts w:ascii="Times New Roman" w:hAnsi="Times New Roman" w:cs="Times New Roman"/>
                <w:b/>
              </w:rPr>
              <w:t>1</w:t>
            </w:r>
          </w:p>
        </w:tc>
        <w:tc>
          <w:tcPr>
            <w:tcW w:w="2196" w:type="pct"/>
            <w:gridSpan w:val="2"/>
            <w:vMerge w:val="restart"/>
            <w:vAlign w:val="center"/>
          </w:tcPr>
          <w:p>
            <w:pPr>
              <w:shd w:val="clear" w:color="auto" w:fill="auto"/>
              <w:tabs>
                <w:tab w:val="clear" w:pos="426"/>
              </w:tabs>
              <w:spacing w:line="240" w:lineRule="auto"/>
              <w:jc w:val="center"/>
              <w:rPr>
                <w:rFonts w:ascii="Times New Roman" w:hAnsi="Times New Roman" w:cs="Times New Roman"/>
                <w:b/>
              </w:rPr>
            </w:pPr>
            <w:r>
              <w:rPr>
                <w:rFonts w:hint="eastAsia" w:ascii="Times New Roman" w:hAnsi="Times New Roman" w:cs="Times New Roman"/>
                <w:color w:val="000000"/>
              </w:rPr>
              <w:t>申请人的资格要求</w:t>
            </w:r>
          </w:p>
        </w:tc>
        <w:tc>
          <w:tcPr>
            <w:tcW w:w="1622" w:type="pct"/>
            <w:gridSpan w:val="3"/>
            <w:vAlign w:val="center"/>
          </w:tcPr>
          <w:p>
            <w:pPr>
              <w:shd w:val="clear" w:color="auto" w:fill="auto"/>
              <w:tabs>
                <w:tab w:val="clear" w:pos="426"/>
              </w:tabs>
              <w:spacing w:line="240" w:lineRule="auto"/>
              <w:jc w:val="center"/>
              <w:rPr>
                <w:rFonts w:ascii="Times New Roman" w:hAnsi="Times New Roman" w:cs="Times New Roman"/>
              </w:rPr>
            </w:pPr>
            <w:r>
              <w:rPr>
                <w:rFonts w:ascii="Times New Roman" w:hAnsi="Times New Roman" w:cs="Times New Roman"/>
              </w:rPr>
              <w:t>营业执照</w:t>
            </w:r>
          </w:p>
        </w:tc>
        <w:tc>
          <w:tcPr>
            <w:tcW w:w="731" w:type="pct"/>
            <w:shd w:val="clear" w:color="auto" w:fill="auto"/>
            <w:vAlign w:val="center"/>
          </w:tcPr>
          <w:p>
            <w:pPr>
              <w:shd w:val="clear" w:color="auto" w:fill="auto"/>
              <w:tabs>
                <w:tab w:val="clear" w:pos="426"/>
              </w:tabs>
              <w:spacing w:line="240" w:lineRule="auto"/>
              <w:jc w:val="center"/>
              <w:rPr>
                <w:rFonts w:ascii="Times New Roman" w:hAnsi="Times New Roman" w:cs="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1" w:type="pct"/>
            <w:vMerge w:val="continue"/>
            <w:vAlign w:val="center"/>
          </w:tcPr>
          <w:p>
            <w:pPr>
              <w:shd w:val="clear" w:color="auto" w:fill="auto"/>
              <w:tabs>
                <w:tab w:val="clear" w:pos="426"/>
              </w:tabs>
              <w:spacing w:line="240" w:lineRule="auto"/>
              <w:jc w:val="center"/>
              <w:rPr>
                <w:rFonts w:ascii="Times New Roman" w:hAnsi="Times New Roman" w:cs="Times New Roman"/>
                <w:b/>
              </w:rPr>
            </w:pPr>
          </w:p>
        </w:tc>
        <w:tc>
          <w:tcPr>
            <w:tcW w:w="2196" w:type="pct"/>
            <w:gridSpan w:val="2"/>
            <w:vMerge w:val="continue"/>
            <w:vAlign w:val="center"/>
          </w:tcPr>
          <w:p>
            <w:pPr>
              <w:shd w:val="clear" w:color="auto" w:fill="auto"/>
              <w:tabs>
                <w:tab w:val="clear" w:pos="426"/>
              </w:tabs>
              <w:spacing w:line="240" w:lineRule="auto"/>
              <w:jc w:val="center"/>
              <w:rPr>
                <w:rFonts w:ascii="Times New Roman" w:hAnsi="Times New Roman" w:cs="Times New Roman"/>
                <w:color w:val="000000"/>
              </w:rPr>
            </w:pPr>
          </w:p>
        </w:tc>
        <w:tc>
          <w:tcPr>
            <w:tcW w:w="1622" w:type="pct"/>
            <w:gridSpan w:val="3"/>
            <w:vAlign w:val="center"/>
          </w:tcPr>
          <w:p>
            <w:pPr>
              <w:shd w:val="clear" w:color="auto" w:fill="auto"/>
              <w:tabs>
                <w:tab w:val="clear" w:pos="426"/>
              </w:tabs>
              <w:spacing w:line="240" w:lineRule="auto"/>
              <w:jc w:val="center"/>
              <w:rPr>
                <w:rFonts w:ascii="Times New Roman" w:hAnsi="Times New Roman" w:cs="Times New Roman"/>
              </w:rPr>
            </w:pPr>
            <w:r>
              <w:rPr>
                <w:rFonts w:ascii="Times New Roman" w:hAnsi="Times New Roman" w:cs="Times New Roman"/>
              </w:rPr>
              <w:t>……</w:t>
            </w:r>
          </w:p>
        </w:tc>
        <w:tc>
          <w:tcPr>
            <w:tcW w:w="731" w:type="pct"/>
            <w:shd w:val="clear" w:color="auto" w:fill="auto"/>
            <w:vAlign w:val="center"/>
          </w:tcPr>
          <w:p>
            <w:pPr>
              <w:shd w:val="clear" w:color="auto" w:fill="auto"/>
              <w:tabs>
                <w:tab w:val="clear" w:pos="426"/>
              </w:tabs>
              <w:spacing w:line="240" w:lineRule="auto"/>
              <w:jc w:val="center"/>
              <w:rPr>
                <w:rFonts w:ascii="Times New Roman" w:hAnsi="Times New Roman" w:cs="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1" w:type="pct"/>
            <w:vMerge w:val="continue"/>
            <w:vAlign w:val="center"/>
          </w:tcPr>
          <w:p>
            <w:pPr>
              <w:shd w:val="clear" w:color="auto" w:fill="auto"/>
              <w:tabs>
                <w:tab w:val="clear" w:pos="426"/>
              </w:tabs>
              <w:spacing w:line="240" w:lineRule="auto"/>
              <w:jc w:val="center"/>
              <w:rPr>
                <w:rFonts w:ascii="Times New Roman" w:hAnsi="Times New Roman" w:cs="Times New Roman"/>
                <w:b/>
              </w:rPr>
            </w:pPr>
          </w:p>
        </w:tc>
        <w:tc>
          <w:tcPr>
            <w:tcW w:w="2196" w:type="pct"/>
            <w:gridSpan w:val="2"/>
            <w:vMerge w:val="continue"/>
            <w:vAlign w:val="center"/>
          </w:tcPr>
          <w:p>
            <w:pPr>
              <w:shd w:val="clear" w:color="auto" w:fill="auto"/>
              <w:tabs>
                <w:tab w:val="clear" w:pos="426"/>
              </w:tabs>
              <w:spacing w:line="240" w:lineRule="auto"/>
              <w:jc w:val="center"/>
              <w:rPr>
                <w:rFonts w:ascii="Times New Roman" w:hAnsi="Times New Roman" w:cs="Times New Roman"/>
                <w:color w:val="000000"/>
              </w:rPr>
            </w:pPr>
          </w:p>
        </w:tc>
        <w:tc>
          <w:tcPr>
            <w:tcW w:w="1622" w:type="pct"/>
            <w:gridSpan w:val="3"/>
            <w:vAlign w:val="center"/>
          </w:tcPr>
          <w:p>
            <w:pPr>
              <w:shd w:val="clear" w:color="auto" w:fill="auto"/>
              <w:tabs>
                <w:tab w:val="clear" w:pos="426"/>
              </w:tabs>
              <w:spacing w:line="240" w:lineRule="auto"/>
              <w:jc w:val="center"/>
              <w:rPr>
                <w:rFonts w:ascii="Times New Roman" w:hAnsi="Times New Roman" w:cs="Times New Roman"/>
              </w:rPr>
            </w:pPr>
          </w:p>
        </w:tc>
        <w:tc>
          <w:tcPr>
            <w:tcW w:w="731" w:type="pct"/>
            <w:vAlign w:val="center"/>
          </w:tcPr>
          <w:p>
            <w:pPr>
              <w:shd w:val="clear" w:color="auto" w:fill="auto"/>
              <w:tabs>
                <w:tab w:val="clear" w:pos="426"/>
              </w:tabs>
              <w:spacing w:line="240" w:lineRule="auto"/>
              <w:jc w:val="center"/>
              <w:rPr>
                <w:rFonts w:ascii="Times New Roman" w:hAnsi="Times New Roman" w:cs="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1" w:type="pct"/>
            <w:vMerge w:val="continue"/>
            <w:vAlign w:val="center"/>
          </w:tcPr>
          <w:p>
            <w:pPr>
              <w:shd w:val="clear" w:color="auto" w:fill="auto"/>
              <w:tabs>
                <w:tab w:val="clear" w:pos="426"/>
              </w:tabs>
              <w:spacing w:line="240" w:lineRule="auto"/>
              <w:jc w:val="center"/>
              <w:rPr>
                <w:rFonts w:ascii="Times New Roman" w:hAnsi="Times New Roman" w:cs="Times New Roman"/>
                <w:b/>
              </w:rPr>
            </w:pPr>
          </w:p>
        </w:tc>
        <w:tc>
          <w:tcPr>
            <w:tcW w:w="2196" w:type="pct"/>
            <w:gridSpan w:val="2"/>
            <w:vMerge w:val="continue"/>
            <w:vAlign w:val="center"/>
          </w:tcPr>
          <w:p>
            <w:pPr>
              <w:shd w:val="clear" w:color="auto" w:fill="auto"/>
              <w:tabs>
                <w:tab w:val="clear" w:pos="426"/>
              </w:tabs>
              <w:spacing w:line="240" w:lineRule="auto"/>
              <w:jc w:val="center"/>
              <w:rPr>
                <w:rFonts w:ascii="Times New Roman" w:hAnsi="Times New Roman" w:cs="Times New Roman"/>
                <w:color w:val="000000"/>
              </w:rPr>
            </w:pPr>
          </w:p>
        </w:tc>
        <w:tc>
          <w:tcPr>
            <w:tcW w:w="1622" w:type="pct"/>
            <w:gridSpan w:val="3"/>
            <w:vAlign w:val="center"/>
          </w:tcPr>
          <w:p>
            <w:pPr>
              <w:shd w:val="clear" w:color="auto" w:fill="auto"/>
              <w:tabs>
                <w:tab w:val="clear" w:pos="426"/>
              </w:tabs>
              <w:spacing w:line="240" w:lineRule="auto"/>
              <w:jc w:val="center"/>
              <w:rPr>
                <w:rFonts w:ascii="Times New Roman" w:hAnsi="Times New Roman" w:cs="Times New Roman"/>
                <w:b/>
              </w:rPr>
            </w:pPr>
          </w:p>
        </w:tc>
        <w:tc>
          <w:tcPr>
            <w:tcW w:w="731" w:type="pct"/>
            <w:vAlign w:val="center"/>
          </w:tcPr>
          <w:p>
            <w:pPr>
              <w:shd w:val="clear" w:color="auto" w:fill="auto"/>
              <w:tabs>
                <w:tab w:val="clear" w:pos="426"/>
              </w:tabs>
              <w:spacing w:line="240" w:lineRule="auto"/>
              <w:jc w:val="center"/>
              <w:rPr>
                <w:rFonts w:ascii="Times New Roman" w:hAnsi="Times New Roman" w:cs="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1" w:type="pct"/>
            <w:vMerge w:val="continue"/>
            <w:vAlign w:val="center"/>
          </w:tcPr>
          <w:p>
            <w:pPr>
              <w:shd w:val="clear" w:color="auto" w:fill="auto"/>
              <w:tabs>
                <w:tab w:val="clear" w:pos="426"/>
              </w:tabs>
              <w:spacing w:line="240" w:lineRule="auto"/>
              <w:jc w:val="center"/>
              <w:rPr>
                <w:rFonts w:ascii="Times New Roman" w:hAnsi="Times New Roman" w:cs="Times New Roman"/>
                <w:b/>
              </w:rPr>
            </w:pPr>
          </w:p>
        </w:tc>
        <w:tc>
          <w:tcPr>
            <w:tcW w:w="2196" w:type="pct"/>
            <w:gridSpan w:val="2"/>
            <w:vMerge w:val="continue"/>
            <w:vAlign w:val="center"/>
          </w:tcPr>
          <w:p>
            <w:pPr>
              <w:shd w:val="clear" w:color="auto" w:fill="auto"/>
              <w:tabs>
                <w:tab w:val="clear" w:pos="426"/>
              </w:tabs>
              <w:spacing w:line="240" w:lineRule="auto"/>
              <w:jc w:val="center"/>
              <w:rPr>
                <w:rFonts w:ascii="Times New Roman" w:hAnsi="Times New Roman" w:cs="Times New Roman"/>
                <w:color w:val="000000"/>
              </w:rPr>
            </w:pPr>
          </w:p>
        </w:tc>
        <w:tc>
          <w:tcPr>
            <w:tcW w:w="1622" w:type="pct"/>
            <w:gridSpan w:val="3"/>
            <w:vAlign w:val="center"/>
          </w:tcPr>
          <w:p>
            <w:pPr>
              <w:shd w:val="clear" w:color="auto" w:fill="auto"/>
              <w:tabs>
                <w:tab w:val="clear" w:pos="426"/>
              </w:tabs>
              <w:spacing w:line="240" w:lineRule="auto"/>
              <w:jc w:val="center"/>
              <w:rPr>
                <w:rFonts w:ascii="Times New Roman" w:hAnsi="Times New Roman" w:cs="Times New Roman"/>
                <w:b/>
              </w:rPr>
            </w:pPr>
          </w:p>
        </w:tc>
        <w:tc>
          <w:tcPr>
            <w:tcW w:w="731" w:type="pct"/>
            <w:vAlign w:val="center"/>
          </w:tcPr>
          <w:p>
            <w:pPr>
              <w:shd w:val="clear" w:color="auto" w:fill="auto"/>
              <w:tabs>
                <w:tab w:val="clear" w:pos="426"/>
              </w:tabs>
              <w:spacing w:line="240" w:lineRule="auto"/>
              <w:jc w:val="center"/>
              <w:rPr>
                <w:rFonts w:ascii="Times New Roman" w:hAnsi="Times New Roman" w:cs="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1" w:type="pct"/>
            <w:vMerge w:val="continue"/>
            <w:vAlign w:val="center"/>
          </w:tcPr>
          <w:p>
            <w:pPr>
              <w:shd w:val="clear" w:color="auto" w:fill="auto"/>
              <w:tabs>
                <w:tab w:val="clear" w:pos="426"/>
              </w:tabs>
              <w:spacing w:line="240" w:lineRule="auto"/>
              <w:jc w:val="center"/>
              <w:rPr>
                <w:rFonts w:ascii="Times New Roman" w:hAnsi="Times New Roman" w:cs="Times New Roman"/>
                <w:b/>
              </w:rPr>
            </w:pPr>
          </w:p>
        </w:tc>
        <w:tc>
          <w:tcPr>
            <w:tcW w:w="2196" w:type="pct"/>
            <w:gridSpan w:val="2"/>
            <w:vMerge w:val="continue"/>
            <w:vAlign w:val="center"/>
          </w:tcPr>
          <w:p>
            <w:pPr>
              <w:shd w:val="clear" w:color="auto" w:fill="auto"/>
              <w:tabs>
                <w:tab w:val="clear" w:pos="426"/>
              </w:tabs>
              <w:spacing w:line="240" w:lineRule="auto"/>
              <w:jc w:val="center"/>
              <w:rPr>
                <w:rFonts w:ascii="Times New Roman" w:hAnsi="Times New Roman" w:cs="Times New Roman"/>
                <w:color w:val="000000"/>
              </w:rPr>
            </w:pPr>
          </w:p>
        </w:tc>
        <w:tc>
          <w:tcPr>
            <w:tcW w:w="1622" w:type="pct"/>
            <w:gridSpan w:val="3"/>
            <w:vAlign w:val="center"/>
          </w:tcPr>
          <w:p>
            <w:pPr>
              <w:shd w:val="clear" w:color="auto" w:fill="auto"/>
              <w:tabs>
                <w:tab w:val="clear" w:pos="426"/>
              </w:tabs>
              <w:spacing w:line="240" w:lineRule="auto"/>
              <w:jc w:val="center"/>
              <w:rPr>
                <w:rFonts w:ascii="Times New Roman" w:hAnsi="Times New Roman" w:cs="Times New Roman"/>
                <w:b/>
              </w:rPr>
            </w:pPr>
          </w:p>
        </w:tc>
        <w:tc>
          <w:tcPr>
            <w:tcW w:w="731" w:type="pct"/>
            <w:vAlign w:val="center"/>
          </w:tcPr>
          <w:p>
            <w:pPr>
              <w:shd w:val="clear" w:color="auto" w:fill="auto"/>
              <w:tabs>
                <w:tab w:val="clear" w:pos="426"/>
              </w:tabs>
              <w:spacing w:line="240" w:lineRule="auto"/>
              <w:jc w:val="center"/>
              <w:rPr>
                <w:rFonts w:ascii="Times New Roman" w:hAnsi="Times New Roman" w:cs="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7"/>
            <w:vAlign w:val="center"/>
          </w:tcPr>
          <w:p>
            <w:pPr>
              <w:shd w:val="clear" w:color="auto" w:fill="auto"/>
              <w:tabs>
                <w:tab w:val="clear" w:pos="426"/>
              </w:tabs>
              <w:spacing w:line="240" w:lineRule="auto"/>
              <w:jc w:val="center"/>
              <w:rPr>
                <w:rFonts w:ascii="Times New Roman" w:hAnsi="Times New Roman" w:cs="Times New Roman"/>
                <w:b/>
              </w:rPr>
            </w:pPr>
            <w:r>
              <w:rPr>
                <w:rFonts w:ascii="Times New Roman" w:hAnsi="Times New Roman" w:cs="Times New Roman"/>
                <w:b/>
              </w:rPr>
              <w:t>二、符合性审查指引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1" w:type="pct"/>
            <w:vAlign w:val="center"/>
          </w:tcPr>
          <w:p>
            <w:pPr>
              <w:shd w:val="clear" w:color="auto" w:fill="auto"/>
              <w:tabs>
                <w:tab w:val="clear" w:pos="426"/>
              </w:tabs>
              <w:spacing w:line="240" w:lineRule="auto"/>
              <w:jc w:val="center"/>
              <w:rPr>
                <w:rFonts w:ascii="Times New Roman" w:hAnsi="Times New Roman" w:cs="Times New Roman"/>
                <w:b/>
              </w:rPr>
            </w:pPr>
            <w:r>
              <w:rPr>
                <w:rFonts w:ascii="Times New Roman" w:hAnsi="Times New Roman" w:cs="Times New Roman"/>
                <w:b/>
              </w:rPr>
              <w:t>序号</w:t>
            </w:r>
          </w:p>
        </w:tc>
        <w:tc>
          <w:tcPr>
            <w:tcW w:w="3105" w:type="pct"/>
            <w:gridSpan w:val="4"/>
            <w:vAlign w:val="center"/>
          </w:tcPr>
          <w:p>
            <w:pPr>
              <w:shd w:val="clear" w:color="auto" w:fill="auto"/>
              <w:tabs>
                <w:tab w:val="clear" w:pos="426"/>
              </w:tabs>
              <w:spacing w:line="240" w:lineRule="auto"/>
              <w:jc w:val="center"/>
              <w:rPr>
                <w:rFonts w:ascii="Times New Roman" w:hAnsi="Times New Roman" w:cs="Times New Roman"/>
                <w:b/>
              </w:rPr>
            </w:pPr>
            <w:r>
              <w:rPr>
                <w:rFonts w:ascii="Times New Roman" w:hAnsi="Times New Roman" w:cs="Times New Roman"/>
                <w:b/>
              </w:rPr>
              <w:t>符合性审查项目</w:t>
            </w:r>
          </w:p>
        </w:tc>
        <w:tc>
          <w:tcPr>
            <w:tcW w:w="1444" w:type="pct"/>
            <w:gridSpan w:val="2"/>
            <w:vAlign w:val="center"/>
          </w:tcPr>
          <w:p>
            <w:pPr>
              <w:shd w:val="clear" w:color="auto" w:fill="auto"/>
              <w:tabs>
                <w:tab w:val="clear" w:pos="426"/>
              </w:tabs>
              <w:spacing w:line="240" w:lineRule="auto"/>
              <w:jc w:val="center"/>
              <w:rPr>
                <w:rFonts w:ascii="Times New Roman" w:hAnsi="Times New Roman" w:cs="Times New Roman"/>
                <w:b/>
              </w:rPr>
            </w:pPr>
            <w:r>
              <w:rPr>
                <w:rFonts w:ascii="Times New Roman" w:hAnsi="Times New Roman" w:cs="Times New Roman"/>
                <w:b/>
              </w:rPr>
              <w:t>说明（填写：符合/不符合）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1" w:type="pct"/>
            <w:vAlign w:val="center"/>
          </w:tcPr>
          <w:p>
            <w:pPr>
              <w:widowControl w:val="0"/>
              <w:shd w:val="clear" w:color="auto" w:fill="auto"/>
              <w:tabs>
                <w:tab w:val="clear" w:pos="426"/>
              </w:tabs>
              <w:spacing w:line="240" w:lineRule="auto"/>
              <w:jc w:val="center"/>
              <w:rPr>
                <w:rFonts w:ascii="Times New Roman" w:hAnsi="Times New Roman" w:cs="Times New Roman"/>
              </w:rPr>
            </w:pPr>
            <w:r>
              <w:rPr>
                <w:rFonts w:ascii="Times New Roman" w:hAnsi="Times New Roman" w:cs="Times New Roman"/>
              </w:rPr>
              <w:t>1</w:t>
            </w:r>
          </w:p>
        </w:tc>
        <w:tc>
          <w:tcPr>
            <w:tcW w:w="3105" w:type="pct"/>
            <w:gridSpan w:val="4"/>
            <w:vAlign w:val="center"/>
          </w:tcPr>
          <w:p>
            <w:pPr>
              <w:shd w:val="clear" w:color="auto" w:fill="auto"/>
              <w:tabs>
                <w:tab w:val="clear" w:pos="426"/>
              </w:tabs>
              <w:spacing w:line="240" w:lineRule="auto"/>
              <w:rPr>
                <w:rFonts w:ascii="Times New Roman" w:hAnsi="Times New Roman" w:cs="Times New Roman"/>
                <w:szCs w:val="21"/>
              </w:rPr>
            </w:pPr>
            <w:r>
              <w:rPr>
                <w:rFonts w:hint="eastAsia"/>
              </w:rPr>
              <w:t>未出现</w:t>
            </w:r>
            <w:r>
              <w:rPr>
                <w:rFonts w:ascii="Times New Roman" w:hAnsi="Times New Roman" w:cs="Times New Roman"/>
              </w:rPr>
              <w:t>将一个包或一个标段的内容拆开投标；</w:t>
            </w:r>
          </w:p>
        </w:tc>
        <w:tc>
          <w:tcPr>
            <w:tcW w:w="1444" w:type="pct"/>
            <w:gridSpan w:val="2"/>
            <w:vAlign w:val="center"/>
          </w:tcPr>
          <w:p>
            <w:pPr>
              <w:shd w:val="clear" w:color="auto" w:fill="auto"/>
              <w:tabs>
                <w:tab w:val="clear" w:pos="426"/>
              </w:tabs>
              <w:spacing w:line="240" w:lineRule="auto"/>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1" w:type="pct"/>
            <w:vAlign w:val="center"/>
          </w:tcPr>
          <w:p>
            <w:pPr>
              <w:widowControl w:val="0"/>
              <w:shd w:val="clear" w:color="auto" w:fill="auto"/>
              <w:tabs>
                <w:tab w:val="clear" w:pos="426"/>
              </w:tabs>
              <w:spacing w:line="240" w:lineRule="auto"/>
              <w:jc w:val="center"/>
              <w:rPr>
                <w:rFonts w:ascii="Times New Roman" w:hAnsi="Times New Roman" w:cs="Times New Roman"/>
              </w:rPr>
            </w:pPr>
            <w:r>
              <w:rPr>
                <w:rFonts w:ascii="Times New Roman" w:hAnsi="Times New Roman" w:cs="Times New Roman"/>
              </w:rPr>
              <w:t>2</w:t>
            </w:r>
          </w:p>
        </w:tc>
        <w:tc>
          <w:tcPr>
            <w:tcW w:w="3105" w:type="pct"/>
            <w:gridSpan w:val="4"/>
            <w:vAlign w:val="center"/>
          </w:tcPr>
          <w:p>
            <w:pPr>
              <w:shd w:val="clear" w:color="auto" w:fill="auto"/>
              <w:tabs>
                <w:tab w:val="clear" w:pos="426"/>
              </w:tabs>
              <w:spacing w:line="240" w:lineRule="auto"/>
              <w:rPr>
                <w:rFonts w:ascii="Times New Roman" w:hAnsi="Times New Roman" w:cs="Times New Roman"/>
                <w:szCs w:val="21"/>
              </w:rPr>
            </w:pPr>
            <w:r>
              <w:rPr>
                <w:rFonts w:ascii="Times New Roman" w:hAnsi="Times New Roman" w:cs="Times New Roman"/>
              </w:rPr>
              <w:t>投标文件及开标一览表按招标文件规定密封、签字、盖章；</w:t>
            </w:r>
          </w:p>
        </w:tc>
        <w:tc>
          <w:tcPr>
            <w:tcW w:w="1444" w:type="pct"/>
            <w:gridSpan w:val="2"/>
            <w:vAlign w:val="center"/>
          </w:tcPr>
          <w:p>
            <w:pPr>
              <w:shd w:val="clear" w:color="auto" w:fill="auto"/>
              <w:tabs>
                <w:tab w:val="clear" w:pos="426"/>
              </w:tabs>
              <w:spacing w:line="240" w:lineRule="auto"/>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451" w:type="pct"/>
            <w:vAlign w:val="center"/>
          </w:tcPr>
          <w:p>
            <w:pPr>
              <w:widowControl w:val="0"/>
              <w:shd w:val="clear" w:color="auto" w:fill="auto"/>
              <w:tabs>
                <w:tab w:val="clear" w:pos="426"/>
              </w:tabs>
              <w:spacing w:line="240" w:lineRule="auto"/>
              <w:jc w:val="center"/>
              <w:rPr>
                <w:rFonts w:ascii="Times New Roman" w:hAnsi="Times New Roman" w:cs="Times New Roman"/>
              </w:rPr>
            </w:pPr>
            <w:r>
              <w:rPr>
                <w:rFonts w:ascii="Times New Roman" w:hAnsi="Times New Roman" w:cs="Times New Roman"/>
              </w:rPr>
              <w:t>3</w:t>
            </w:r>
          </w:p>
        </w:tc>
        <w:tc>
          <w:tcPr>
            <w:tcW w:w="3105" w:type="pct"/>
            <w:gridSpan w:val="4"/>
            <w:vAlign w:val="center"/>
          </w:tcPr>
          <w:p>
            <w:pPr>
              <w:shd w:val="clear" w:color="auto" w:fill="auto"/>
              <w:tabs>
                <w:tab w:val="clear" w:pos="426"/>
              </w:tabs>
              <w:spacing w:line="240" w:lineRule="auto"/>
              <w:rPr>
                <w:rFonts w:ascii="Times New Roman" w:hAnsi="Times New Roman" w:cs="Times New Roman"/>
                <w:szCs w:val="21"/>
              </w:rPr>
            </w:pPr>
            <w:r>
              <w:rPr>
                <w:rFonts w:ascii="Times New Roman" w:hAnsi="Times New Roman" w:cs="Times New Roman"/>
              </w:rPr>
              <w:t>对同一项目投标时，</w:t>
            </w:r>
            <w:r>
              <w:rPr>
                <w:rFonts w:hint="eastAsia"/>
              </w:rPr>
              <w:t>未</w:t>
            </w:r>
            <w:r>
              <w:rPr>
                <w:rFonts w:ascii="Times New Roman" w:hAnsi="Times New Roman" w:cs="Times New Roman"/>
              </w:rPr>
              <w:t>提供两套以上的投标方案（招标文件另有规定的除外）；</w:t>
            </w:r>
          </w:p>
        </w:tc>
        <w:tc>
          <w:tcPr>
            <w:tcW w:w="1444" w:type="pct"/>
            <w:gridSpan w:val="2"/>
            <w:vAlign w:val="center"/>
          </w:tcPr>
          <w:p>
            <w:pPr>
              <w:shd w:val="clear" w:color="auto" w:fill="auto"/>
              <w:tabs>
                <w:tab w:val="clear" w:pos="426"/>
              </w:tabs>
              <w:spacing w:line="240" w:lineRule="auto"/>
              <w:jc w:val="center"/>
              <w:rPr>
                <w:rFonts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451" w:type="pct"/>
            <w:vAlign w:val="center"/>
          </w:tcPr>
          <w:p>
            <w:pPr>
              <w:widowControl w:val="0"/>
              <w:shd w:val="clear" w:color="auto" w:fill="auto"/>
              <w:tabs>
                <w:tab w:val="clear" w:pos="426"/>
              </w:tabs>
              <w:spacing w:line="240" w:lineRule="auto"/>
              <w:jc w:val="center"/>
              <w:rPr>
                <w:rFonts w:ascii="Times New Roman" w:hAnsi="Times New Roman" w:cs="Times New Roman"/>
              </w:rPr>
            </w:pPr>
            <w:r>
              <w:rPr>
                <w:rFonts w:ascii="Times New Roman" w:hAnsi="Times New Roman" w:cs="Times New Roman"/>
              </w:rPr>
              <w:t>4</w:t>
            </w:r>
          </w:p>
        </w:tc>
        <w:tc>
          <w:tcPr>
            <w:tcW w:w="3105" w:type="pct"/>
            <w:gridSpan w:val="4"/>
            <w:vAlign w:val="center"/>
          </w:tcPr>
          <w:p>
            <w:pPr>
              <w:shd w:val="clear" w:color="auto" w:fill="auto"/>
              <w:tabs>
                <w:tab w:val="clear" w:pos="426"/>
              </w:tabs>
              <w:spacing w:line="240" w:lineRule="auto"/>
              <w:rPr>
                <w:rFonts w:ascii="Times New Roman" w:hAnsi="Times New Roman" w:cs="Times New Roman"/>
                <w:szCs w:val="21"/>
              </w:rPr>
            </w:pPr>
            <w:r>
              <w:rPr>
                <w:rFonts w:ascii="Times New Roman" w:hAnsi="Times New Roman" w:cs="Times New Roman"/>
              </w:rPr>
              <w:t>按招标文件所提供的样式填写《投标函》；按招标文件所提供的《政府采购投标及履约承诺函》进行承诺；</w:t>
            </w:r>
          </w:p>
        </w:tc>
        <w:tc>
          <w:tcPr>
            <w:tcW w:w="1444" w:type="pct"/>
            <w:gridSpan w:val="2"/>
            <w:vAlign w:val="center"/>
          </w:tcPr>
          <w:p>
            <w:pPr>
              <w:shd w:val="clear" w:color="auto" w:fill="auto"/>
              <w:tabs>
                <w:tab w:val="clear" w:pos="426"/>
              </w:tabs>
              <w:spacing w:line="240" w:lineRule="auto"/>
              <w:jc w:val="center"/>
              <w:rPr>
                <w:rFonts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451" w:type="pct"/>
            <w:vAlign w:val="center"/>
          </w:tcPr>
          <w:p>
            <w:pPr>
              <w:widowControl w:val="0"/>
              <w:shd w:val="clear" w:color="auto" w:fill="auto"/>
              <w:tabs>
                <w:tab w:val="clear" w:pos="426"/>
              </w:tabs>
              <w:spacing w:line="240" w:lineRule="auto"/>
              <w:jc w:val="center"/>
              <w:rPr>
                <w:rFonts w:ascii="Times New Roman" w:hAnsi="Times New Roman" w:cs="Times New Roman"/>
              </w:rPr>
            </w:pPr>
            <w:r>
              <w:rPr>
                <w:rFonts w:ascii="Times New Roman" w:hAnsi="Times New Roman" w:cs="Times New Roman"/>
              </w:rPr>
              <w:t>5</w:t>
            </w:r>
          </w:p>
        </w:tc>
        <w:tc>
          <w:tcPr>
            <w:tcW w:w="3105" w:type="pct"/>
            <w:gridSpan w:val="4"/>
            <w:vAlign w:val="center"/>
          </w:tcPr>
          <w:p>
            <w:pPr>
              <w:shd w:val="clear" w:color="auto" w:fill="auto"/>
              <w:tabs>
                <w:tab w:val="clear" w:pos="426"/>
              </w:tabs>
              <w:spacing w:line="240" w:lineRule="auto"/>
              <w:rPr>
                <w:rFonts w:ascii="Times New Roman" w:hAnsi="Times New Roman" w:cs="Times New Roman"/>
                <w:szCs w:val="21"/>
              </w:rPr>
            </w:pPr>
            <w:r>
              <w:rPr>
                <w:rFonts w:ascii="Times New Roman" w:hAnsi="Times New Roman" w:cs="Times New Roman"/>
              </w:rPr>
              <w:t>按照招标文件规定要求签署、盖章或投标文件有法定代表人签字，或签字人有法定代表人有效授权书的；</w:t>
            </w:r>
          </w:p>
        </w:tc>
        <w:tc>
          <w:tcPr>
            <w:tcW w:w="1444" w:type="pct"/>
            <w:gridSpan w:val="2"/>
            <w:vAlign w:val="center"/>
          </w:tcPr>
          <w:p>
            <w:pPr>
              <w:shd w:val="clear" w:color="auto" w:fill="auto"/>
              <w:tabs>
                <w:tab w:val="clear" w:pos="426"/>
              </w:tabs>
              <w:spacing w:line="240" w:lineRule="auto"/>
              <w:jc w:val="center"/>
              <w:rPr>
                <w:rFonts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1" w:type="pct"/>
            <w:vAlign w:val="center"/>
          </w:tcPr>
          <w:p>
            <w:pPr>
              <w:widowControl w:val="0"/>
              <w:shd w:val="clear" w:color="auto" w:fill="auto"/>
              <w:tabs>
                <w:tab w:val="clear" w:pos="426"/>
              </w:tabs>
              <w:spacing w:line="240" w:lineRule="auto"/>
              <w:jc w:val="center"/>
              <w:rPr>
                <w:rFonts w:ascii="Times New Roman" w:hAnsi="Times New Roman" w:cs="Times New Roman"/>
              </w:rPr>
            </w:pPr>
            <w:r>
              <w:rPr>
                <w:rFonts w:ascii="Times New Roman" w:hAnsi="Times New Roman" w:cs="Times New Roman"/>
              </w:rPr>
              <w:t>6</w:t>
            </w:r>
          </w:p>
        </w:tc>
        <w:tc>
          <w:tcPr>
            <w:tcW w:w="3105" w:type="pct"/>
            <w:gridSpan w:val="4"/>
            <w:vAlign w:val="center"/>
          </w:tcPr>
          <w:p>
            <w:pPr>
              <w:shd w:val="clear" w:color="auto" w:fill="auto"/>
              <w:tabs>
                <w:tab w:val="clear" w:pos="426"/>
              </w:tabs>
              <w:spacing w:line="240" w:lineRule="auto"/>
              <w:rPr>
                <w:rFonts w:ascii="Times New Roman" w:hAnsi="Times New Roman" w:cs="Times New Roman"/>
                <w:szCs w:val="21"/>
              </w:rPr>
            </w:pPr>
            <w:r>
              <w:rPr>
                <w:rFonts w:ascii="Times New Roman" w:hAnsi="Times New Roman" w:cs="Times New Roman"/>
              </w:rPr>
              <w:t>投标总价或分项报价</w:t>
            </w:r>
            <w:r>
              <w:rPr>
                <w:rFonts w:hint="eastAsia"/>
              </w:rPr>
              <w:t>不</w:t>
            </w:r>
            <w:r>
              <w:rPr>
                <w:rFonts w:ascii="Times New Roman" w:hAnsi="Times New Roman" w:cs="Times New Roman"/>
              </w:rPr>
              <w:t>高于预算金额</w:t>
            </w:r>
            <w:r>
              <w:rPr>
                <w:rFonts w:ascii="Times New Roman" w:hAnsi="Times New Roman" w:cs="Times New Roman"/>
                <w:szCs w:val="21"/>
              </w:rPr>
              <w:t>（最高投标限价）</w:t>
            </w:r>
            <w:r>
              <w:rPr>
                <w:rFonts w:ascii="Times New Roman" w:hAnsi="Times New Roman" w:cs="Times New Roman"/>
              </w:rPr>
              <w:t>；</w:t>
            </w:r>
          </w:p>
        </w:tc>
        <w:tc>
          <w:tcPr>
            <w:tcW w:w="1444" w:type="pct"/>
            <w:gridSpan w:val="2"/>
            <w:vAlign w:val="center"/>
          </w:tcPr>
          <w:p>
            <w:pPr>
              <w:shd w:val="clear" w:color="auto" w:fill="auto"/>
              <w:tabs>
                <w:tab w:val="clear" w:pos="426"/>
              </w:tabs>
              <w:spacing w:line="240" w:lineRule="auto"/>
              <w:jc w:val="center"/>
              <w:rPr>
                <w:rFonts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1" w:type="pct"/>
            <w:vAlign w:val="center"/>
          </w:tcPr>
          <w:p>
            <w:pPr>
              <w:widowControl w:val="0"/>
              <w:shd w:val="clear" w:color="auto" w:fill="auto"/>
              <w:tabs>
                <w:tab w:val="clear" w:pos="426"/>
              </w:tabs>
              <w:spacing w:line="240" w:lineRule="auto"/>
              <w:jc w:val="center"/>
              <w:rPr>
                <w:rFonts w:ascii="Times New Roman" w:hAnsi="Times New Roman" w:cs="Times New Roman"/>
              </w:rPr>
            </w:pPr>
            <w:r>
              <w:rPr>
                <w:rFonts w:ascii="Times New Roman" w:hAnsi="Times New Roman" w:cs="Times New Roman"/>
              </w:rPr>
              <w:t>7</w:t>
            </w:r>
          </w:p>
        </w:tc>
        <w:tc>
          <w:tcPr>
            <w:tcW w:w="3105" w:type="pct"/>
            <w:gridSpan w:val="4"/>
            <w:vAlign w:val="center"/>
          </w:tcPr>
          <w:p>
            <w:pPr>
              <w:shd w:val="clear" w:color="auto" w:fill="auto"/>
              <w:tabs>
                <w:tab w:val="clear" w:pos="426"/>
              </w:tabs>
              <w:spacing w:line="240" w:lineRule="auto"/>
              <w:rPr>
                <w:rFonts w:ascii="Times New Roman" w:hAnsi="Times New Roman" w:cs="Times New Roman"/>
                <w:szCs w:val="21"/>
              </w:rPr>
            </w:pPr>
            <w:r>
              <w:rPr>
                <w:rFonts w:hint="eastAsia"/>
              </w:rPr>
              <w:t>不存在以下情形：</w:t>
            </w:r>
            <w:r>
              <w:rPr>
                <w:rFonts w:ascii="Times New Roman" w:hAnsi="Times New Roman" w:cs="Times New Roman"/>
              </w:rPr>
              <w:t>同一项目出现两个及以上报价，且按规定无法确定哪个是有效报价；</w:t>
            </w:r>
          </w:p>
        </w:tc>
        <w:tc>
          <w:tcPr>
            <w:tcW w:w="1444" w:type="pct"/>
            <w:gridSpan w:val="2"/>
            <w:vAlign w:val="center"/>
          </w:tcPr>
          <w:p>
            <w:pPr>
              <w:shd w:val="clear" w:color="auto" w:fill="auto"/>
              <w:tabs>
                <w:tab w:val="clear" w:pos="426"/>
              </w:tabs>
              <w:spacing w:line="240" w:lineRule="auto"/>
              <w:jc w:val="center"/>
              <w:rPr>
                <w:rFonts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451" w:type="pct"/>
            <w:vAlign w:val="center"/>
          </w:tcPr>
          <w:p>
            <w:pPr>
              <w:widowControl w:val="0"/>
              <w:shd w:val="clear" w:color="auto" w:fill="auto"/>
              <w:tabs>
                <w:tab w:val="clear" w:pos="426"/>
              </w:tabs>
              <w:spacing w:line="240" w:lineRule="auto"/>
              <w:jc w:val="center"/>
              <w:rPr>
                <w:rFonts w:ascii="Times New Roman" w:hAnsi="Times New Roman" w:cs="Times New Roman"/>
              </w:rPr>
            </w:pPr>
            <w:r>
              <w:rPr>
                <w:rFonts w:ascii="Times New Roman" w:hAnsi="Times New Roman" w:cs="Times New Roman"/>
              </w:rPr>
              <w:t>8</w:t>
            </w:r>
          </w:p>
        </w:tc>
        <w:tc>
          <w:tcPr>
            <w:tcW w:w="3105" w:type="pct"/>
            <w:gridSpan w:val="4"/>
            <w:vAlign w:val="center"/>
          </w:tcPr>
          <w:p>
            <w:pPr>
              <w:shd w:val="clear" w:color="auto" w:fill="auto"/>
              <w:tabs>
                <w:tab w:val="clear" w:pos="426"/>
              </w:tabs>
              <w:spacing w:line="240" w:lineRule="auto"/>
              <w:rPr>
                <w:rFonts w:ascii="Times New Roman" w:hAnsi="Times New Roman" w:cs="Times New Roman"/>
                <w:szCs w:val="21"/>
              </w:rPr>
            </w:pPr>
            <w:r>
              <w:rPr>
                <w:rFonts w:hint="eastAsia"/>
              </w:rPr>
              <w:t>不存在以下情形：</w:t>
            </w:r>
            <w:r>
              <w:rPr>
                <w:rFonts w:ascii="Times New Roman" w:hAnsi="Times New Roman" w:cs="Times New Roman"/>
              </w:rPr>
              <w:t>评标委员会认为投标人的报价明显低于其他通过符合性审查投标人的报价，有可能影响产品质量或者不能诚信履约的，且不能在合理的时间内提供书面说明，或无法提交相关证明材料，投标人不能证明其报价合理性的；</w:t>
            </w:r>
          </w:p>
        </w:tc>
        <w:tc>
          <w:tcPr>
            <w:tcW w:w="1444" w:type="pct"/>
            <w:gridSpan w:val="2"/>
            <w:vAlign w:val="center"/>
          </w:tcPr>
          <w:p>
            <w:pPr>
              <w:shd w:val="clear" w:color="auto" w:fill="auto"/>
              <w:tabs>
                <w:tab w:val="clear" w:pos="426"/>
              </w:tabs>
              <w:spacing w:line="240" w:lineRule="auto"/>
              <w:jc w:val="center"/>
              <w:rPr>
                <w:rFonts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1" w:type="pct"/>
            <w:vAlign w:val="center"/>
          </w:tcPr>
          <w:p>
            <w:pPr>
              <w:widowControl w:val="0"/>
              <w:shd w:val="clear" w:color="auto" w:fill="auto"/>
              <w:tabs>
                <w:tab w:val="clear" w:pos="426"/>
              </w:tabs>
              <w:spacing w:line="240" w:lineRule="auto"/>
              <w:jc w:val="center"/>
              <w:rPr>
                <w:rFonts w:ascii="Times New Roman" w:hAnsi="Times New Roman" w:cs="Times New Roman"/>
              </w:rPr>
            </w:pPr>
            <w:r>
              <w:rPr>
                <w:rFonts w:hint="eastAsia" w:ascii="Times New Roman" w:hAnsi="Times New Roman" w:cs="Times New Roman"/>
              </w:rPr>
              <w:t>9</w:t>
            </w:r>
          </w:p>
        </w:tc>
        <w:tc>
          <w:tcPr>
            <w:tcW w:w="3105" w:type="pct"/>
            <w:gridSpan w:val="4"/>
            <w:vAlign w:val="center"/>
          </w:tcPr>
          <w:p>
            <w:pPr>
              <w:shd w:val="clear" w:color="auto" w:fill="auto"/>
              <w:tabs>
                <w:tab w:val="clear" w:pos="426"/>
              </w:tabs>
              <w:spacing w:line="240" w:lineRule="auto"/>
              <w:rPr>
                <w:rFonts w:ascii="Times New Roman" w:hAnsi="Times New Roman" w:cs="Times New Roman"/>
                <w:szCs w:val="21"/>
              </w:rPr>
            </w:pPr>
            <w:r>
              <w:rPr>
                <w:rFonts w:ascii="Times New Roman" w:hAnsi="Times New Roman" w:cs="Times New Roman"/>
              </w:rPr>
              <w:t>所投产品、工程、服务在商务、技术等方面实质性满足招标文件要求的（是否实质性满足招标文件要求，由评标委员会根据《实质性条款响应情况表》做出评判；</w:t>
            </w:r>
          </w:p>
        </w:tc>
        <w:tc>
          <w:tcPr>
            <w:tcW w:w="1444" w:type="pct"/>
            <w:gridSpan w:val="2"/>
            <w:vAlign w:val="center"/>
          </w:tcPr>
          <w:p>
            <w:pPr>
              <w:shd w:val="clear" w:color="auto" w:fill="auto"/>
              <w:tabs>
                <w:tab w:val="clear" w:pos="426"/>
              </w:tabs>
              <w:spacing w:line="240" w:lineRule="auto"/>
              <w:jc w:val="center"/>
              <w:rPr>
                <w:rFonts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1" w:type="pct"/>
            <w:vAlign w:val="center"/>
          </w:tcPr>
          <w:p>
            <w:pPr>
              <w:widowControl w:val="0"/>
              <w:shd w:val="clear" w:color="auto" w:fill="auto"/>
              <w:tabs>
                <w:tab w:val="clear" w:pos="426"/>
              </w:tabs>
              <w:spacing w:line="240" w:lineRule="auto"/>
              <w:jc w:val="center"/>
              <w:rPr>
                <w:rFonts w:ascii="Times New Roman" w:hAnsi="Times New Roman" w:cs="Times New Roman"/>
              </w:rPr>
            </w:pPr>
            <w:r>
              <w:rPr>
                <w:rFonts w:hint="eastAsia" w:ascii="Times New Roman" w:hAnsi="Times New Roman" w:cs="Times New Roman"/>
              </w:rPr>
              <w:t>10</w:t>
            </w:r>
          </w:p>
        </w:tc>
        <w:tc>
          <w:tcPr>
            <w:tcW w:w="3105" w:type="pct"/>
            <w:gridSpan w:val="4"/>
            <w:vAlign w:val="center"/>
          </w:tcPr>
          <w:p>
            <w:pPr>
              <w:shd w:val="clear" w:color="auto" w:fill="auto"/>
              <w:tabs>
                <w:tab w:val="clear" w:pos="426"/>
              </w:tabs>
              <w:spacing w:line="240" w:lineRule="auto"/>
              <w:rPr>
                <w:rFonts w:ascii="Times New Roman" w:hAnsi="Times New Roman" w:cs="Times New Roman"/>
                <w:szCs w:val="21"/>
              </w:rPr>
            </w:pPr>
            <w:r>
              <w:rPr>
                <w:rFonts w:hint="eastAsia"/>
              </w:rPr>
              <w:t>不存在以下情形：</w:t>
            </w:r>
            <w:r>
              <w:rPr>
                <w:rFonts w:hint="eastAsia" w:ascii="Times New Roman" w:hAnsi="Times New Roman" w:cs="Times New Roman"/>
              </w:rPr>
              <w:t>对招标文件规定的服务（货物）清单（工程量清单）项目及数量进行修改或采购标的响应不全</w:t>
            </w:r>
            <w:r>
              <w:rPr>
                <w:rFonts w:ascii="Times New Roman" w:hAnsi="Times New Roman" w:cs="Times New Roman"/>
              </w:rPr>
              <w:t>；</w:t>
            </w:r>
          </w:p>
        </w:tc>
        <w:tc>
          <w:tcPr>
            <w:tcW w:w="1444" w:type="pct"/>
            <w:gridSpan w:val="2"/>
            <w:vAlign w:val="center"/>
          </w:tcPr>
          <w:p>
            <w:pPr>
              <w:shd w:val="clear" w:color="auto" w:fill="auto"/>
              <w:tabs>
                <w:tab w:val="clear" w:pos="426"/>
              </w:tabs>
              <w:spacing w:line="240" w:lineRule="auto"/>
              <w:jc w:val="center"/>
              <w:rPr>
                <w:rFonts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1" w:type="pct"/>
            <w:vAlign w:val="center"/>
          </w:tcPr>
          <w:p>
            <w:pPr>
              <w:widowControl w:val="0"/>
              <w:shd w:val="clear" w:color="auto" w:fill="auto"/>
              <w:tabs>
                <w:tab w:val="clear" w:pos="426"/>
              </w:tabs>
              <w:spacing w:line="240" w:lineRule="auto"/>
              <w:jc w:val="center"/>
              <w:rPr>
                <w:rFonts w:ascii="Times New Roman" w:hAnsi="Times New Roman" w:cs="Times New Roman"/>
              </w:rPr>
            </w:pPr>
            <w:r>
              <w:rPr>
                <w:rFonts w:hint="eastAsia" w:ascii="Times New Roman" w:hAnsi="Times New Roman" w:cs="Times New Roman"/>
              </w:rPr>
              <w:t>11</w:t>
            </w:r>
          </w:p>
        </w:tc>
        <w:tc>
          <w:tcPr>
            <w:tcW w:w="3105" w:type="pct"/>
            <w:gridSpan w:val="4"/>
            <w:vAlign w:val="center"/>
          </w:tcPr>
          <w:p>
            <w:pPr>
              <w:shd w:val="clear" w:color="auto" w:fill="auto"/>
              <w:tabs>
                <w:tab w:val="clear" w:pos="426"/>
              </w:tabs>
              <w:spacing w:line="240" w:lineRule="auto"/>
              <w:rPr>
                <w:rFonts w:ascii="Times New Roman" w:hAnsi="Times New Roman" w:cs="Times New Roman"/>
                <w:szCs w:val="21"/>
              </w:rPr>
            </w:pPr>
            <w:r>
              <w:rPr>
                <w:rFonts w:ascii="Times New Roman" w:hAnsi="Times New Roman" w:cs="Times New Roman"/>
              </w:rPr>
              <w:t>投标文件</w:t>
            </w:r>
            <w:r>
              <w:rPr>
                <w:rFonts w:hint="eastAsia"/>
              </w:rPr>
              <w:t>不</w:t>
            </w:r>
            <w:r>
              <w:rPr>
                <w:rFonts w:ascii="Times New Roman" w:hAnsi="Times New Roman" w:cs="Times New Roman"/>
              </w:rPr>
              <w:t>存在招标文件中规定的其它投标无效条款的；</w:t>
            </w:r>
          </w:p>
        </w:tc>
        <w:tc>
          <w:tcPr>
            <w:tcW w:w="1444" w:type="pct"/>
            <w:gridSpan w:val="2"/>
            <w:vAlign w:val="center"/>
          </w:tcPr>
          <w:p>
            <w:pPr>
              <w:shd w:val="clear" w:color="auto" w:fill="auto"/>
              <w:tabs>
                <w:tab w:val="clear" w:pos="426"/>
              </w:tabs>
              <w:spacing w:line="240" w:lineRule="auto"/>
              <w:jc w:val="center"/>
              <w:rPr>
                <w:rFonts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1" w:type="pct"/>
            <w:vAlign w:val="center"/>
          </w:tcPr>
          <w:p>
            <w:pPr>
              <w:widowControl w:val="0"/>
              <w:shd w:val="clear" w:color="auto" w:fill="auto"/>
              <w:tabs>
                <w:tab w:val="clear" w:pos="426"/>
              </w:tabs>
              <w:spacing w:line="240" w:lineRule="auto"/>
              <w:jc w:val="center"/>
              <w:rPr>
                <w:rFonts w:ascii="Times New Roman" w:hAnsi="Times New Roman" w:cs="Times New Roman"/>
              </w:rPr>
            </w:pPr>
            <w:r>
              <w:rPr>
                <w:rFonts w:hint="eastAsia" w:ascii="Times New Roman" w:hAnsi="Times New Roman" w:cs="Times New Roman"/>
              </w:rPr>
              <w:t>12</w:t>
            </w:r>
          </w:p>
        </w:tc>
        <w:tc>
          <w:tcPr>
            <w:tcW w:w="3105" w:type="pct"/>
            <w:gridSpan w:val="4"/>
            <w:vAlign w:val="center"/>
          </w:tcPr>
          <w:p>
            <w:pPr>
              <w:shd w:val="clear" w:color="auto" w:fill="auto"/>
              <w:tabs>
                <w:tab w:val="clear" w:pos="426"/>
              </w:tabs>
              <w:spacing w:line="240" w:lineRule="auto"/>
              <w:rPr>
                <w:rFonts w:ascii="Times New Roman" w:hAnsi="Times New Roman" w:cs="Times New Roman"/>
                <w:szCs w:val="21"/>
              </w:rPr>
            </w:pPr>
            <w:r>
              <w:rPr>
                <w:rFonts w:hint="eastAsia"/>
              </w:rPr>
              <w:t>不</w:t>
            </w:r>
            <w:r>
              <w:rPr>
                <w:rFonts w:ascii="Times New Roman" w:hAnsi="Times New Roman" w:cs="Times New Roman"/>
              </w:rPr>
              <w:t>属于法律、法规规定的投标无效的其他情形。</w:t>
            </w:r>
          </w:p>
        </w:tc>
        <w:tc>
          <w:tcPr>
            <w:tcW w:w="1444" w:type="pct"/>
            <w:gridSpan w:val="2"/>
            <w:vAlign w:val="center"/>
          </w:tcPr>
          <w:p>
            <w:pPr>
              <w:shd w:val="clear" w:color="auto" w:fill="auto"/>
              <w:tabs>
                <w:tab w:val="clear" w:pos="426"/>
              </w:tabs>
              <w:spacing w:line="240" w:lineRule="auto"/>
              <w:jc w:val="center"/>
              <w:rPr>
                <w:rFonts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7"/>
            <w:vAlign w:val="center"/>
          </w:tcPr>
          <w:p>
            <w:pPr>
              <w:shd w:val="clear" w:color="auto" w:fill="auto"/>
              <w:tabs>
                <w:tab w:val="clear" w:pos="426"/>
              </w:tabs>
              <w:spacing w:line="240" w:lineRule="auto"/>
              <w:jc w:val="center"/>
              <w:rPr>
                <w:rFonts w:ascii="Times New Roman" w:hAnsi="Times New Roman" w:cs="Times New Roman"/>
                <w:b/>
              </w:rPr>
            </w:pPr>
            <w:r>
              <w:rPr>
                <w:rFonts w:ascii="Times New Roman" w:hAnsi="Times New Roman" w:cs="Times New Roman"/>
                <w:b/>
              </w:rPr>
              <w:t>三、综合评分指引（请根据项目评分表内容调整）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2" w:type="pct"/>
            <w:gridSpan w:val="2"/>
            <w:vAlign w:val="center"/>
          </w:tcPr>
          <w:p>
            <w:pPr>
              <w:shd w:val="clear" w:color="auto" w:fill="auto"/>
              <w:tabs>
                <w:tab w:val="clear" w:pos="426"/>
              </w:tabs>
              <w:spacing w:line="240" w:lineRule="auto"/>
              <w:jc w:val="center"/>
              <w:rPr>
                <w:rFonts w:ascii="Times New Roman" w:hAnsi="Times New Roman" w:cs="Times New Roman"/>
                <w:b/>
              </w:rPr>
            </w:pPr>
            <w:r>
              <w:rPr>
                <w:rFonts w:ascii="Times New Roman" w:hAnsi="Times New Roman" w:cs="Times New Roman"/>
                <w:b/>
              </w:rPr>
              <w:t>评分类别</w:t>
            </w:r>
          </w:p>
        </w:tc>
        <w:tc>
          <w:tcPr>
            <w:tcW w:w="2873" w:type="pct"/>
            <w:gridSpan w:val="2"/>
            <w:vAlign w:val="center"/>
          </w:tcPr>
          <w:p>
            <w:pPr>
              <w:shd w:val="clear" w:color="auto" w:fill="auto"/>
              <w:tabs>
                <w:tab w:val="clear" w:pos="426"/>
              </w:tabs>
              <w:spacing w:line="240" w:lineRule="auto"/>
              <w:jc w:val="center"/>
              <w:rPr>
                <w:rFonts w:ascii="Times New Roman" w:hAnsi="Times New Roman" w:cs="Times New Roman"/>
                <w:b/>
              </w:rPr>
            </w:pPr>
            <w:r>
              <w:rPr>
                <w:rFonts w:ascii="Times New Roman" w:hAnsi="Times New Roman" w:cs="Times New Roman"/>
                <w:b/>
              </w:rPr>
              <w:t>评分项目</w:t>
            </w:r>
          </w:p>
        </w:tc>
        <w:tc>
          <w:tcPr>
            <w:tcW w:w="764" w:type="pct"/>
            <w:gridSpan w:val="2"/>
            <w:vAlign w:val="center"/>
          </w:tcPr>
          <w:p>
            <w:pPr>
              <w:shd w:val="clear" w:color="auto" w:fill="auto"/>
              <w:tabs>
                <w:tab w:val="clear" w:pos="426"/>
              </w:tabs>
              <w:spacing w:line="240" w:lineRule="auto"/>
              <w:jc w:val="center"/>
              <w:rPr>
                <w:rFonts w:ascii="Times New Roman" w:hAnsi="Times New Roman" w:cs="Times New Roman"/>
                <w:b/>
              </w:rPr>
            </w:pPr>
            <w:r>
              <w:rPr>
                <w:rFonts w:ascii="Times New Roman" w:hAnsi="Times New Roman" w:cs="Times New Roman"/>
                <w:b/>
              </w:rPr>
              <w:t>对应章节</w:t>
            </w:r>
          </w:p>
        </w:tc>
        <w:tc>
          <w:tcPr>
            <w:tcW w:w="731" w:type="pct"/>
            <w:vAlign w:val="center"/>
          </w:tcPr>
          <w:p>
            <w:pPr>
              <w:shd w:val="clear" w:color="auto" w:fill="auto"/>
              <w:tabs>
                <w:tab w:val="clear" w:pos="426"/>
              </w:tabs>
              <w:spacing w:line="240" w:lineRule="auto"/>
              <w:jc w:val="center"/>
              <w:rPr>
                <w:rFonts w:ascii="Times New Roman" w:hAnsi="Times New Roman" w:cs="Times New Roman"/>
                <w:b/>
              </w:rPr>
            </w:pPr>
            <w:r>
              <w:rPr>
                <w:rFonts w:ascii="Times New Roman" w:hAnsi="Times New Roman" w:cs="Times New Roman"/>
                <w:b/>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2" w:type="pct"/>
            <w:gridSpan w:val="2"/>
            <w:vAlign w:val="center"/>
          </w:tcPr>
          <w:p>
            <w:pPr>
              <w:shd w:val="clear" w:color="auto" w:fill="auto"/>
              <w:tabs>
                <w:tab w:val="clear" w:pos="426"/>
              </w:tabs>
              <w:spacing w:line="240" w:lineRule="auto"/>
              <w:jc w:val="center"/>
              <w:rPr>
                <w:rFonts w:ascii="Times New Roman" w:hAnsi="Times New Roman" w:cs="Times New Roman"/>
                <w:b/>
              </w:rPr>
            </w:pPr>
            <w:r>
              <w:rPr>
                <w:rFonts w:ascii="Times New Roman" w:hAnsi="Times New Roman" w:cs="Times New Roman"/>
                <w:b/>
              </w:rPr>
              <w:t>价格部分</w:t>
            </w:r>
          </w:p>
        </w:tc>
        <w:tc>
          <w:tcPr>
            <w:tcW w:w="2873" w:type="pct"/>
            <w:gridSpan w:val="2"/>
            <w:vAlign w:val="center"/>
          </w:tcPr>
          <w:p>
            <w:pPr>
              <w:shd w:val="clear" w:color="auto" w:fill="auto"/>
              <w:tabs>
                <w:tab w:val="clear" w:pos="426"/>
              </w:tabs>
              <w:spacing w:line="240" w:lineRule="auto"/>
              <w:jc w:val="center"/>
              <w:rPr>
                <w:rFonts w:ascii="Times New Roman" w:hAnsi="Times New Roman" w:cs="Times New Roman"/>
                <w:b/>
              </w:rPr>
            </w:pPr>
          </w:p>
        </w:tc>
        <w:tc>
          <w:tcPr>
            <w:tcW w:w="764" w:type="pct"/>
            <w:gridSpan w:val="2"/>
            <w:vAlign w:val="center"/>
          </w:tcPr>
          <w:p>
            <w:pPr>
              <w:shd w:val="clear" w:color="auto" w:fill="auto"/>
              <w:tabs>
                <w:tab w:val="clear" w:pos="426"/>
              </w:tabs>
              <w:spacing w:line="240" w:lineRule="auto"/>
              <w:jc w:val="center"/>
              <w:rPr>
                <w:rFonts w:ascii="Times New Roman" w:hAnsi="Times New Roman" w:cs="Times New Roman"/>
                <w:b/>
              </w:rPr>
            </w:pPr>
          </w:p>
        </w:tc>
        <w:tc>
          <w:tcPr>
            <w:tcW w:w="731" w:type="pct"/>
            <w:vAlign w:val="center"/>
          </w:tcPr>
          <w:p>
            <w:pPr>
              <w:shd w:val="clear" w:color="auto" w:fill="auto"/>
              <w:tabs>
                <w:tab w:val="clear" w:pos="426"/>
              </w:tabs>
              <w:spacing w:line="240" w:lineRule="auto"/>
              <w:jc w:val="center"/>
              <w:rPr>
                <w:rFonts w:ascii="Times New Roman" w:hAnsi="Times New Roman" w:cs="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2" w:type="pct"/>
            <w:gridSpan w:val="2"/>
            <w:vMerge w:val="restart"/>
            <w:vAlign w:val="center"/>
          </w:tcPr>
          <w:p>
            <w:pPr>
              <w:shd w:val="clear" w:color="auto" w:fill="auto"/>
              <w:tabs>
                <w:tab w:val="clear" w:pos="426"/>
              </w:tabs>
              <w:spacing w:line="240" w:lineRule="auto"/>
              <w:jc w:val="center"/>
              <w:rPr>
                <w:rFonts w:ascii="Times New Roman" w:hAnsi="Times New Roman" w:cs="Times New Roman"/>
                <w:b/>
              </w:rPr>
            </w:pPr>
            <w:r>
              <w:rPr>
                <w:rFonts w:hint="eastAsia" w:ascii="Times New Roman" w:hAnsi="Times New Roman" w:cs="Times New Roman"/>
                <w:b/>
                <w:lang w:val="en-US" w:eastAsia="zh-CN"/>
              </w:rPr>
              <w:t>技术</w:t>
            </w:r>
            <w:r>
              <w:rPr>
                <w:rFonts w:ascii="Times New Roman" w:hAnsi="Times New Roman" w:cs="Times New Roman"/>
                <w:b/>
              </w:rPr>
              <w:t>部分</w:t>
            </w:r>
          </w:p>
        </w:tc>
        <w:tc>
          <w:tcPr>
            <w:tcW w:w="2873" w:type="pct"/>
            <w:gridSpan w:val="2"/>
            <w:shd w:val="clear" w:color="auto" w:fill="auto"/>
            <w:vAlign w:val="center"/>
          </w:tcPr>
          <w:p>
            <w:pPr>
              <w:shd w:val="clear" w:color="auto" w:fill="auto"/>
              <w:tabs>
                <w:tab w:val="clear" w:pos="426"/>
              </w:tabs>
              <w:spacing w:line="240" w:lineRule="auto"/>
              <w:jc w:val="center"/>
              <w:rPr>
                <w:rFonts w:ascii="Times New Roman" w:hAnsi="Times New Roman" w:cs="Times New Roman"/>
              </w:rPr>
            </w:pPr>
          </w:p>
        </w:tc>
        <w:tc>
          <w:tcPr>
            <w:tcW w:w="764" w:type="pct"/>
            <w:gridSpan w:val="2"/>
            <w:vAlign w:val="center"/>
          </w:tcPr>
          <w:p>
            <w:pPr>
              <w:shd w:val="clear" w:color="auto" w:fill="auto"/>
              <w:tabs>
                <w:tab w:val="clear" w:pos="426"/>
              </w:tabs>
              <w:spacing w:line="240" w:lineRule="auto"/>
              <w:jc w:val="center"/>
              <w:rPr>
                <w:rFonts w:ascii="Times New Roman" w:hAnsi="Times New Roman" w:cs="Times New Roman"/>
                <w:b/>
              </w:rPr>
            </w:pPr>
          </w:p>
        </w:tc>
        <w:tc>
          <w:tcPr>
            <w:tcW w:w="731" w:type="pct"/>
            <w:vAlign w:val="center"/>
          </w:tcPr>
          <w:p>
            <w:pPr>
              <w:shd w:val="clear" w:color="auto" w:fill="auto"/>
              <w:tabs>
                <w:tab w:val="clear" w:pos="426"/>
              </w:tabs>
              <w:spacing w:line="240" w:lineRule="auto"/>
              <w:jc w:val="center"/>
              <w:rPr>
                <w:rFonts w:ascii="Times New Roman" w:hAnsi="Times New Roman" w:cs="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2" w:type="pct"/>
            <w:gridSpan w:val="2"/>
            <w:vMerge w:val="continue"/>
            <w:vAlign w:val="center"/>
          </w:tcPr>
          <w:p>
            <w:pPr>
              <w:shd w:val="clear" w:color="auto" w:fill="auto"/>
              <w:tabs>
                <w:tab w:val="clear" w:pos="426"/>
              </w:tabs>
              <w:spacing w:line="240" w:lineRule="auto"/>
              <w:jc w:val="center"/>
              <w:rPr>
                <w:rFonts w:ascii="Times New Roman" w:hAnsi="Times New Roman" w:cs="Times New Roman"/>
                <w:b/>
              </w:rPr>
            </w:pPr>
          </w:p>
        </w:tc>
        <w:tc>
          <w:tcPr>
            <w:tcW w:w="2873" w:type="pct"/>
            <w:gridSpan w:val="2"/>
            <w:shd w:val="clear" w:color="auto" w:fill="auto"/>
            <w:vAlign w:val="center"/>
          </w:tcPr>
          <w:p>
            <w:pPr>
              <w:shd w:val="clear" w:color="auto" w:fill="auto"/>
              <w:tabs>
                <w:tab w:val="clear" w:pos="426"/>
              </w:tabs>
              <w:spacing w:line="240" w:lineRule="auto"/>
              <w:jc w:val="center"/>
              <w:rPr>
                <w:rFonts w:ascii="Times New Roman" w:hAnsi="Times New Roman" w:cs="Times New Roman"/>
                <w:b/>
              </w:rPr>
            </w:pPr>
          </w:p>
        </w:tc>
        <w:tc>
          <w:tcPr>
            <w:tcW w:w="764" w:type="pct"/>
            <w:gridSpan w:val="2"/>
            <w:vAlign w:val="center"/>
          </w:tcPr>
          <w:p>
            <w:pPr>
              <w:shd w:val="clear" w:color="auto" w:fill="auto"/>
              <w:tabs>
                <w:tab w:val="clear" w:pos="426"/>
              </w:tabs>
              <w:spacing w:line="240" w:lineRule="auto"/>
              <w:jc w:val="center"/>
              <w:rPr>
                <w:rFonts w:ascii="Times New Roman" w:hAnsi="Times New Roman" w:cs="Times New Roman"/>
                <w:b/>
              </w:rPr>
            </w:pPr>
          </w:p>
        </w:tc>
        <w:tc>
          <w:tcPr>
            <w:tcW w:w="731" w:type="pct"/>
            <w:vAlign w:val="center"/>
          </w:tcPr>
          <w:p>
            <w:pPr>
              <w:shd w:val="clear" w:color="auto" w:fill="auto"/>
              <w:tabs>
                <w:tab w:val="clear" w:pos="426"/>
              </w:tabs>
              <w:spacing w:line="240" w:lineRule="auto"/>
              <w:jc w:val="center"/>
              <w:rPr>
                <w:rFonts w:ascii="Times New Roman" w:hAnsi="Times New Roman" w:cs="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2" w:type="pct"/>
            <w:gridSpan w:val="2"/>
            <w:vMerge w:val="restart"/>
            <w:vAlign w:val="center"/>
          </w:tcPr>
          <w:p>
            <w:pPr>
              <w:shd w:val="clear" w:color="auto" w:fill="auto"/>
              <w:tabs>
                <w:tab w:val="clear" w:pos="426"/>
              </w:tabs>
              <w:spacing w:line="240" w:lineRule="auto"/>
              <w:jc w:val="center"/>
              <w:rPr>
                <w:rFonts w:ascii="Times New Roman" w:hAnsi="Times New Roman" w:cs="Times New Roman"/>
                <w:b/>
              </w:rPr>
            </w:pPr>
            <w:r>
              <w:rPr>
                <w:rFonts w:hint="eastAsia" w:ascii="Times New Roman" w:hAnsi="Times New Roman" w:cs="Times New Roman"/>
                <w:b/>
                <w:lang w:val="en-US" w:eastAsia="zh-CN"/>
              </w:rPr>
              <w:t>商务</w:t>
            </w:r>
            <w:r>
              <w:rPr>
                <w:rFonts w:ascii="Times New Roman" w:hAnsi="Times New Roman" w:cs="Times New Roman"/>
                <w:b/>
              </w:rPr>
              <w:t>部分</w:t>
            </w:r>
          </w:p>
        </w:tc>
        <w:tc>
          <w:tcPr>
            <w:tcW w:w="2873" w:type="pct"/>
            <w:gridSpan w:val="2"/>
            <w:shd w:val="clear" w:color="auto" w:fill="auto"/>
            <w:vAlign w:val="center"/>
          </w:tcPr>
          <w:p>
            <w:pPr>
              <w:shd w:val="clear" w:color="auto" w:fill="auto"/>
              <w:tabs>
                <w:tab w:val="clear" w:pos="426"/>
              </w:tabs>
              <w:spacing w:line="240" w:lineRule="auto"/>
              <w:jc w:val="center"/>
              <w:rPr>
                <w:rFonts w:ascii="Times New Roman" w:hAnsi="Times New Roman" w:cs="Times New Roman"/>
                <w:b/>
              </w:rPr>
            </w:pPr>
          </w:p>
        </w:tc>
        <w:tc>
          <w:tcPr>
            <w:tcW w:w="764" w:type="pct"/>
            <w:gridSpan w:val="2"/>
            <w:vAlign w:val="center"/>
          </w:tcPr>
          <w:p>
            <w:pPr>
              <w:shd w:val="clear" w:color="auto" w:fill="auto"/>
              <w:tabs>
                <w:tab w:val="clear" w:pos="426"/>
              </w:tabs>
              <w:spacing w:line="240" w:lineRule="auto"/>
              <w:jc w:val="center"/>
              <w:rPr>
                <w:rFonts w:ascii="Times New Roman" w:hAnsi="Times New Roman" w:cs="Times New Roman"/>
                <w:b/>
              </w:rPr>
            </w:pPr>
          </w:p>
        </w:tc>
        <w:tc>
          <w:tcPr>
            <w:tcW w:w="731" w:type="pct"/>
            <w:vAlign w:val="center"/>
          </w:tcPr>
          <w:p>
            <w:pPr>
              <w:shd w:val="clear" w:color="auto" w:fill="auto"/>
              <w:tabs>
                <w:tab w:val="clear" w:pos="426"/>
              </w:tabs>
              <w:spacing w:line="240" w:lineRule="auto"/>
              <w:jc w:val="center"/>
              <w:rPr>
                <w:rFonts w:ascii="Times New Roman" w:hAnsi="Times New Roman" w:cs="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2" w:type="pct"/>
            <w:gridSpan w:val="2"/>
            <w:vMerge w:val="continue"/>
            <w:vAlign w:val="center"/>
          </w:tcPr>
          <w:p>
            <w:pPr>
              <w:shd w:val="clear" w:color="auto" w:fill="auto"/>
              <w:tabs>
                <w:tab w:val="clear" w:pos="426"/>
              </w:tabs>
              <w:spacing w:line="240" w:lineRule="auto"/>
              <w:jc w:val="center"/>
              <w:rPr>
                <w:rFonts w:ascii="Times New Roman" w:hAnsi="Times New Roman" w:cs="Times New Roman"/>
                <w:b/>
              </w:rPr>
            </w:pPr>
          </w:p>
        </w:tc>
        <w:tc>
          <w:tcPr>
            <w:tcW w:w="2873" w:type="pct"/>
            <w:gridSpan w:val="2"/>
            <w:shd w:val="clear" w:color="auto" w:fill="auto"/>
            <w:vAlign w:val="center"/>
          </w:tcPr>
          <w:p>
            <w:pPr>
              <w:shd w:val="clear" w:color="auto" w:fill="auto"/>
              <w:tabs>
                <w:tab w:val="clear" w:pos="426"/>
              </w:tabs>
              <w:spacing w:line="240" w:lineRule="auto"/>
              <w:jc w:val="center"/>
              <w:rPr>
                <w:rFonts w:ascii="Times New Roman" w:hAnsi="Times New Roman" w:cs="Times New Roman"/>
                <w:b/>
              </w:rPr>
            </w:pPr>
          </w:p>
        </w:tc>
        <w:tc>
          <w:tcPr>
            <w:tcW w:w="764" w:type="pct"/>
            <w:gridSpan w:val="2"/>
            <w:vAlign w:val="center"/>
          </w:tcPr>
          <w:p>
            <w:pPr>
              <w:shd w:val="clear" w:color="auto" w:fill="auto"/>
              <w:tabs>
                <w:tab w:val="clear" w:pos="426"/>
              </w:tabs>
              <w:spacing w:line="240" w:lineRule="auto"/>
              <w:jc w:val="center"/>
              <w:rPr>
                <w:rFonts w:ascii="Times New Roman" w:hAnsi="Times New Roman" w:cs="Times New Roman"/>
                <w:b/>
              </w:rPr>
            </w:pPr>
          </w:p>
        </w:tc>
        <w:tc>
          <w:tcPr>
            <w:tcW w:w="731" w:type="pct"/>
            <w:vAlign w:val="center"/>
          </w:tcPr>
          <w:p>
            <w:pPr>
              <w:shd w:val="clear" w:color="auto" w:fill="auto"/>
              <w:tabs>
                <w:tab w:val="clear" w:pos="426"/>
              </w:tabs>
              <w:spacing w:line="240" w:lineRule="auto"/>
              <w:jc w:val="center"/>
              <w:rPr>
                <w:rFonts w:ascii="Times New Roman" w:hAnsi="Times New Roman" w:cs="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2" w:type="pct"/>
            <w:gridSpan w:val="2"/>
            <w:vMerge w:val="restart"/>
            <w:vAlign w:val="center"/>
          </w:tcPr>
          <w:p>
            <w:pPr>
              <w:shd w:val="clear" w:color="auto" w:fill="auto"/>
              <w:tabs>
                <w:tab w:val="clear" w:pos="426"/>
              </w:tabs>
              <w:spacing w:line="240" w:lineRule="auto"/>
              <w:jc w:val="center"/>
              <w:rPr>
                <w:rFonts w:ascii="Times New Roman" w:hAnsi="Times New Roman" w:cs="Times New Roman"/>
                <w:b/>
              </w:rPr>
            </w:pPr>
            <w:r>
              <w:rPr>
                <w:rFonts w:ascii="Times New Roman" w:hAnsi="Times New Roman" w:cs="Times New Roman"/>
                <w:b/>
              </w:rPr>
              <w:t>……</w:t>
            </w:r>
          </w:p>
        </w:tc>
        <w:tc>
          <w:tcPr>
            <w:tcW w:w="2873" w:type="pct"/>
            <w:gridSpan w:val="2"/>
            <w:shd w:val="clear" w:color="auto" w:fill="auto"/>
            <w:vAlign w:val="center"/>
          </w:tcPr>
          <w:p>
            <w:pPr>
              <w:shd w:val="clear" w:color="auto" w:fill="auto"/>
              <w:tabs>
                <w:tab w:val="clear" w:pos="426"/>
              </w:tabs>
              <w:spacing w:line="240" w:lineRule="auto"/>
              <w:jc w:val="center"/>
              <w:rPr>
                <w:rFonts w:ascii="Times New Roman" w:hAnsi="Times New Roman" w:cs="Times New Roman"/>
                <w:b/>
              </w:rPr>
            </w:pPr>
          </w:p>
        </w:tc>
        <w:tc>
          <w:tcPr>
            <w:tcW w:w="764" w:type="pct"/>
            <w:gridSpan w:val="2"/>
            <w:vAlign w:val="center"/>
          </w:tcPr>
          <w:p>
            <w:pPr>
              <w:shd w:val="clear" w:color="auto" w:fill="auto"/>
              <w:tabs>
                <w:tab w:val="clear" w:pos="426"/>
              </w:tabs>
              <w:spacing w:line="240" w:lineRule="auto"/>
              <w:jc w:val="center"/>
              <w:rPr>
                <w:rFonts w:ascii="Times New Roman" w:hAnsi="Times New Roman" w:cs="Times New Roman"/>
                <w:b/>
              </w:rPr>
            </w:pPr>
          </w:p>
        </w:tc>
        <w:tc>
          <w:tcPr>
            <w:tcW w:w="731" w:type="pct"/>
            <w:vAlign w:val="center"/>
          </w:tcPr>
          <w:p>
            <w:pPr>
              <w:shd w:val="clear" w:color="auto" w:fill="auto"/>
              <w:tabs>
                <w:tab w:val="clear" w:pos="426"/>
              </w:tabs>
              <w:spacing w:line="240" w:lineRule="auto"/>
              <w:jc w:val="center"/>
              <w:rPr>
                <w:rFonts w:ascii="Times New Roman" w:hAnsi="Times New Roman" w:cs="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2" w:type="pct"/>
            <w:gridSpan w:val="2"/>
            <w:vMerge w:val="continue"/>
            <w:vAlign w:val="center"/>
          </w:tcPr>
          <w:p>
            <w:pPr>
              <w:shd w:val="clear" w:color="auto" w:fill="auto"/>
              <w:tabs>
                <w:tab w:val="clear" w:pos="426"/>
              </w:tabs>
              <w:spacing w:line="240" w:lineRule="auto"/>
              <w:jc w:val="center"/>
              <w:rPr>
                <w:rFonts w:ascii="Times New Roman" w:hAnsi="Times New Roman" w:cs="Times New Roman"/>
                <w:b/>
              </w:rPr>
            </w:pPr>
          </w:p>
        </w:tc>
        <w:tc>
          <w:tcPr>
            <w:tcW w:w="2873" w:type="pct"/>
            <w:gridSpan w:val="2"/>
            <w:shd w:val="clear" w:color="auto" w:fill="auto"/>
            <w:vAlign w:val="center"/>
          </w:tcPr>
          <w:p>
            <w:pPr>
              <w:shd w:val="clear" w:color="auto" w:fill="auto"/>
              <w:tabs>
                <w:tab w:val="clear" w:pos="426"/>
              </w:tabs>
              <w:spacing w:line="240" w:lineRule="auto"/>
              <w:jc w:val="center"/>
              <w:rPr>
                <w:rFonts w:ascii="Times New Roman" w:hAnsi="Times New Roman" w:cs="Times New Roman"/>
                <w:b/>
              </w:rPr>
            </w:pPr>
          </w:p>
        </w:tc>
        <w:tc>
          <w:tcPr>
            <w:tcW w:w="764" w:type="pct"/>
            <w:gridSpan w:val="2"/>
            <w:vAlign w:val="center"/>
          </w:tcPr>
          <w:p>
            <w:pPr>
              <w:shd w:val="clear" w:color="auto" w:fill="auto"/>
              <w:tabs>
                <w:tab w:val="clear" w:pos="426"/>
              </w:tabs>
              <w:spacing w:line="240" w:lineRule="auto"/>
              <w:jc w:val="center"/>
              <w:rPr>
                <w:rFonts w:ascii="Times New Roman" w:hAnsi="Times New Roman" w:cs="Times New Roman"/>
                <w:b/>
              </w:rPr>
            </w:pPr>
          </w:p>
        </w:tc>
        <w:tc>
          <w:tcPr>
            <w:tcW w:w="731" w:type="pct"/>
            <w:vAlign w:val="center"/>
          </w:tcPr>
          <w:p>
            <w:pPr>
              <w:shd w:val="clear" w:color="auto" w:fill="auto"/>
              <w:tabs>
                <w:tab w:val="clear" w:pos="426"/>
              </w:tabs>
              <w:spacing w:line="240" w:lineRule="auto"/>
              <w:jc w:val="center"/>
              <w:rPr>
                <w:rFonts w:ascii="Times New Roman" w:hAnsi="Times New Roman" w:cs="Times New Roman"/>
                <w:b/>
              </w:rPr>
            </w:pPr>
          </w:p>
        </w:tc>
      </w:tr>
    </w:tbl>
    <w:p>
      <w:pPr>
        <w:shd w:val="clear" w:color="auto" w:fill="auto"/>
        <w:tabs>
          <w:tab w:val="clear" w:pos="426"/>
        </w:tabs>
        <w:ind w:firstLine="420"/>
        <w:rPr>
          <w:rFonts w:ascii="Times New Roman" w:hAnsi="Times New Roman" w:cs="Times New Roman"/>
          <w:szCs w:val="21"/>
        </w:rPr>
      </w:pPr>
      <w:r>
        <w:rPr>
          <w:rFonts w:ascii="Times New Roman" w:hAnsi="Times New Roman" w:cs="Times New Roman"/>
          <w:szCs w:val="21"/>
        </w:rPr>
        <w:t>备注：对于“</w:t>
      </w:r>
      <w:r>
        <w:rPr>
          <w:rFonts w:ascii="Times New Roman" w:hAnsi="Times New Roman" w:cs="Times New Roman"/>
          <w:b/>
        </w:rPr>
        <w:t>综合评分指引”</w:t>
      </w:r>
      <w:r>
        <w:rPr>
          <w:rFonts w:ascii="Times New Roman" w:hAnsi="Times New Roman" w:cs="Times New Roman"/>
          <w:szCs w:val="21"/>
        </w:rPr>
        <w:t>请投标人按照</w:t>
      </w:r>
      <w:r>
        <w:rPr>
          <w:rFonts w:ascii="Times New Roman" w:hAnsi="Times New Roman" w:cs="Times New Roman"/>
          <w:b/>
          <w:szCs w:val="21"/>
        </w:rPr>
        <w:t>评分细则表</w:t>
      </w:r>
      <w:r>
        <w:rPr>
          <w:rFonts w:ascii="Times New Roman" w:hAnsi="Times New Roman" w:cs="Times New Roman"/>
          <w:szCs w:val="21"/>
        </w:rPr>
        <w:t>的评分要求，根据各评分项目以</w:t>
      </w:r>
      <w:r>
        <w:rPr>
          <w:rFonts w:ascii="Times New Roman" w:hAnsi="Times New Roman" w:cs="Times New Roman"/>
          <w:b/>
          <w:szCs w:val="21"/>
        </w:rPr>
        <w:t>自上而下</w:t>
      </w:r>
      <w:r>
        <w:rPr>
          <w:rFonts w:ascii="Times New Roman" w:hAnsi="Times New Roman" w:cs="Times New Roman"/>
          <w:szCs w:val="21"/>
        </w:rPr>
        <w:t>的顺序编制</w:t>
      </w:r>
      <w:r>
        <w:rPr>
          <w:rFonts w:ascii="Times New Roman" w:hAnsi="Times New Roman" w:cs="Times New Roman"/>
        </w:rPr>
        <w:t>。因项目次序混乱而影响评标效率及评标结果者，投标人自负其责。</w:t>
      </w:r>
    </w:p>
    <w:p>
      <w:pPr>
        <w:shd w:val="clear" w:color="auto" w:fill="auto"/>
        <w:tabs>
          <w:tab w:val="clear" w:pos="426"/>
        </w:tabs>
        <w:ind w:firstLine="420"/>
        <w:rPr>
          <w:rFonts w:ascii="Times New Roman" w:hAnsi="Times New Roman" w:cs="Times New Roman"/>
        </w:rPr>
      </w:pPr>
    </w:p>
    <w:p>
      <w:pPr>
        <w:shd w:val="clear" w:color="auto" w:fill="auto"/>
        <w:tabs>
          <w:tab w:val="clear" w:pos="426"/>
        </w:tabs>
        <w:ind w:firstLine="420"/>
        <w:rPr>
          <w:rFonts w:ascii="Times New Roman" w:hAnsi="Times New Roman" w:cs="Times New Roman"/>
        </w:rPr>
      </w:pPr>
    </w:p>
    <w:p>
      <w:pPr>
        <w:shd w:val="clear" w:color="auto" w:fill="auto"/>
        <w:tabs>
          <w:tab w:val="clear" w:pos="426"/>
        </w:tabs>
        <w:adjustRightInd/>
        <w:snapToGrid/>
        <w:spacing w:line="240" w:lineRule="auto"/>
        <w:ind w:firstLine="420"/>
        <w:jc w:val="left"/>
        <w:rPr>
          <w:rFonts w:ascii="Times New Roman" w:hAnsi="Times New Roman" w:cs="Times New Roman"/>
        </w:rPr>
      </w:pPr>
      <w:r>
        <w:rPr>
          <w:rFonts w:ascii="Times New Roman" w:hAnsi="Times New Roman" w:cs="Times New Roman"/>
        </w:rPr>
        <w:br w:type="page"/>
      </w:r>
    </w:p>
    <w:p>
      <w:pPr>
        <w:pStyle w:val="319"/>
        <w:numPr>
          <w:ilvl w:val="0"/>
          <w:numId w:val="32"/>
        </w:numPr>
        <w:shd w:val="clear" w:color="auto" w:fill="auto"/>
        <w:ind w:firstLine="482"/>
        <w:rPr>
          <w:rFonts w:ascii="Times New Roman" w:hAnsi="Times New Roman" w:cs="Times New Roman"/>
        </w:rPr>
      </w:pPr>
      <w:r>
        <w:rPr>
          <w:rFonts w:ascii="Times New Roman" w:hAnsi="Times New Roman" w:cs="Times New Roman"/>
        </w:rPr>
        <w:t>投标函</w:t>
      </w:r>
    </w:p>
    <w:p>
      <w:pPr>
        <w:widowControl w:val="0"/>
        <w:shd w:val="clear" w:color="auto" w:fill="auto"/>
        <w:tabs>
          <w:tab w:val="clear" w:pos="426"/>
        </w:tabs>
        <w:spacing w:line="300" w:lineRule="auto"/>
        <w:ind w:firstLine="640"/>
        <w:jc w:val="center"/>
        <w:rPr>
          <w:rFonts w:ascii="Times New Roman" w:hAnsi="Times New Roman" w:cs="Times New Roman"/>
          <w:bCs/>
          <w:kern w:val="2"/>
          <w:sz w:val="32"/>
          <w:szCs w:val="32"/>
        </w:rPr>
      </w:pPr>
      <w:r>
        <w:rPr>
          <w:rFonts w:ascii="Times New Roman" w:hAnsi="Times New Roman" w:cs="Times New Roman"/>
          <w:bCs/>
          <w:kern w:val="2"/>
          <w:sz w:val="32"/>
          <w:szCs w:val="32"/>
        </w:rPr>
        <w:t>投标函</w:t>
      </w:r>
    </w:p>
    <w:p>
      <w:pPr>
        <w:shd w:val="clear" w:color="auto" w:fill="auto"/>
        <w:tabs>
          <w:tab w:val="clear" w:pos="426"/>
        </w:tabs>
        <w:spacing w:line="300" w:lineRule="auto"/>
        <w:ind w:firstLine="420"/>
        <w:rPr>
          <w:rFonts w:ascii="Times New Roman" w:hAnsi="Times New Roman" w:cs="Times New Roman"/>
          <w:szCs w:val="21"/>
        </w:rPr>
      </w:pPr>
    </w:p>
    <w:p>
      <w:pPr>
        <w:shd w:val="clear" w:color="auto" w:fill="auto"/>
        <w:tabs>
          <w:tab w:val="clear" w:pos="426"/>
        </w:tabs>
        <w:spacing w:line="300" w:lineRule="auto"/>
        <w:ind w:firstLine="420"/>
        <w:rPr>
          <w:rFonts w:ascii="Times New Roman" w:hAnsi="Times New Roman" w:cs="Times New Roman"/>
          <w:szCs w:val="21"/>
        </w:rPr>
      </w:pPr>
      <w:r>
        <w:rPr>
          <w:rFonts w:ascii="Times New Roman" w:hAnsi="Times New Roman" w:cs="Times New Roman"/>
          <w:szCs w:val="21"/>
        </w:rPr>
        <w:t>致：深圳市深水水务咨询有限公司</w:t>
      </w:r>
    </w:p>
    <w:p>
      <w:pPr>
        <w:widowControl w:val="0"/>
        <w:shd w:val="clear" w:color="auto" w:fill="auto"/>
        <w:tabs>
          <w:tab w:val="clear" w:pos="426"/>
        </w:tabs>
        <w:spacing w:line="300" w:lineRule="auto"/>
        <w:ind w:firstLine="420" w:firstLineChars="200"/>
        <w:rPr>
          <w:rFonts w:ascii="Times New Roman" w:hAnsi="Times New Roman" w:cs="Times New Roman"/>
          <w:kern w:val="2"/>
          <w:szCs w:val="21"/>
        </w:rPr>
      </w:pPr>
      <w:r>
        <w:rPr>
          <w:rFonts w:ascii="Times New Roman" w:hAnsi="Times New Roman" w:cs="Times New Roman"/>
          <w:kern w:val="2"/>
          <w:szCs w:val="21"/>
        </w:rPr>
        <w:t>1.根据已收到贵方的招标项目编号为</w:t>
      </w:r>
      <w:r>
        <w:rPr>
          <w:rFonts w:ascii="Times New Roman" w:hAnsi="Times New Roman" w:cs="Times New Roman"/>
          <w:kern w:val="2"/>
          <w:szCs w:val="21"/>
          <w:u w:val="single"/>
        </w:rPr>
        <w:t>________</w:t>
      </w:r>
      <w:r>
        <w:rPr>
          <w:rFonts w:ascii="Times New Roman" w:hAnsi="Times New Roman" w:cs="Times New Roman"/>
          <w:kern w:val="2"/>
          <w:szCs w:val="21"/>
        </w:rPr>
        <w:t>的</w:t>
      </w:r>
      <w:r>
        <w:rPr>
          <w:rFonts w:ascii="Times New Roman" w:hAnsi="Times New Roman" w:cs="Times New Roman"/>
          <w:kern w:val="2"/>
          <w:szCs w:val="21"/>
          <w:u w:val="single"/>
        </w:rPr>
        <w:t>_______________</w:t>
      </w:r>
      <w:r>
        <w:rPr>
          <w:rFonts w:ascii="Times New Roman" w:hAnsi="Times New Roman" w:cs="Times New Roman"/>
          <w:kern w:val="2"/>
          <w:szCs w:val="21"/>
        </w:rPr>
        <w:t>项目的招标文件，遵照《深圳经济特区政府采购条例》等有关规定，我单位经研究上述招标文件的专用条款及通用条款后，我方愿以投标书中《开标一览表》中填写的投标报价并按招标文件要求承包上述项目并修补其任何缺陷。</w:t>
      </w:r>
    </w:p>
    <w:p>
      <w:pPr>
        <w:widowControl w:val="0"/>
        <w:shd w:val="clear" w:color="auto" w:fill="auto"/>
        <w:tabs>
          <w:tab w:val="clear" w:pos="426"/>
        </w:tabs>
        <w:spacing w:line="300" w:lineRule="auto"/>
        <w:ind w:firstLine="420" w:firstLineChars="200"/>
        <w:rPr>
          <w:rFonts w:ascii="Times New Roman" w:hAnsi="Times New Roman" w:cs="Times New Roman"/>
          <w:kern w:val="2"/>
          <w:szCs w:val="21"/>
        </w:rPr>
      </w:pPr>
      <w:r>
        <w:rPr>
          <w:rFonts w:ascii="Times New Roman" w:hAnsi="Times New Roman" w:cs="Times New Roman"/>
          <w:kern w:val="2"/>
          <w:szCs w:val="21"/>
        </w:rPr>
        <w:t>2.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pPr>
        <w:widowControl w:val="0"/>
        <w:shd w:val="clear" w:color="auto" w:fill="auto"/>
        <w:tabs>
          <w:tab w:val="clear" w:pos="426"/>
        </w:tabs>
        <w:spacing w:line="300" w:lineRule="auto"/>
        <w:ind w:firstLine="420" w:firstLineChars="200"/>
        <w:rPr>
          <w:rFonts w:ascii="Times New Roman" w:hAnsi="Times New Roman" w:cs="Times New Roman"/>
          <w:kern w:val="2"/>
          <w:szCs w:val="21"/>
        </w:rPr>
      </w:pPr>
      <w:r>
        <w:rPr>
          <w:rFonts w:ascii="Times New Roman" w:hAnsi="Times New Roman" w:cs="Times New Roman"/>
          <w:kern w:val="2"/>
          <w:szCs w:val="21"/>
        </w:rPr>
        <w:t>3.如果我方中标，我方将按照规定提交上述总价</w:t>
      </w:r>
      <w:r>
        <w:rPr>
          <w:rFonts w:ascii="Times New Roman" w:hAnsi="Times New Roman" w:cs="Times New Roman"/>
          <w:kern w:val="2"/>
          <w:szCs w:val="21"/>
          <w:u w:val="single"/>
        </w:rPr>
        <w:t>/</w:t>
      </w:r>
      <w:r>
        <w:rPr>
          <w:rFonts w:ascii="Times New Roman" w:hAnsi="Times New Roman" w:cs="Times New Roman"/>
          <w:kern w:val="2"/>
          <w:szCs w:val="21"/>
        </w:rPr>
        <w:t>％（或</w:t>
      </w:r>
      <w:r>
        <w:rPr>
          <w:rFonts w:ascii="Times New Roman" w:hAnsi="Times New Roman" w:cs="Times New Roman"/>
          <w:kern w:val="2"/>
          <w:szCs w:val="21"/>
          <w:u w:val="single"/>
        </w:rPr>
        <w:t>/</w:t>
      </w:r>
      <w:r>
        <w:rPr>
          <w:rFonts w:ascii="Times New Roman" w:hAnsi="Times New Roman" w:cs="Times New Roman"/>
          <w:kern w:val="2"/>
          <w:szCs w:val="21"/>
        </w:rPr>
        <w:t>万元）作为履约担保（提供保函）。</w:t>
      </w:r>
    </w:p>
    <w:p>
      <w:pPr>
        <w:widowControl w:val="0"/>
        <w:shd w:val="clear" w:color="auto" w:fill="auto"/>
        <w:tabs>
          <w:tab w:val="clear" w:pos="426"/>
        </w:tabs>
        <w:spacing w:line="300" w:lineRule="auto"/>
        <w:ind w:firstLine="420" w:firstLineChars="200"/>
        <w:rPr>
          <w:rFonts w:ascii="Times New Roman" w:hAnsi="Times New Roman" w:cs="Times New Roman"/>
          <w:kern w:val="2"/>
          <w:szCs w:val="21"/>
        </w:rPr>
      </w:pPr>
      <w:r>
        <w:rPr>
          <w:rFonts w:ascii="Times New Roman" w:hAnsi="Times New Roman" w:cs="Times New Roman"/>
          <w:kern w:val="2"/>
          <w:szCs w:val="21"/>
        </w:rPr>
        <w:t>编制指引：需要提交履约保函的项目需要进行修改。</w:t>
      </w:r>
    </w:p>
    <w:p>
      <w:pPr>
        <w:widowControl w:val="0"/>
        <w:shd w:val="clear" w:color="auto" w:fill="auto"/>
        <w:tabs>
          <w:tab w:val="clear" w:pos="426"/>
        </w:tabs>
        <w:spacing w:line="300" w:lineRule="auto"/>
        <w:ind w:firstLine="420" w:firstLineChars="200"/>
        <w:rPr>
          <w:rFonts w:ascii="Times New Roman" w:hAnsi="Times New Roman" w:cs="Times New Roman"/>
          <w:kern w:val="2"/>
          <w:szCs w:val="21"/>
        </w:rPr>
      </w:pPr>
      <w:r>
        <w:rPr>
          <w:rFonts w:ascii="Times New Roman" w:hAnsi="Times New Roman" w:cs="Times New Roman"/>
          <w:kern w:val="2"/>
          <w:szCs w:val="21"/>
        </w:rPr>
        <w:t>4.我方同意所递交的投标文件在“对通用条款的补充内容”中的投标有效期内有效，在此期间内我方的投标有可能中标，我方将受此约束。如果在投标有效期内撤回其投标，其投标保证金将全部被没收。</w:t>
      </w:r>
    </w:p>
    <w:p>
      <w:pPr>
        <w:widowControl w:val="0"/>
        <w:shd w:val="clear" w:color="auto" w:fill="auto"/>
        <w:tabs>
          <w:tab w:val="clear" w:pos="426"/>
        </w:tabs>
        <w:spacing w:line="300" w:lineRule="auto"/>
        <w:ind w:firstLine="420" w:firstLineChars="200"/>
        <w:rPr>
          <w:rFonts w:ascii="Times New Roman" w:hAnsi="Times New Roman" w:cs="Times New Roman"/>
          <w:kern w:val="2"/>
          <w:szCs w:val="21"/>
        </w:rPr>
      </w:pPr>
      <w:r>
        <w:rPr>
          <w:rFonts w:ascii="Times New Roman" w:hAnsi="Times New Roman" w:cs="Times New Roman"/>
          <w:kern w:val="2"/>
          <w:szCs w:val="21"/>
        </w:rPr>
        <w:t>5.除非另外达成协议并生效，贵方的中标通知书和本投标文件将构成约束我们双方的合同。</w:t>
      </w:r>
    </w:p>
    <w:p>
      <w:pPr>
        <w:widowControl w:val="0"/>
        <w:shd w:val="clear" w:color="auto" w:fill="auto"/>
        <w:tabs>
          <w:tab w:val="clear" w:pos="426"/>
        </w:tabs>
        <w:spacing w:line="300" w:lineRule="auto"/>
        <w:ind w:firstLine="420" w:firstLineChars="200"/>
        <w:rPr>
          <w:rFonts w:ascii="Times New Roman" w:hAnsi="Times New Roman" w:cs="Times New Roman"/>
          <w:kern w:val="2"/>
          <w:szCs w:val="21"/>
        </w:rPr>
      </w:pPr>
      <w:r>
        <w:rPr>
          <w:rFonts w:ascii="Times New Roman" w:hAnsi="Times New Roman" w:cs="Times New Roman"/>
          <w:kern w:val="2"/>
          <w:szCs w:val="21"/>
        </w:rPr>
        <w:t>6.我方理解贵方将不受必须接受你们所收到的最低标价或其它任何投标文件的约束。</w:t>
      </w:r>
    </w:p>
    <w:p>
      <w:pPr>
        <w:widowControl w:val="0"/>
        <w:shd w:val="clear" w:color="auto" w:fill="auto"/>
        <w:tabs>
          <w:tab w:val="clear" w:pos="426"/>
        </w:tabs>
        <w:spacing w:line="300" w:lineRule="auto"/>
        <w:ind w:firstLine="420" w:firstLineChars="200"/>
        <w:rPr>
          <w:rFonts w:ascii="Times New Roman" w:hAnsi="Times New Roman" w:cs="Times New Roman"/>
          <w:kern w:val="2"/>
          <w:szCs w:val="21"/>
        </w:rPr>
      </w:pPr>
    </w:p>
    <w:p>
      <w:pPr>
        <w:widowControl w:val="0"/>
        <w:shd w:val="clear" w:color="auto" w:fill="auto"/>
        <w:tabs>
          <w:tab w:val="clear" w:pos="426"/>
        </w:tabs>
        <w:spacing w:line="300" w:lineRule="auto"/>
        <w:ind w:firstLine="420" w:firstLineChars="200"/>
        <w:rPr>
          <w:rFonts w:ascii="Times New Roman" w:hAnsi="Times New Roman" w:cs="Times New Roman"/>
          <w:kern w:val="2"/>
          <w:szCs w:val="21"/>
        </w:rPr>
      </w:pPr>
    </w:p>
    <w:p>
      <w:pPr>
        <w:widowControl w:val="0"/>
        <w:shd w:val="clear" w:color="auto" w:fill="auto"/>
        <w:tabs>
          <w:tab w:val="clear" w:pos="426"/>
        </w:tabs>
        <w:spacing w:line="300" w:lineRule="auto"/>
        <w:ind w:firstLine="420" w:firstLineChars="200"/>
        <w:rPr>
          <w:rFonts w:ascii="Times New Roman" w:hAnsi="Times New Roman" w:cs="Times New Roman"/>
          <w:kern w:val="2"/>
          <w:szCs w:val="21"/>
          <w:u w:val="single"/>
        </w:rPr>
      </w:pPr>
      <w:r>
        <w:rPr>
          <w:rFonts w:ascii="Times New Roman" w:hAnsi="Times New Roman" w:cs="Times New Roman"/>
          <w:kern w:val="2"/>
          <w:szCs w:val="21"/>
        </w:rPr>
        <w:t>单位名称：</w:t>
      </w:r>
      <w:r>
        <w:rPr>
          <w:rFonts w:ascii="Times New Roman" w:hAnsi="Times New Roman" w:cs="Times New Roman"/>
          <w:kern w:val="2"/>
          <w:szCs w:val="21"/>
          <w:u w:val="single"/>
        </w:rPr>
        <w:t>_____________________________________________________________</w:t>
      </w:r>
    </w:p>
    <w:p>
      <w:pPr>
        <w:widowControl w:val="0"/>
        <w:shd w:val="clear" w:color="auto" w:fill="auto"/>
        <w:tabs>
          <w:tab w:val="clear" w:pos="426"/>
        </w:tabs>
        <w:spacing w:line="300" w:lineRule="auto"/>
        <w:ind w:firstLine="420" w:firstLineChars="200"/>
        <w:rPr>
          <w:rFonts w:ascii="Times New Roman" w:hAnsi="Times New Roman" w:cs="Times New Roman"/>
          <w:kern w:val="2"/>
          <w:szCs w:val="21"/>
          <w:u w:val="single"/>
        </w:rPr>
      </w:pPr>
      <w:r>
        <w:rPr>
          <w:rFonts w:ascii="Times New Roman" w:hAnsi="Times New Roman" w:cs="Times New Roman"/>
          <w:kern w:val="2"/>
          <w:szCs w:val="21"/>
        </w:rPr>
        <w:t>法定代表人或投标人授权代表（签名或盖章）：</w:t>
      </w:r>
      <w:r>
        <w:rPr>
          <w:rFonts w:ascii="Times New Roman" w:hAnsi="Times New Roman" w:cs="Times New Roman"/>
          <w:kern w:val="2"/>
          <w:szCs w:val="21"/>
          <w:u w:val="single"/>
        </w:rPr>
        <w:t>_____________________________</w:t>
      </w:r>
    </w:p>
    <w:p>
      <w:pPr>
        <w:widowControl w:val="0"/>
        <w:shd w:val="clear" w:color="auto" w:fill="auto"/>
        <w:tabs>
          <w:tab w:val="clear" w:pos="426"/>
        </w:tabs>
        <w:spacing w:line="300" w:lineRule="auto"/>
        <w:ind w:firstLine="420" w:firstLineChars="200"/>
        <w:rPr>
          <w:rFonts w:ascii="Times New Roman" w:hAnsi="Times New Roman" w:cs="Times New Roman"/>
          <w:kern w:val="2"/>
          <w:szCs w:val="21"/>
          <w:u w:val="single"/>
        </w:rPr>
      </w:pPr>
      <w:r>
        <w:rPr>
          <w:rFonts w:ascii="Times New Roman" w:hAnsi="Times New Roman" w:cs="Times New Roman"/>
          <w:kern w:val="2"/>
          <w:szCs w:val="21"/>
        </w:rPr>
        <w:t>单位地址：</w:t>
      </w:r>
      <w:r>
        <w:rPr>
          <w:rFonts w:ascii="Times New Roman" w:hAnsi="Times New Roman" w:cs="Times New Roman"/>
          <w:kern w:val="2"/>
          <w:szCs w:val="21"/>
          <w:u w:val="single"/>
        </w:rPr>
        <w:t>_____________________________________________________________</w:t>
      </w:r>
    </w:p>
    <w:p>
      <w:pPr>
        <w:widowControl w:val="0"/>
        <w:shd w:val="clear" w:color="auto" w:fill="auto"/>
        <w:tabs>
          <w:tab w:val="clear" w:pos="426"/>
        </w:tabs>
        <w:spacing w:line="300" w:lineRule="auto"/>
        <w:ind w:firstLine="420" w:firstLineChars="200"/>
        <w:rPr>
          <w:rFonts w:ascii="Times New Roman" w:hAnsi="Times New Roman" w:cs="Times New Roman"/>
          <w:kern w:val="2"/>
          <w:szCs w:val="21"/>
          <w:u w:val="single"/>
        </w:rPr>
      </w:pPr>
      <w:r>
        <w:rPr>
          <w:rFonts w:ascii="Times New Roman" w:hAnsi="Times New Roman" w:cs="Times New Roman"/>
          <w:kern w:val="2"/>
          <w:szCs w:val="21"/>
        </w:rPr>
        <w:t>单位公章：</w:t>
      </w:r>
      <w:r>
        <w:rPr>
          <w:rFonts w:ascii="Times New Roman" w:hAnsi="Times New Roman" w:cs="Times New Roman"/>
          <w:kern w:val="2"/>
          <w:szCs w:val="21"/>
          <w:u w:val="single"/>
        </w:rPr>
        <w:t>_____________________________________________________________</w:t>
      </w:r>
    </w:p>
    <w:p>
      <w:pPr>
        <w:widowControl w:val="0"/>
        <w:shd w:val="clear" w:color="auto" w:fill="auto"/>
        <w:tabs>
          <w:tab w:val="clear" w:pos="426"/>
        </w:tabs>
        <w:spacing w:line="300" w:lineRule="auto"/>
        <w:ind w:firstLine="420" w:firstLineChars="200"/>
        <w:rPr>
          <w:rFonts w:ascii="Times New Roman" w:hAnsi="Times New Roman" w:cs="Times New Roman"/>
          <w:kern w:val="2"/>
          <w:szCs w:val="21"/>
          <w:u w:val="single"/>
        </w:rPr>
      </w:pPr>
      <w:r>
        <w:rPr>
          <w:rFonts w:ascii="Times New Roman" w:hAnsi="Times New Roman" w:cs="Times New Roman"/>
          <w:kern w:val="2"/>
          <w:szCs w:val="21"/>
        </w:rPr>
        <w:t>邮政编码：</w:t>
      </w:r>
      <w:r>
        <w:rPr>
          <w:rFonts w:ascii="Times New Roman" w:hAnsi="Times New Roman" w:cs="Times New Roman"/>
          <w:kern w:val="2"/>
          <w:szCs w:val="21"/>
          <w:u w:val="single"/>
        </w:rPr>
        <w:t>_____________________________</w:t>
      </w:r>
      <w:r>
        <w:rPr>
          <w:rFonts w:ascii="Times New Roman" w:hAnsi="Times New Roman" w:cs="Times New Roman"/>
          <w:kern w:val="2"/>
          <w:szCs w:val="21"/>
        </w:rPr>
        <w:t>日期：</w:t>
      </w:r>
      <w:r>
        <w:rPr>
          <w:rFonts w:ascii="Times New Roman" w:hAnsi="Times New Roman" w:cs="Times New Roman"/>
          <w:kern w:val="2"/>
          <w:szCs w:val="21"/>
          <w:u w:val="single"/>
        </w:rPr>
        <w:t>__________________________</w:t>
      </w:r>
    </w:p>
    <w:p>
      <w:pPr>
        <w:widowControl w:val="0"/>
        <w:shd w:val="clear" w:color="auto" w:fill="auto"/>
        <w:tabs>
          <w:tab w:val="clear" w:pos="426"/>
        </w:tabs>
        <w:spacing w:line="300" w:lineRule="auto"/>
        <w:ind w:firstLine="420" w:firstLineChars="200"/>
        <w:rPr>
          <w:rFonts w:ascii="Times New Roman" w:hAnsi="Times New Roman" w:cs="Times New Roman"/>
          <w:kern w:val="2"/>
          <w:szCs w:val="21"/>
          <w:u w:val="single"/>
        </w:rPr>
      </w:pPr>
      <w:r>
        <w:rPr>
          <w:rFonts w:ascii="Times New Roman" w:hAnsi="Times New Roman" w:cs="Times New Roman"/>
          <w:kern w:val="2"/>
          <w:szCs w:val="21"/>
        </w:rPr>
        <w:t>联系电话：</w:t>
      </w:r>
      <w:r>
        <w:rPr>
          <w:rFonts w:ascii="Times New Roman" w:hAnsi="Times New Roman" w:cs="Times New Roman"/>
          <w:kern w:val="2"/>
          <w:szCs w:val="21"/>
          <w:u w:val="single"/>
        </w:rPr>
        <w:t>_____________________________________________________________</w:t>
      </w:r>
    </w:p>
    <w:p>
      <w:pPr>
        <w:widowControl w:val="0"/>
        <w:shd w:val="clear" w:color="auto" w:fill="auto"/>
        <w:tabs>
          <w:tab w:val="clear" w:pos="426"/>
        </w:tabs>
        <w:spacing w:line="300" w:lineRule="auto"/>
        <w:ind w:firstLine="420" w:firstLineChars="200"/>
        <w:rPr>
          <w:rFonts w:ascii="Times New Roman" w:hAnsi="Times New Roman" w:cs="Times New Roman"/>
          <w:kern w:val="2"/>
          <w:szCs w:val="21"/>
          <w:u w:val="single"/>
        </w:rPr>
      </w:pPr>
    </w:p>
    <w:p>
      <w:pPr>
        <w:widowControl w:val="0"/>
        <w:shd w:val="clear" w:color="auto" w:fill="auto"/>
        <w:tabs>
          <w:tab w:val="clear" w:pos="426"/>
        </w:tabs>
        <w:spacing w:line="300" w:lineRule="auto"/>
        <w:ind w:firstLine="420" w:firstLineChars="200"/>
        <w:rPr>
          <w:rFonts w:ascii="Times New Roman" w:hAnsi="Times New Roman" w:cs="Times New Roman"/>
          <w:kern w:val="2"/>
          <w:szCs w:val="21"/>
        </w:rPr>
      </w:pPr>
    </w:p>
    <w:p>
      <w:pPr>
        <w:shd w:val="clear" w:color="auto" w:fill="auto"/>
        <w:tabs>
          <w:tab w:val="clear" w:pos="426"/>
        </w:tabs>
        <w:adjustRightInd/>
        <w:snapToGrid/>
        <w:spacing w:line="240" w:lineRule="auto"/>
        <w:ind w:firstLine="420"/>
        <w:jc w:val="left"/>
        <w:rPr>
          <w:rFonts w:ascii="Times New Roman" w:hAnsi="Times New Roman" w:cs="Times New Roman"/>
          <w:kern w:val="2"/>
          <w:szCs w:val="21"/>
        </w:rPr>
      </w:pPr>
      <w:r>
        <w:rPr>
          <w:rFonts w:ascii="Times New Roman" w:hAnsi="Times New Roman" w:cs="Times New Roman"/>
          <w:kern w:val="2"/>
          <w:szCs w:val="21"/>
        </w:rPr>
        <w:br w:type="page"/>
      </w:r>
    </w:p>
    <w:p>
      <w:pPr>
        <w:numPr>
          <w:ilvl w:val="0"/>
          <w:numId w:val="22"/>
        </w:numPr>
        <w:shd w:val="clear" w:color="auto" w:fill="auto"/>
        <w:spacing w:before="280" w:after="290" w:line="377" w:lineRule="auto"/>
        <w:ind w:firstLine="482"/>
        <w:outlineLvl w:val="2"/>
        <w:rPr>
          <w:rFonts w:ascii="Times New Roman" w:hAnsi="Times New Roman" w:cs="Times New Roman"/>
          <w:b/>
          <w:sz w:val="24"/>
        </w:rPr>
      </w:pPr>
      <w:r>
        <w:rPr>
          <w:rFonts w:ascii="Times New Roman" w:hAnsi="Times New Roman" w:cs="Times New Roman"/>
          <w:b/>
          <w:sz w:val="24"/>
        </w:rPr>
        <w:t>政府采购投标及履约承诺函</w:t>
      </w:r>
    </w:p>
    <w:p>
      <w:pPr>
        <w:widowControl w:val="0"/>
        <w:shd w:val="clear" w:color="auto" w:fill="auto"/>
        <w:tabs>
          <w:tab w:val="clear" w:pos="426"/>
        </w:tabs>
        <w:spacing w:line="300" w:lineRule="auto"/>
        <w:ind w:firstLine="640"/>
        <w:jc w:val="center"/>
        <w:rPr>
          <w:rFonts w:ascii="Times New Roman" w:hAnsi="Times New Roman" w:cs="Times New Roman"/>
          <w:bCs/>
          <w:kern w:val="2"/>
          <w:sz w:val="32"/>
          <w:szCs w:val="32"/>
        </w:rPr>
      </w:pPr>
      <w:r>
        <w:rPr>
          <w:rFonts w:ascii="Times New Roman" w:hAnsi="Times New Roman" w:cs="Times New Roman"/>
          <w:bCs/>
          <w:kern w:val="2"/>
          <w:sz w:val="32"/>
          <w:szCs w:val="32"/>
        </w:rPr>
        <w:t>政府采购投标及履约承诺函</w:t>
      </w:r>
    </w:p>
    <w:p>
      <w:pPr>
        <w:shd w:val="clear" w:color="auto" w:fill="auto"/>
        <w:tabs>
          <w:tab w:val="clear" w:pos="426"/>
        </w:tabs>
        <w:ind w:firstLine="420"/>
        <w:rPr>
          <w:rFonts w:ascii="Times New Roman" w:hAnsi="Times New Roman" w:cs="Times New Roman"/>
        </w:rPr>
      </w:pPr>
    </w:p>
    <w:p>
      <w:pPr>
        <w:shd w:val="clear" w:color="auto" w:fill="auto"/>
        <w:tabs>
          <w:tab w:val="clear" w:pos="426"/>
        </w:tabs>
        <w:ind w:firstLine="420"/>
        <w:rPr>
          <w:rFonts w:ascii="Times New Roman" w:hAnsi="Times New Roman" w:cs="Times New Roman"/>
        </w:rPr>
      </w:pPr>
      <w:r>
        <w:rPr>
          <w:rFonts w:ascii="Times New Roman" w:hAnsi="Times New Roman" w:cs="Times New Roman"/>
        </w:rPr>
        <w:t>致：</w:t>
      </w:r>
      <w:r>
        <w:rPr>
          <w:rFonts w:hint="eastAsia" w:ascii="Times New Roman" w:hAnsi="Times New Roman" w:cs="Times New Roman"/>
        </w:rPr>
        <w:t>深圳少年儿童图书馆</w:t>
      </w:r>
    </w:p>
    <w:p>
      <w:pPr>
        <w:shd w:val="clear" w:color="auto" w:fill="auto"/>
        <w:tabs>
          <w:tab w:val="clear" w:pos="426"/>
        </w:tabs>
        <w:ind w:firstLine="424" w:firstLineChars="202"/>
        <w:rPr>
          <w:rFonts w:ascii="Times New Roman" w:hAnsi="Times New Roman" w:cs="Times New Roman"/>
        </w:rPr>
      </w:pPr>
      <w:r>
        <w:rPr>
          <w:rFonts w:ascii="Times New Roman" w:hAnsi="Times New Roman" w:cs="Times New Roman"/>
        </w:rPr>
        <w:t>关于贵公司发布</w:t>
      </w:r>
      <w:r>
        <w:rPr>
          <w:rFonts w:ascii="Times New Roman" w:hAnsi="Times New Roman" w:cs="Times New Roman"/>
          <w:u w:val="single"/>
        </w:rPr>
        <w:t>__</w:t>
      </w:r>
      <w:r>
        <w:rPr>
          <w:rFonts w:ascii="Times New Roman" w:hAnsi="Times New Roman" w:cs="Times New Roman"/>
          <w:szCs w:val="21"/>
          <w:u w:val="single"/>
        </w:rPr>
        <w:t>（项目名称)_</w:t>
      </w:r>
      <w:r>
        <w:rPr>
          <w:rFonts w:ascii="Times New Roman" w:hAnsi="Times New Roman" w:cs="Times New Roman"/>
          <w:u w:val="single"/>
        </w:rPr>
        <w:t>_</w:t>
      </w:r>
      <w:r>
        <w:rPr>
          <w:rFonts w:ascii="Times New Roman" w:hAnsi="Times New Roman" w:cs="Times New Roman"/>
        </w:rPr>
        <w:t>项目（招标项目编号：</w:t>
      </w:r>
      <w:r>
        <w:rPr>
          <w:rFonts w:ascii="Times New Roman" w:hAnsi="Times New Roman" w:cs="Times New Roman"/>
          <w:u w:val="single"/>
        </w:rPr>
        <w:t>__（招标项目编号）__</w:t>
      </w:r>
      <w:r>
        <w:rPr>
          <w:rFonts w:ascii="Times New Roman" w:hAnsi="Times New Roman" w:cs="Times New Roman"/>
        </w:rPr>
        <w:t>）的采购公告，本公司（企业）愿意参加投标，并声明：</w:t>
      </w:r>
    </w:p>
    <w:p>
      <w:pPr>
        <w:shd w:val="clear" w:color="auto" w:fill="auto"/>
        <w:ind w:firstLine="420" w:firstLineChars="200"/>
        <w:rPr>
          <w:rFonts w:ascii="Times New Roman" w:hAnsi="Times New Roman" w:cs="Times New Roman"/>
          <w:szCs w:val="21"/>
        </w:rPr>
      </w:pPr>
      <w:r>
        <w:rPr>
          <w:rFonts w:ascii="Times New Roman" w:hAnsi="Times New Roman" w:cs="Times New Roman"/>
          <w:szCs w:val="21"/>
        </w:rPr>
        <w:t>我单位承诺：</w:t>
      </w:r>
    </w:p>
    <w:p>
      <w:pPr>
        <w:shd w:val="clear" w:color="auto" w:fill="auto"/>
        <w:ind w:firstLine="420" w:firstLineChars="200"/>
        <w:rPr>
          <w:rFonts w:ascii="Times New Roman" w:hAnsi="Times New Roman" w:cs="Times New Roman"/>
          <w:szCs w:val="21"/>
        </w:rPr>
      </w:pPr>
      <w:r>
        <w:rPr>
          <w:rFonts w:ascii="Times New Roman" w:hAnsi="Times New Roman" w:cs="Times New Roman"/>
          <w:szCs w:val="21"/>
        </w:rPr>
        <w:t>1.我单位参与本项目所投标（响应）的货物、工程或服务，不存在侵犯知识产权的情况；已知悉并同意中标（成交）结果信息公示（公开）的内容。</w:t>
      </w:r>
    </w:p>
    <w:p>
      <w:pPr>
        <w:shd w:val="clear" w:color="auto" w:fill="auto"/>
        <w:ind w:firstLine="420" w:firstLineChars="200"/>
        <w:rPr>
          <w:rFonts w:ascii="Times New Roman" w:hAnsi="Times New Roman" w:cs="Times New Roman"/>
          <w:szCs w:val="21"/>
        </w:rPr>
      </w:pPr>
      <w:r>
        <w:rPr>
          <w:rFonts w:ascii="Times New Roman" w:hAnsi="Times New Roman" w:cs="Times New Roman"/>
          <w:szCs w:val="21"/>
        </w:rPr>
        <w:t>2.我单位参与该项目投标，符合招标文件关于联合体及进口产品的相关资格要求。</w:t>
      </w:r>
    </w:p>
    <w:p>
      <w:pPr>
        <w:shd w:val="clear" w:color="auto" w:fill="auto"/>
        <w:ind w:firstLine="420" w:firstLineChars="200"/>
        <w:rPr>
          <w:rFonts w:ascii="Times New Roman" w:hAnsi="Times New Roman" w:cs="Times New Roman"/>
        </w:rPr>
      </w:pPr>
      <w:r>
        <w:rPr>
          <w:rFonts w:ascii="Times New Roman" w:hAnsi="Times New Roman" w:cs="Times New Roman"/>
          <w:szCs w:val="21"/>
        </w:rPr>
        <w:t>3.我单位</w:t>
      </w:r>
      <w:r>
        <w:rPr>
          <w:rFonts w:ascii="Times New Roman" w:hAnsi="Times New Roman" w:cs="Times New Roman"/>
        </w:rPr>
        <w:t>参与本项目投标前三年内，在经营活动中没有重大违法记录</w:t>
      </w:r>
      <w:r>
        <w:rPr>
          <w:rFonts w:hint="eastAsia" w:ascii="Times New Roman" w:hAnsi="Times New Roman" w:cs="Times New Roman"/>
        </w:rPr>
        <w:t>。</w:t>
      </w:r>
    </w:p>
    <w:p>
      <w:pPr>
        <w:shd w:val="clear" w:color="auto" w:fill="auto"/>
        <w:ind w:firstLine="420" w:firstLineChars="200"/>
        <w:rPr>
          <w:rFonts w:ascii="Times New Roman" w:hAnsi="Times New Roman" w:cs="Times New Roman"/>
          <w:szCs w:val="21"/>
        </w:rPr>
      </w:pPr>
      <w:r>
        <w:rPr>
          <w:rFonts w:hint="eastAsia" w:ascii="Times New Roman" w:hAnsi="Times New Roman" w:cs="Times New Roman"/>
        </w:rPr>
        <w:t>4.</w:t>
      </w:r>
      <w:r>
        <w:rPr>
          <w:rFonts w:ascii="Times New Roman" w:hAnsi="Times New Roman" w:cs="Times New Roman"/>
          <w:szCs w:val="21"/>
        </w:rPr>
        <w:t>我单位参与本项目</w:t>
      </w:r>
      <w:r>
        <w:rPr>
          <w:rFonts w:ascii="Times New Roman" w:hAnsi="Times New Roman" w:cs="Times New Roman"/>
        </w:rPr>
        <w:t>政府采购活动时不存在被有关部门禁止参与政府采购活动且在有效期内的情况。</w:t>
      </w:r>
    </w:p>
    <w:p>
      <w:pPr>
        <w:shd w:val="clear" w:color="auto" w:fill="auto"/>
        <w:ind w:firstLine="420" w:firstLineChars="200"/>
        <w:rPr>
          <w:rFonts w:ascii="Times New Roman" w:hAnsi="Times New Roman" w:cs="Times New Roman"/>
          <w:szCs w:val="21"/>
        </w:rPr>
      </w:pPr>
      <w:r>
        <w:rPr>
          <w:rFonts w:hint="eastAsia" w:ascii="Times New Roman" w:hAnsi="Times New Roman" w:cs="Times New Roman"/>
          <w:szCs w:val="21"/>
        </w:rPr>
        <w:t>5</w:t>
      </w:r>
      <w:r>
        <w:rPr>
          <w:rFonts w:ascii="Times New Roman" w:hAnsi="Times New Roman" w:cs="Times New Roman"/>
          <w:szCs w:val="21"/>
        </w:rPr>
        <w:t>.我单位具备《中华人民共和国政府采购法》</w:t>
      </w:r>
      <w:r>
        <w:rPr>
          <w:rFonts w:hint="eastAsia" w:ascii="Times New Roman" w:hAnsi="Times New Roman" w:cs="Times New Roman"/>
          <w:szCs w:val="21"/>
        </w:rPr>
        <w:t>第二十二条的条件</w:t>
      </w:r>
      <w:r>
        <w:rPr>
          <w:rFonts w:ascii="Times New Roman" w:hAnsi="Times New Roman" w:cs="Times New Roman"/>
          <w:szCs w:val="21"/>
        </w:rPr>
        <w:t>。</w:t>
      </w:r>
    </w:p>
    <w:p>
      <w:pPr>
        <w:shd w:val="clear" w:color="auto" w:fill="auto"/>
        <w:ind w:firstLine="420" w:firstLineChars="200"/>
        <w:rPr>
          <w:rFonts w:ascii="Times New Roman" w:hAnsi="Times New Roman" w:cs="Times New Roman"/>
        </w:rPr>
      </w:pPr>
      <w:r>
        <w:rPr>
          <w:rFonts w:hint="eastAsia" w:ascii="Times New Roman" w:hAnsi="Times New Roman" w:cs="Times New Roman"/>
          <w:szCs w:val="21"/>
        </w:rPr>
        <w:t>6</w:t>
      </w:r>
      <w:r>
        <w:rPr>
          <w:rFonts w:ascii="Times New Roman" w:hAnsi="Times New Roman" w:cs="Times New Roman"/>
          <w:szCs w:val="21"/>
        </w:rPr>
        <w:t>.我单位</w:t>
      </w:r>
      <w:r>
        <w:rPr>
          <w:rFonts w:ascii="Times New Roman" w:hAnsi="Times New Roman" w:cs="Times New Roman"/>
        </w:rPr>
        <w:t>未被列入失信被执行人、重大税收违法案件当事人名单、政府采购严重违法失信行为记录名单</w:t>
      </w:r>
      <w:r>
        <w:rPr>
          <w:rFonts w:hint="eastAsia" w:ascii="Times New Roman" w:hAnsi="Times New Roman" w:cs="Times New Roman"/>
        </w:rPr>
        <w:t>。</w:t>
      </w:r>
    </w:p>
    <w:p>
      <w:pPr>
        <w:shd w:val="clear" w:color="auto" w:fill="auto"/>
        <w:ind w:firstLine="420" w:firstLineChars="200"/>
        <w:rPr>
          <w:rFonts w:ascii="Times New Roman" w:hAnsi="Times New Roman" w:cs="Times New Roman"/>
          <w:szCs w:val="21"/>
        </w:rPr>
      </w:pPr>
      <w:r>
        <w:rPr>
          <w:rFonts w:hint="eastAsia" w:ascii="Times New Roman" w:hAnsi="Times New Roman" w:cs="Times New Roman"/>
          <w:szCs w:val="21"/>
        </w:rPr>
        <w:t>7</w:t>
      </w:r>
      <w:r>
        <w:rPr>
          <w:rFonts w:ascii="Times New Roman" w:hAnsi="Times New Roman" w:cs="Times New Roman"/>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pPr>
        <w:shd w:val="clear" w:color="auto" w:fill="auto"/>
        <w:ind w:firstLine="420" w:firstLineChars="200"/>
        <w:rPr>
          <w:rFonts w:ascii="Times New Roman" w:hAnsi="Times New Roman" w:cs="Times New Roman"/>
          <w:szCs w:val="21"/>
        </w:rPr>
      </w:pPr>
      <w:r>
        <w:rPr>
          <w:rFonts w:hint="eastAsia" w:ascii="Times New Roman" w:hAnsi="Times New Roman" w:cs="Times New Roman"/>
          <w:szCs w:val="21"/>
        </w:rPr>
        <w:t>8</w:t>
      </w:r>
      <w:r>
        <w:rPr>
          <w:rFonts w:ascii="Times New Roman" w:hAnsi="Times New Roman" w:cs="Times New Roman"/>
          <w:szCs w:val="21"/>
        </w:rPr>
        <w:t>.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shd w:val="clear" w:color="auto" w:fill="auto"/>
        <w:ind w:firstLine="420" w:firstLineChars="200"/>
        <w:rPr>
          <w:rFonts w:ascii="Times New Roman" w:hAnsi="Times New Roman" w:cs="Times New Roman"/>
          <w:szCs w:val="21"/>
        </w:rPr>
      </w:pPr>
      <w:r>
        <w:rPr>
          <w:rFonts w:ascii="Times New Roman" w:hAnsi="Times New Roman" w:cs="Times New Roman"/>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hd w:val="clear" w:color="auto" w:fill="auto"/>
        <w:ind w:firstLine="420" w:firstLineChars="200"/>
        <w:rPr>
          <w:rFonts w:ascii="Times New Roman" w:hAnsi="Times New Roman" w:cs="Times New Roman"/>
          <w:szCs w:val="21"/>
        </w:rPr>
      </w:pPr>
      <w:r>
        <w:rPr>
          <w:rFonts w:hint="eastAsia" w:ascii="Times New Roman" w:hAnsi="Times New Roman" w:cs="Times New Roman"/>
          <w:szCs w:val="21"/>
        </w:rPr>
        <w:t>9</w:t>
      </w:r>
      <w:r>
        <w:rPr>
          <w:rFonts w:ascii="Times New Roman" w:hAnsi="Times New Roman" w:cs="Times New Roman"/>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hd w:val="clear" w:color="auto" w:fill="auto"/>
        <w:ind w:firstLine="420" w:firstLineChars="200"/>
        <w:rPr>
          <w:rFonts w:ascii="Times New Roman" w:hAnsi="Times New Roman" w:cs="Times New Roman"/>
          <w:szCs w:val="21"/>
        </w:rPr>
      </w:pPr>
      <w:r>
        <w:rPr>
          <w:rFonts w:hint="eastAsia" w:ascii="Times New Roman" w:hAnsi="Times New Roman" w:cs="Times New Roman"/>
          <w:szCs w:val="21"/>
        </w:rPr>
        <w:t>10</w:t>
      </w:r>
      <w:r>
        <w:rPr>
          <w:rFonts w:ascii="Times New Roman" w:hAnsi="Times New Roman" w:cs="Times New Roman"/>
          <w:szCs w:val="21"/>
        </w:rPr>
        <w:t>.我单位承诺中标后项目不转包，未经采购人同意不进行分包。</w:t>
      </w:r>
    </w:p>
    <w:p>
      <w:pPr>
        <w:shd w:val="clear" w:color="auto" w:fill="auto"/>
        <w:ind w:firstLine="420" w:firstLineChars="200"/>
        <w:rPr>
          <w:rFonts w:ascii="Times New Roman" w:hAnsi="Times New Roman" w:cs="Times New Roman"/>
        </w:rPr>
      </w:pPr>
      <w:r>
        <w:rPr>
          <w:rFonts w:ascii="Times New Roman" w:hAnsi="Times New Roman" w:cs="Times New Roman"/>
          <w:szCs w:val="21"/>
        </w:rPr>
        <w:t>1</w:t>
      </w:r>
      <w:r>
        <w:rPr>
          <w:rFonts w:hint="eastAsia" w:ascii="Times New Roman" w:hAnsi="Times New Roman" w:cs="Times New Roman"/>
          <w:szCs w:val="21"/>
        </w:rPr>
        <w:t>1</w:t>
      </w:r>
      <w:r>
        <w:rPr>
          <w:rFonts w:ascii="Times New Roman" w:hAnsi="Times New Roman" w:cs="Times New Roman"/>
          <w:szCs w:val="21"/>
        </w:rPr>
        <w:t>.</w:t>
      </w:r>
      <w:r>
        <w:rPr>
          <w:rFonts w:ascii="Times New Roman" w:hAnsi="Times New Roman" w:cs="Times New Roman"/>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shd w:val="clear" w:color="auto" w:fill="auto"/>
        <w:ind w:firstLine="420" w:firstLineChars="20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2</w:t>
      </w:r>
      <w:r>
        <w:rPr>
          <w:rFonts w:ascii="Times New Roman" w:hAnsi="Times New Roman" w:cs="Times New Roman"/>
        </w:rPr>
        <w:t>.我单位保证，若所投货物涉及《财政部生态环境部关于印发节能产品政府采购品目清单的通知》（财库〔2019〕19号）列明的政府采购强制产品，则所投该产品符合节能产品的认证要求。</w:t>
      </w:r>
    </w:p>
    <w:p>
      <w:pPr>
        <w:shd w:val="clear" w:color="auto" w:fill="auto"/>
        <w:ind w:firstLine="420" w:firstLineChars="20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3</w:t>
      </w:r>
      <w:r>
        <w:rPr>
          <w:rFonts w:ascii="Times New Roman" w:hAnsi="Times New Roman" w:cs="Times New Roman"/>
        </w:rPr>
        <w:t>. 我单位保证，符合“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pPr>
        <w:shd w:val="clear" w:color="auto" w:fill="auto"/>
        <w:ind w:firstLine="420" w:firstLineChars="20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4</w:t>
      </w:r>
      <w:r>
        <w:rPr>
          <w:rFonts w:ascii="Times New Roman" w:hAnsi="Times New Roman" w:cs="Times New Roman"/>
        </w:rPr>
        <w:t>.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shd w:val="clear" w:color="auto" w:fill="auto"/>
        <w:ind w:firstLine="420" w:firstLineChars="200"/>
        <w:rPr>
          <w:rFonts w:ascii="Times New Roman" w:hAnsi="Times New Roman" w:cs="Times New Roman"/>
        </w:rPr>
      </w:pPr>
      <w:r>
        <w:rPr>
          <w:rFonts w:ascii="Times New Roman" w:hAnsi="Times New Roman" w:cs="Times New Roman"/>
        </w:rPr>
        <w:t xml:space="preserve">15. </w:t>
      </w:r>
      <w:r>
        <w:rPr>
          <w:rFonts w:hint="eastAsia" w:ascii="Times New Roman" w:hAnsi="Times New Roman" w:cs="Times New Roman"/>
        </w:rPr>
        <w:t>我单位参与本项目政府采购活动时不存在《深圳市财政局政府采购供应商信用信息管理办法》（深财规〔</w:t>
      </w:r>
      <w:r>
        <w:rPr>
          <w:rFonts w:ascii="Times New Roman" w:hAnsi="Times New Roman" w:cs="Times New Roman"/>
        </w:rPr>
        <w:t>2023〕3号）列明的严重违法失信行为。我单位清楚，如存在违反投标承诺行为情节严重的，将根据《深圳市财政局关于印发&lt;深圳市财政局政府采购供应商信用信息管理办法&gt;的通知》，依法被列入失信信息。</w:t>
      </w:r>
    </w:p>
    <w:p>
      <w:pPr>
        <w:shd w:val="clear" w:color="auto" w:fill="auto"/>
        <w:tabs>
          <w:tab w:val="clear" w:pos="426"/>
        </w:tabs>
        <w:spacing w:line="240" w:lineRule="auto"/>
        <w:ind w:firstLine="424" w:firstLineChars="202"/>
        <w:rPr>
          <w:rFonts w:ascii="Times New Roman" w:hAnsi="Times New Roman" w:cs="Times New Roman"/>
        </w:rPr>
      </w:pPr>
      <w:r>
        <w:rPr>
          <w:rFonts w:ascii="Times New Roman" w:hAnsi="Times New Roman" w:cs="Times New Roman"/>
        </w:rPr>
        <w:t>以上承诺，如有违反，愿依照国家相关法律法规处理，并承担由此给采购人带来的损失。</w:t>
      </w:r>
    </w:p>
    <w:p>
      <w:pPr>
        <w:shd w:val="clear" w:color="auto" w:fill="auto"/>
        <w:tabs>
          <w:tab w:val="clear" w:pos="426"/>
        </w:tabs>
        <w:spacing w:line="240" w:lineRule="auto"/>
        <w:ind w:firstLine="420"/>
        <w:rPr>
          <w:rFonts w:ascii="Times New Roman" w:hAnsi="Times New Roman" w:cs="Times New Roman"/>
        </w:rPr>
      </w:pPr>
      <w:r>
        <w:rPr>
          <w:rFonts w:ascii="Times New Roman" w:hAnsi="Times New Roman" w:cs="Times New Roman"/>
        </w:rPr>
        <w:t>特此声明！</w:t>
      </w:r>
    </w:p>
    <w:p>
      <w:pPr>
        <w:shd w:val="clear" w:color="auto" w:fill="auto"/>
        <w:tabs>
          <w:tab w:val="clear" w:pos="426"/>
        </w:tabs>
        <w:spacing w:line="240" w:lineRule="auto"/>
        <w:ind w:firstLine="420"/>
        <w:rPr>
          <w:rFonts w:ascii="Times New Roman" w:hAnsi="Times New Roman" w:cs="Times New Roman"/>
        </w:rPr>
      </w:pPr>
    </w:p>
    <w:p>
      <w:pPr>
        <w:shd w:val="clear" w:color="auto" w:fill="auto"/>
        <w:tabs>
          <w:tab w:val="clear" w:pos="426"/>
        </w:tabs>
        <w:ind w:firstLine="420"/>
        <w:rPr>
          <w:rFonts w:ascii="Times New Roman" w:hAnsi="Times New Roman" w:cs="Times New Roman"/>
        </w:rPr>
      </w:pPr>
    </w:p>
    <w:p>
      <w:pPr>
        <w:shd w:val="clear" w:color="auto" w:fill="auto"/>
        <w:tabs>
          <w:tab w:val="clear" w:pos="426"/>
        </w:tabs>
        <w:ind w:firstLine="420"/>
        <w:rPr>
          <w:rFonts w:ascii="Times New Roman" w:hAnsi="Times New Roman" w:cs="Times New Roman"/>
          <w:u w:val="single"/>
        </w:rPr>
      </w:pPr>
      <w:r>
        <w:rPr>
          <w:rFonts w:ascii="Times New Roman" w:hAnsi="Times New Roman" w:cs="Times New Roman"/>
        </w:rPr>
        <w:t>单位名称：</w:t>
      </w:r>
      <w:r>
        <w:rPr>
          <w:rFonts w:ascii="Times New Roman" w:hAnsi="Times New Roman" w:cs="Times New Roman"/>
          <w:u w:val="single"/>
        </w:rPr>
        <w:t>_____________________________________________________________</w:t>
      </w:r>
    </w:p>
    <w:p>
      <w:pPr>
        <w:shd w:val="clear" w:color="auto" w:fill="auto"/>
        <w:tabs>
          <w:tab w:val="clear" w:pos="426"/>
        </w:tabs>
        <w:ind w:firstLine="420"/>
        <w:rPr>
          <w:rFonts w:ascii="Times New Roman" w:hAnsi="Times New Roman" w:cs="Times New Roman"/>
          <w:u w:val="single"/>
        </w:rPr>
      </w:pPr>
      <w:r>
        <w:rPr>
          <w:rFonts w:ascii="Times New Roman" w:hAnsi="Times New Roman" w:cs="Times New Roman"/>
        </w:rPr>
        <w:t>法定代表人或投标人授权代表（签名或盖章）：</w:t>
      </w:r>
      <w:r>
        <w:rPr>
          <w:rFonts w:ascii="Times New Roman" w:hAnsi="Times New Roman" w:cs="Times New Roman"/>
          <w:u w:val="single"/>
        </w:rPr>
        <w:t>_____________________________</w:t>
      </w:r>
    </w:p>
    <w:p>
      <w:pPr>
        <w:shd w:val="clear" w:color="auto" w:fill="auto"/>
        <w:tabs>
          <w:tab w:val="clear" w:pos="426"/>
        </w:tabs>
        <w:ind w:firstLine="420"/>
        <w:rPr>
          <w:rFonts w:ascii="Times New Roman" w:hAnsi="Times New Roman" w:cs="Times New Roman"/>
          <w:u w:val="single"/>
        </w:rPr>
      </w:pPr>
      <w:r>
        <w:rPr>
          <w:rFonts w:ascii="Times New Roman" w:hAnsi="Times New Roman" w:cs="Times New Roman"/>
        </w:rPr>
        <w:t>单位地址：</w:t>
      </w:r>
      <w:r>
        <w:rPr>
          <w:rFonts w:ascii="Times New Roman" w:hAnsi="Times New Roman" w:cs="Times New Roman"/>
          <w:u w:val="single"/>
        </w:rPr>
        <w:t>_____________________________________________________________</w:t>
      </w:r>
    </w:p>
    <w:p>
      <w:pPr>
        <w:shd w:val="clear" w:color="auto" w:fill="auto"/>
        <w:tabs>
          <w:tab w:val="clear" w:pos="426"/>
        </w:tabs>
        <w:ind w:firstLine="420"/>
        <w:rPr>
          <w:rFonts w:ascii="Times New Roman" w:hAnsi="Times New Roman" w:cs="Times New Roman"/>
          <w:u w:val="single"/>
        </w:rPr>
      </w:pPr>
      <w:r>
        <w:rPr>
          <w:rFonts w:ascii="Times New Roman" w:hAnsi="Times New Roman" w:cs="Times New Roman"/>
        </w:rPr>
        <w:t>单位公章：</w:t>
      </w:r>
      <w:r>
        <w:rPr>
          <w:rFonts w:ascii="Times New Roman" w:hAnsi="Times New Roman" w:cs="Times New Roman"/>
          <w:u w:val="single"/>
        </w:rPr>
        <w:t>_____________________________________________________________</w:t>
      </w:r>
    </w:p>
    <w:p>
      <w:pPr>
        <w:shd w:val="clear" w:color="auto" w:fill="auto"/>
        <w:tabs>
          <w:tab w:val="clear" w:pos="426"/>
        </w:tabs>
        <w:ind w:firstLine="420"/>
        <w:rPr>
          <w:rFonts w:ascii="Times New Roman" w:hAnsi="Times New Roman" w:cs="Times New Roman"/>
          <w:u w:val="single"/>
        </w:rPr>
      </w:pPr>
      <w:r>
        <w:rPr>
          <w:rFonts w:ascii="Times New Roman" w:hAnsi="Times New Roman" w:cs="Times New Roman"/>
        </w:rPr>
        <w:t>邮政编码：</w:t>
      </w:r>
      <w:r>
        <w:rPr>
          <w:rFonts w:ascii="Times New Roman" w:hAnsi="Times New Roman" w:cs="Times New Roman"/>
          <w:u w:val="single"/>
        </w:rPr>
        <w:t>_____________________________</w:t>
      </w:r>
      <w:r>
        <w:rPr>
          <w:rFonts w:ascii="Times New Roman" w:hAnsi="Times New Roman" w:cs="Times New Roman"/>
        </w:rPr>
        <w:t>日期：</w:t>
      </w:r>
      <w:r>
        <w:rPr>
          <w:rFonts w:ascii="Times New Roman" w:hAnsi="Times New Roman" w:cs="Times New Roman"/>
          <w:u w:val="single"/>
        </w:rPr>
        <w:t>__________________________</w:t>
      </w:r>
    </w:p>
    <w:p>
      <w:pPr>
        <w:shd w:val="clear" w:color="auto" w:fill="auto"/>
        <w:tabs>
          <w:tab w:val="clear" w:pos="426"/>
        </w:tabs>
        <w:ind w:firstLine="420" w:firstLineChars="200"/>
        <w:rPr>
          <w:rFonts w:ascii="Times New Roman" w:hAnsi="Times New Roman" w:cs="Times New Roman"/>
          <w:u w:val="single"/>
        </w:rPr>
      </w:pPr>
      <w:r>
        <w:rPr>
          <w:rFonts w:ascii="Times New Roman" w:hAnsi="Times New Roman" w:cs="Times New Roman"/>
        </w:rPr>
        <w:t>联系电话：</w:t>
      </w:r>
      <w:r>
        <w:rPr>
          <w:rFonts w:ascii="Times New Roman" w:hAnsi="Times New Roman" w:cs="Times New Roman"/>
          <w:u w:val="single"/>
        </w:rPr>
        <w:t>_____________________________________________________________</w:t>
      </w:r>
    </w:p>
    <w:p>
      <w:pPr>
        <w:shd w:val="clear" w:color="auto" w:fill="auto"/>
        <w:tabs>
          <w:tab w:val="clear" w:pos="426"/>
        </w:tabs>
        <w:spacing w:line="300" w:lineRule="auto"/>
        <w:ind w:firstLine="420"/>
        <w:rPr>
          <w:rFonts w:ascii="Times New Roman" w:hAnsi="Times New Roman" w:cs="Times New Roman"/>
        </w:rPr>
      </w:pPr>
    </w:p>
    <w:p>
      <w:pPr>
        <w:shd w:val="clear" w:color="auto" w:fill="auto"/>
        <w:tabs>
          <w:tab w:val="clear" w:pos="426"/>
        </w:tabs>
        <w:spacing w:line="300" w:lineRule="auto"/>
        <w:ind w:firstLine="420"/>
        <w:rPr>
          <w:rFonts w:ascii="Times New Roman" w:hAnsi="Times New Roman" w:cs="Times New Roman"/>
        </w:rPr>
      </w:pPr>
    </w:p>
    <w:p>
      <w:pPr>
        <w:shd w:val="clear" w:color="auto" w:fill="auto"/>
        <w:tabs>
          <w:tab w:val="clear" w:pos="426"/>
        </w:tabs>
        <w:adjustRightInd/>
        <w:snapToGrid/>
        <w:spacing w:line="240" w:lineRule="auto"/>
        <w:ind w:firstLine="420"/>
        <w:jc w:val="left"/>
        <w:rPr>
          <w:rFonts w:ascii="Times New Roman" w:hAnsi="Times New Roman" w:cs="Times New Roman"/>
        </w:rPr>
      </w:pPr>
      <w:r>
        <w:rPr>
          <w:rFonts w:ascii="Times New Roman" w:hAnsi="Times New Roman" w:cs="Times New Roman"/>
        </w:rPr>
        <w:br w:type="page"/>
      </w:r>
    </w:p>
    <w:p>
      <w:pPr>
        <w:numPr>
          <w:ilvl w:val="0"/>
          <w:numId w:val="22"/>
        </w:numPr>
        <w:shd w:val="clear" w:color="auto" w:fill="auto"/>
        <w:spacing w:before="280" w:after="290" w:line="377" w:lineRule="auto"/>
        <w:ind w:firstLine="482"/>
        <w:outlineLvl w:val="2"/>
        <w:rPr>
          <w:rFonts w:ascii="Times New Roman" w:hAnsi="Times New Roman" w:cs="Times New Roman"/>
          <w:b/>
          <w:sz w:val="24"/>
        </w:rPr>
      </w:pPr>
      <w:bookmarkStart w:id="33" w:name="_Hlk175816705"/>
      <w:r>
        <w:rPr>
          <w:rFonts w:ascii="Times New Roman" w:hAnsi="Times New Roman" w:cs="Times New Roman"/>
          <w:b/>
          <w:sz w:val="24"/>
        </w:rPr>
        <w:t>法定代表人</w:t>
      </w:r>
      <w:r>
        <w:rPr>
          <w:rFonts w:hint="eastAsia" w:ascii="Times New Roman" w:hAnsi="Times New Roman" w:cs="Times New Roman"/>
          <w:b/>
          <w:sz w:val="24"/>
        </w:rPr>
        <w:t>（负责人）</w:t>
      </w:r>
      <w:r>
        <w:rPr>
          <w:rFonts w:ascii="Times New Roman" w:hAnsi="Times New Roman" w:cs="Times New Roman"/>
          <w:b/>
          <w:sz w:val="24"/>
        </w:rPr>
        <w:t>授权委托书、法定代表人</w:t>
      </w:r>
      <w:r>
        <w:rPr>
          <w:rFonts w:hint="eastAsia" w:ascii="Times New Roman" w:hAnsi="Times New Roman" w:cs="Times New Roman"/>
          <w:b/>
          <w:sz w:val="24"/>
        </w:rPr>
        <w:t>（负责人）</w:t>
      </w:r>
      <w:r>
        <w:rPr>
          <w:rFonts w:ascii="Times New Roman" w:hAnsi="Times New Roman" w:cs="Times New Roman"/>
          <w:b/>
          <w:sz w:val="24"/>
        </w:rPr>
        <w:t>证明书</w:t>
      </w:r>
    </w:p>
    <w:bookmarkEnd w:id="33"/>
    <w:p>
      <w:pPr>
        <w:widowControl w:val="0"/>
        <w:shd w:val="clear" w:color="auto" w:fill="auto"/>
        <w:tabs>
          <w:tab w:val="clear" w:pos="426"/>
        </w:tabs>
        <w:spacing w:line="300" w:lineRule="auto"/>
        <w:ind w:firstLine="640"/>
        <w:jc w:val="center"/>
        <w:rPr>
          <w:rFonts w:ascii="Times New Roman" w:hAnsi="Times New Roman" w:cs="Times New Roman"/>
          <w:bCs/>
          <w:kern w:val="2"/>
          <w:sz w:val="32"/>
          <w:szCs w:val="32"/>
        </w:rPr>
      </w:pPr>
      <w:r>
        <w:rPr>
          <w:rFonts w:ascii="Times New Roman" w:hAnsi="Times New Roman" w:cs="Times New Roman"/>
          <w:bCs/>
          <w:kern w:val="2"/>
          <w:sz w:val="32"/>
          <w:szCs w:val="32"/>
        </w:rPr>
        <w:t>法定代表人</w:t>
      </w:r>
      <w:r>
        <w:rPr>
          <w:rFonts w:hint="eastAsia" w:ascii="Times New Roman" w:hAnsi="Times New Roman" w:cs="Times New Roman"/>
          <w:bCs/>
          <w:kern w:val="2"/>
          <w:sz w:val="32"/>
          <w:szCs w:val="32"/>
        </w:rPr>
        <w:t>（负责人）</w:t>
      </w:r>
      <w:r>
        <w:rPr>
          <w:rFonts w:ascii="Times New Roman" w:hAnsi="Times New Roman" w:cs="Times New Roman"/>
          <w:bCs/>
          <w:kern w:val="2"/>
          <w:sz w:val="32"/>
          <w:szCs w:val="32"/>
        </w:rPr>
        <w:t>授权委托书</w:t>
      </w:r>
    </w:p>
    <w:p>
      <w:pPr>
        <w:shd w:val="clear" w:color="auto" w:fill="auto"/>
        <w:tabs>
          <w:tab w:val="clear" w:pos="426"/>
        </w:tabs>
        <w:ind w:firstLine="420" w:firstLineChars="200"/>
        <w:rPr>
          <w:rFonts w:ascii="Times New Roman" w:hAnsi="Times New Roman" w:cs="Times New Roman"/>
          <w:kern w:val="2"/>
          <w:szCs w:val="20"/>
        </w:rPr>
      </w:pPr>
    </w:p>
    <w:p>
      <w:pPr>
        <w:shd w:val="clear" w:color="auto" w:fill="auto"/>
        <w:tabs>
          <w:tab w:val="clear" w:pos="426"/>
        </w:tabs>
        <w:ind w:firstLine="420" w:firstLineChars="200"/>
        <w:rPr>
          <w:rFonts w:ascii="Times New Roman" w:hAnsi="Times New Roman" w:cs="Times New Roman"/>
          <w:kern w:val="2"/>
          <w:szCs w:val="20"/>
        </w:rPr>
      </w:pPr>
      <w:r>
        <w:rPr>
          <w:rFonts w:ascii="Times New Roman" w:hAnsi="Times New Roman" w:cs="Times New Roman"/>
          <w:kern w:val="2"/>
          <w:szCs w:val="20"/>
        </w:rPr>
        <w:t>本授权委托书声明：注册于</w:t>
      </w:r>
      <w:r>
        <w:rPr>
          <w:rFonts w:ascii="Times New Roman" w:hAnsi="Times New Roman" w:cs="Times New Roman"/>
          <w:kern w:val="2"/>
          <w:szCs w:val="20"/>
          <w:u w:val="single"/>
        </w:rPr>
        <w:t>_（投标人地址）__</w:t>
      </w:r>
      <w:r>
        <w:rPr>
          <w:rFonts w:ascii="Times New Roman" w:hAnsi="Times New Roman" w:cs="Times New Roman"/>
          <w:kern w:val="2"/>
          <w:szCs w:val="20"/>
        </w:rPr>
        <w:t>的</w:t>
      </w:r>
      <w:r>
        <w:rPr>
          <w:rFonts w:ascii="Times New Roman" w:hAnsi="Times New Roman" w:cs="Times New Roman"/>
          <w:kern w:val="2"/>
          <w:szCs w:val="20"/>
          <w:u w:val="single"/>
        </w:rPr>
        <w:t>__（投标人名称）____</w:t>
      </w:r>
      <w:r>
        <w:rPr>
          <w:rFonts w:ascii="Times New Roman" w:hAnsi="Times New Roman" w:cs="Times New Roman"/>
          <w:kern w:val="2"/>
          <w:szCs w:val="20"/>
        </w:rPr>
        <w:t>在下面签名的</w:t>
      </w:r>
      <w:r>
        <w:rPr>
          <w:rFonts w:ascii="Times New Roman" w:hAnsi="Times New Roman" w:cs="Times New Roman"/>
          <w:kern w:val="2"/>
          <w:szCs w:val="20"/>
          <w:u w:val="single"/>
        </w:rPr>
        <w:t>（法定代表人</w:t>
      </w:r>
      <w:r>
        <w:rPr>
          <w:rFonts w:hint="eastAsia" w:ascii="Times New Roman" w:hAnsi="Times New Roman" w:cs="Times New Roman"/>
          <w:kern w:val="2"/>
          <w:szCs w:val="20"/>
          <w:u w:val="single"/>
        </w:rPr>
        <w:t>（负责人）</w:t>
      </w:r>
      <w:r>
        <w:rPr>
          <w:rFonts w:ascii="Times New Roman" w:hAnsi="Times New Roman" w:cs="Times New Roman"/>
          <w:kern w:val="2"/>
          <w:szCs w:val="20"/>
          <w:u w:val="single"/>
        </w:rPr>
        <w:t>姓名、职务）</w:t>
      </w:r>
      <w:r>
        <w:rPr>
          <w:rFonts w:ascii="Times New Roman" w:hAnsi="Times New Roman" w:cs="Times New Roman"/>
          <w:kern w:val="2"/>
          <w:szCs w:val="20"/>
        </w:rPr>
        <w:t>在此授权</w:t>
      </w:r>
      <w:r>
        <w:rPr>
          <w:rFonts w:ascii="Times New Roman" w:hAnsi="Times New Roman" w:cs="Times New Roman"/>
          <w:kern w:val="2"/>
          <w:szCs w:val="20"/>
          <w:u w:val="single"/>
        </w:rPr>
        <w:t>（被授权人姓名、职务）</w:t>
      </w:r>
      <w:r>
        <w:rPr>
          <w:rFonts w:ascii="Times New Roman" w:hAnsi="Times New Roman" w:cs="Times New Roman"/>
          <w:kern w:val="2"/>
          <w:szCs w:val="20"/>
        </w:rPr>
        <w:t>作为我公司的合法代理人，就</w:t>
      </w:r>
      <w:r>
        <w:rPr>
          <w:rFonts w:ascii="Times New Roman" w:hAnsi="Times New Roman" w:cs="Times New Roman"/>
          <w:kern w:val="2"/>
          <w:szCs w:val="20"/>
          <w:u w:val="single"/>
        </w:rPr>
        <w:t>（项目名称、招标项目编号</w:t>
      </w:r>
      <w:r>
        <w:rPr>
          <w:rFonts w:ascii="Times New Roman" w:hAnsi="Times New Roman" w:cs="Times New Roman"/>
          <w:kern w:val="2"/>
          <w:szCs w:val="20"/>
        </w:rPr>
        <w:t>）的招投标活动，采购合同的签订、执行、完成和售后服务，作为投标人代表以我方的名义处理一切与之有关的事务。</w:t>
      </w:r>
    </w:p>
    <w:p>
      <w:pPr>
        <w:shd w:val="clear" w:color="auto" w:fill="auto"/>
        <w:tabs>
          <w:tab w:val="clear" w:pos="426"/>
        </w:tabs>
        <w:ind w:firstLine="420" w:firstLineChars="200"/>
        <w:rPr>
          <w:rFonts w:ascii="Times New Roman" w:hAnsi="Times New Roman" w:cs="Times New Roman"/>
          <w:kern w:val="2"/>
          <w:szCs w:val="20"/>
        </w:rPr>
      </w:pPr>
      <w:r>
        <w:rPr>
          <w:rFonts w:ascii="Times New Roman" w:hAnsi="Times New Roman" w:cs="Times New Roman"/>
          <w:kern w:val="2"/>
          <w:szCs w:val="20"/>
        </w:rPr>
        <w:t>被授权人（投标人授权代表）无转委托权限。</w:t>
      </w:r>
    </w:p>
    <w:p>
      <w:pPr>
        <w:shd w:val="clear" w:color="auto" w:fill="auto"/>
        <w:tabs>
          <w:tab w:val="clear" w:pos="426"/>
        </w:tabs>
        <w:ind w:firstLine="420" w:firstLineChars="200"/>
        <w:rPr>
          <w:rFonts w:ascii="Times New Roman" w:hAnsi="Times New Roman" w:cs="Times New Roman"/>
          <w:szCs w:val="21"/>
        </w:rPr>
      </w:pPr>
      <w:r>
        <w:rPr>
          <w:rFonts w:ascii="Times New Roman" w:hAnsi="Times New Roman" w:cs="Times New Roman"/>
          <w:szCs w:val="21"/>
        </w:rPr>
        <w:t>本授权书自法定代表人</w:t>
      </w:r>
      <w:r>
        <w:rPr>
          <w:rFonts w:hint="eastAsia" w:ascii="Times New Roman" w:hAnsi="Times New Roman" w:cs="Times New Roman"/>
        </w:rPr>
        <w:t>（负责人）</w:t>
      </w:r>
      <w:r>
        <w:rPr>
          <w:rFonts w:ascii="Times New Roman" w:hAnsi="Times New Roman" w:cs="Times New Roman"/>
          <w:szCs w:val="21"/>
        </w:rPr>
        <w:t>签字之日起生效，特此声明。</w:t>
      </w:r>
    </w:p>
    <w:p>
      <w:pPr>
        <w:shd w:val="clear" w:color="auto" w:fill="auto"/>
        <w:tabs>
          <w:tab w:val="clear" w:pos="426"/>
        </w:tabs>
        <w:ind w:firstLine="422" w:firstLineChars="200"/>
        <w:rPr>
          <w:rFonts w:ascii="Times New Roman" w:hAnsi="Times New Roman" w:cs="Times New Roman"/>
          <w:b/>
          <w:szCs w:val="21"/>
        </w:rPr>
      </w:pPr>
      <w:r>
        <w:rPr>
          <w:rFonts w:ascii="Times New Roman" w:hAnsi="Times New Roman" w:cs="Times New Roman"/>
          <w:b/>
          <w:szCs w:val="21"/>
        </w:rPr>
        <w:t>随附《法定代表人</w:t>
      </w:r>
      <w:r>
        <w:rPr>
          <w:rFonts w:hint="eastAsia" w:ascii="Times New Roman" w:hAnsi="Times New Roman" w:cs="Times New Roman"/>
          <w:b/>
          <w:szCs w:val="21"/>
        </w:rPr>
        <w:t>（（负责人）</w:t>
      </w:r>
      <w:r>
        <w:rPr>
          <w:rFonts w:ascii="Times New Roman" w:hAnsi="Times New Roman" w:cs="Times New Roman"/>
          <w:b/>
          <w:szCs w:val="21"/>
        </w:rPr>
        <w:t>证明》</w:t>
      </w:r>
    </w:p>
    <w:p>
      <w:pPr>
        <w:shd w:val="clear" w:color="auto" w:fill="auto"/>
        <w:tabs>
          <w:tab w:val="clear" w:pos="426"/>
        </w:tabs>
        <w:ind w:firstLine="422" w:firstLineChars="200"/>
        <w:rPr>
          <w:rFonts w:ascii="Times New Roman" w:hAnsi="Times New Roman" w:cs="Times New Roman"/>
          <w:b/>
          <w:szCs w:val="21"/>
        </w:rPr>
      </w:pPr>
    </w:p>
    <w:p>
      <w:pPr>
        <w:shd w:val="clear" w:color="auto" w:fill="auto"/>
        <w:tabs>
          <w:tab w:val="clear" w:pos="426"/>
        </w:tabs>
        <w:ind w:firstLine="422" w:firstLineChars="200"/>
        <w:rPr>
          <w:rFonts w:ascii="Times New Roman" w:hAnsi="Times New Roman" w:cs="Times New Roman"/>
          <w:b/>
          <w:szCs w:val="21"/>
        </w:rPr>
      </w:pPr>
    </w:p>
    <w:p>
      <w:pPr>
        <w:shd w:val="clear" w:color="auto" w:fill="auto"/>
        <w:tabs>
          <w:tab w:val="clear" w:pos="426"/>
        </w:tabs>
        <w:ind w:firstLine="420" w:firstLineChars="200"/>
        <w:rPr>
          <w:rFonts w:ascii="Times New Roman" w:hAnsi="Times New Roman" w:cs="Times New Roman"/>
          <w:szCs w:val="21"/>
          <w:u w:val="single"/>
        </w:rPr>
      </w:pPr>
      <w:r>
        <w:rPr>
          <w:rFonts w:ascii="Times New Roman" w:hAnsi="Times New Roman" w:cs="Times New Roman"/>
          <w:szCs w:val="21"/>
        </w:rPr>
        <w:t>单位名称：</w:t>
      </w:r>
      <w:r>
        <w:rPr>
          <w:rFonts w:ascii="Times New Roman" w:hAnsi="Times New Roman" w:cs="Times New Roman"/>
          <w:szCs w:val="21"/>
          <w:u w:val="single"/>
        </w:rPr>
        <w:t>_____________________________________________________________</w:t>
      </w:r>
    </w:p>
    <w:p>
      <w:pPr>
        <w:shd w:val="clear" w:color="auto" w:fill="auto"/>
        <w:tabs>
          <w:tab w:val="clear" w:pos="426"/>
        </w:tabs>
        <w:ind w:firstLine="420" w:firstLineChars="200"/>
        <w:rPr>
          <w:rFonts w:ascii="Times New Roman" w:hAnsi="Times New Roman" w:cs="Times New Roman"/>
          <w:szCs w:val="21"/>
          <w:u w:val="single"/>
        </w:rPr>
      </w:pPr>
      <w:r>
        <w:rPr>
          <w:rFonts w:ascii="Times New Roman" w:hAnsi="Times New Roman" w:cs="Times New Roman"/>
          <w:szCs w:val="21"/>
        </w:rPr>
        <w:t>法定代表人</w:t>
      </w:r>
      <w:r>
        <w:rPr>
          <w:rFonts w:hint="eastAsia" w:ascii="Times New Roman" w:hAnsi="Times New Roman" w:cs="Times New Roman"/>
        </w:rPr>
        <w:t>（负责人）</w:t>
      </w:r>
      <w:r>
        <w:rPr>
          <w:rFonts w:ascii="Times New Roman" w:hAnsi="Times New Roman" w:cs="Times New Roman"/>
          <w:szCs w:val="21"/>
        </w:rPr>
        <w:t>（签名或盖章）：</w:t>
      </w:r>
      <w:r>
        <w:rPr>
          <w:rFonts w:ascii="Times New Roman" w:hAnsi="Times New Roman" w:cs="Times New Roman"/>
          <w:szCs w:val="21"/>
          <w:u w:val="single"/>
        </w:rPr>
        <w:t>___________________________________</w:t>
      </w:r>
    </w:p>
    <w:p>
      <w:pPr>
        <w:shd w:val="clear" w:color="auto" w:fill="auto"/>
        <w:tabs>
          <w:tab w:val="clear" w:pos="426"/>
        </w:tabs>
        <w:ind w:firstLine="420" w:firstLineChars="200"/>
        <w:rPr>
          <w:rFonts w:ascii="Times New Roman" w:hAnsi="Times New Roman" w:cs="Times New Roman"/>
          <w:szCs w:val="21"/>
          <w:u w:val="single"/>
        </w:rPr>
      </w:pPr>
      <w:r>
        <w:rPr>
          <w:rFonts w:ascii="Times New Roman" w:hAnsi="Times New Roman" w:cs="Times New Roman"/>
          <w:szCs w:val="21"/>
        </w:rPr>
        <w:t>法定代表人</w:t>
      </w:r>
      <w:r>
        <w:rPr>
          <w:rFonts w:hint="eastAsia" w:ascii="Times New Roman" w:hAnsi="Times New Roman" w:cs="Times New Roman"/>
        </w:rPr>
        <w:t>（负责人）</w:t>
      </w:r>
      <w:r>
        <w:rPr>
          <w:rFonts w:ascii="Times New Roman" w:hAnsi="Times New Roman" w:cs="Times New Roman"/>
          <w:szCs w:val="21"/>
        </w:rPr>
        <w:t>或投标人授权代表（签名或盖章）：</w:t>
      </w:r>
      <w:r>
        <w:rPr>
          <w:rFonts w:ascii="Times New Roman" w:hAnsi="Times New Roman" w:cs="Times New Roman"/>
          <w:szCs w:val="21"/>
          <w:u w:val="single"/>
        </w:rPr>
        <w:t>___________________</w:t>
      </w:r>
    </w:p>
    <w:p>
      <w:pPr>
        <w:shd w:val="clear" w:color="auto" w:fill="auto"/>
        <w:tabs>
          <w:tab w:val="clear" w:pos="426"/>
        </w:tabs>
        <w:ind w:firstLine="420" w:firstLineChars="200"/>
        <w:rPr>
          <w:rFonts w:ascii="Times New Roman" w:hAnsi="Times New Roman" w:cs="Times New Roman"/>
          <w:szCs w:val="21"/>
          <w:u w:val="single"/>
        </w:rPr>
      </w:pPr>
      <w:r>
        <w:rPr>
          <w:rFonts w:ascii="Times New Roman" w:hAnsi="Times New Roman" w:cs="Times New Roman"/>
          <w:szCs w:val="21"/>
        </w:rPr>
        <w:t>单位地址：</w:t>
      </w:r>
      <w:r>
        <w:rPr>
          <w:rFonts w:ascii="Times New Roman" w:hAnsi="Times New Roman" w:cs="Times New Roman"/>
          <w:szCs w:val="21"/>
          <w:u w:val="single"/>
        </w:rPr>
        <w:t>_____________________________________________________________</w:t>
      </w:r>
    </w:p>
    <w:p>
      <w:pPr>
        <w:shd w:val="clear" w:color="auto" w:fill="auto"/>
        <w:tabs>
          <w:tab w:val="clear" w:pos="426"/>
        </w:tabs>
        <w:ind w:firstLine="420" w:firstLineChars="200"/>
        <w:rPr>
          <w:rFonts w:ascii="Times New Roman" w:hAnsi="Times New Roman" w:cs="Times New Roman"/>
          <w:szCs w:val="21"/>
          <w:u w:val="single"/>
        </w:rPr>
      </w:pPr>
      <w:r>
        <w:rPr>
          <w:rFonts w:ascii="Times New Roman" w:hAnsi="Times New Roman" w:cs="Times New Roman"/>
          <w:szCs w:val="21"/>
        </w:rPr>
        <w:t>单位公章：</w:t>
      </w:r>
      <w:r>
        <w:rPr>
          <w:rFonts w:ascii="Times New Roman" w:hAnsi="Times New Roman" w:cs="Times New Roman"/>
          <w:szCs w:val="21"/>
          <w:u w:val="single"/>
        </w:rPr>
        <w:t>_____________________________________________________________</w:t>
      </w:r>
    </w:p>
    <w:p>
      <w:pPr>
        <w:shd w:val="clear" w:color="auto" w:fill="auto"/>
        <w:tabs>
          <w:tab w:val="clear" w:pos="426"/>
        </w:tabs>
        <w:ind w:firstLine="420" w:firstLineChars="200"/>
        <w:rPr>
          <w:rFonts w:ascii="Times New Roman" w:hAnsi="Times New Roman" w:cs="Times New Roman"/>
          <w:szCs w:val="21"/>
          <w:u w:val="single"/>
        </w:rPr>
      </w:pPr>
      <w:r>
        <w:rPr>
          <w:rFonts w:ascii="Times New Roman" w:hAnsi="Times New Roman" w:cs="Times New Roman"/>
          <w:szCs w:val="21"/>
        </w:rPr>
        <w:t>邮政编码：</w:t>
      </w:r>
      <w:r>
        <w:rPr>
          <w:rFonts w:ascii="Times New Roman" w:hAnsi="Times New Roman" w:cs="Times New Roman"/>
          <w:szCs w:val="21"/>
          <w:u w:val="single"/>
        </w:rPr>
        <w:t>_________________________</w:t>
      </w:r>
      <w:r>
        <w:rPr>
          <w:rFonts w:ascii="Times New Roman" w:hAnsi="Times New Roman" w:cs="Times New Roman"/>
          <w:szCs w:val="21"/>
        </w:rPr>
        <w:t>签发日期：</w:t>
      </w:r>
      <w:r>
        <w:rPr>
          <w:rFonts w:ascii="Times New Roman" w:hAnsi="Times New Roman" w:cs="Times New Roman"/>
          <w:szCs w:val="21"/>
          <w:u w:val="single"/>
        </w:rPr>
        <w:t>__________________________</w:t>
      </w:r>
    </w:p>
    <w:p>
      <w:pPr>
        <w:shd w:val="clear" w:color="auto" w:fill="auto"/>
        <w:tabs>
          <w:tab w:val="clear" w:pos="426"/>
        </w:tabs>
        <w:ind w:firstLine="424" w:firstLineChars="202"/>
        <w:rPr>
          <w:rFonts w:ascii="Times New Roman" w:hAnsi="Times New Roman" w:cs="Times New Roman"/>
          <w:szCs w:val="21"/>
        </w:rPr>
      </w:pPr>
      <w:r>
        <w:rPr>
          <w:rFonts w:ascii="Times New Roman" w:hAnsi="Times New Roman" w:cs="Times New Roman"/>
          <w:szCs w:val="21"/>
        </w:rPr>
        <w:t>联系电话：</w:t>
      </w:r>
      <w:r>
        <w:rPr>
          <w:rFonts w:ascii="Times New Roman" w:hAnsi="Times New Roman" w:cs="Times New Roman"/>
          <w:szCs w:val="21"/>
          <w:u w:val="single"/>
        </w:rPr>
        <w:t>_____________________________________________________________</w:t>
      </w:r>
    </w:p>
    <w:p>
      <w:pPr>
        <w:shd w:val="clear" w:color="auto" w:fill="auto"/>
        <w:tabs>
          <w:tab w:val="clear" w:pos="426"/>
        </w:tabs>
        <w:ind w:firstLine="424" w:firstLineChars="202"/>
        <w:rPr>
          <w:rFonts w:ascii="Times New Roman" w:hAnsi="Times New Roman" w:cs="Times New Roman"/>
          <w:szCs w:val="21"/>
        </w:rPr>
      </w:pPr>
    </w:p>
    <w:p>
      <w:pPr>
        <w:shd w:val="clear" w:color="auto" w:fill="auto"/>
        <w:tabs>
          <w:tab w:val="clear" w:pos="426"/>
        </w:tabs>
        <w:ind w:firstLine="424" w:firstLineChars="202"/>
        <w:rPr>
          <w:rFonts w:ascii="Times New Roman" w:hAnsi="Times New Roman" w:cs="Times New Roman"/>
          <w:szCs w:val="21"/>
        </w:rPr>
      </w:pPr>
      <w:r>
        <w:rPr>
          <w:rFonts w:ascii="Times New Roman" w:hAnsi="Times New Roman" w:cs="Times New Roman"/>
          <w:szCs w:val="21"/>
        </w:rPr>
        <w:t>附：被授权人身份证复印件：</w:t>
      </w:r>
    </w:p>
    <w:p>
      <w:pPr>
        <w:shd w:val="clear" w:color="auto" w:fill="auto"/>
        <w:tabs>
          <w:tab w:val="clear" w:pos="426"/>
        </w:tabs>
        <w:ind w:firstLine="424" w:firstLineChars="202"/>
        <w:rPr>
          <w:rFonts w:ascii="Times New Roman" w:hAnsi="Times New Roman" w:cs="Times New Roman"/>
          <w:szCs w:val="21"/>
        </w:rPr>
      </w:pPr>
    </w:p>
    <w:p>
      <w:pPr>
        <w:shd w:val="clear" w:color="auto" w:fill="auto"/>
        <w:tabs>
          <w:tab w:val="clear" w:pos="426"/>
        </w:tabs>
        <w:spacing w:line="300" w:lineRule="auto"/>
        <w:ind w:firstLine="420"/>
        <w:jc w:val="center"/>
        <w:rPr>
          <w:rFonts w:ascii="Times New Roman" w:hAnsi="Times New Roman" w:cs="Times New Roman"/>
        </w:rPr>
      </w:pPr>
      <w:r>
        <w:rPr>
          <w:rFonts w:ascii="Times New Roman" w:hAnsi="Times New Roman" w:cs="Times New Roman"/>
        </w:rPr>
        <w:br w:type="page"/>
      </w:r>
    </w:p>
    <w:p>
      <w:pPr>
        <w:widowControl w:val="0"/>
        <w:shd w:val="clear" w:color="auto" w:fill="auto"/>
        <w:tabs>
          <w:tab w:val="clear" w:pos="426"/>
        </w:tabs>
        <w:spacing w:line="300" w:lineRule="auto"/>
        <w:ind w:firstLine="640"/>
        <w:jc w:val="center"/>
        <w:rPr>
          <w:rFonts w:ascii="Times New Roman" w:hAnsi="Times New Roman" w:cs="Times New Roman"/>
          <w:bCs/>
          <w:kern w:val="2"/>
          <w:sz w:val="32"/>
          <w:szCs w:val="32"/>
        </w:rPr>
      </w:pPr>
    </w:p>
    <w:p>
      <w:pPr>
        <w:widowControl w:val="0"/>
        <w:shd w:val="clear" w:color="auto" w:fill="auto"/>
        <w:tabs>
          <w:tab w:val="clear" w:pos="426"/>
        </w:tabs>
        <w:spacing w:line="300" w:lineRule="auto"/>
        <w:ind w:firstLine="640"/>
        <w:jc w:val="center"/>
        <w:rPr>
          <w:rFonts w:ascii="Times New Roman" w:hAnsi="Times New Roman" w:cs="Times New Roman"/>
          <w:bCs/>
          <w:kern w:val="2"/>
          <w:sz w:val="32"/>
          <w:szCs w:val="32"/>
        </w:rPr>
      </w:pPr>
      <w:r>
        <w:rPr>
          <w:rFonts w:ascii="Times New Roman" w:hAnsi="Times New Roman" w:cs="Times New Roman"/>
          <w:bCs/>
          <w:kern w:val="2"/>
          <w:sz w:val="32"/>
          <w:szCs w:val="32"/>
        </w:rPr>
        <w:t>法定代表人</w:t>
      </w:r>
      <w:r>
        <w:rPr>
          <w:rFonts w:hint="eastAsia" w:ascii="Times New Roman" w:hAnsi="Times New Roman" w:cs="Times New Roman"/>
          <w:bCs/>
          <w:kern w:val="2"/>
          <w:sz w:val="32"/>
          <w:szCs w:val="32"/>
        </w:rPr>
        <w:t>（负责人）</w:t>
      </w:r>
      <w:r>
        <w:rPr>
          <w:rFonts w:ascii="Times New Roman" w:hAnsi="Times New Roman" w:cs="Times New Roman"/>
          <w:bCs/>
          <w:kern w:val="2"/>
          <w:sz w:val="32"/>
          <w:szCs w:val="32"/>
        </w:rPr>
        <w:t>证明书</w:t>
      </w:r>
    </w:p>
    <w:p>
      <w:pPr>
        <w:shd w:val="clear" w:color="auto" w:fill="auto"/>
        <w:tabs>
          <w:tab w:val="clear" w:pos="426"/>
        </w:tabs>
        <w:spacing w:line="480" w:lineRule="auto"/>
        <w:ind w:firstLine="424" w:firstLineChars="202"/>
        <w:rPr>
          <w:rFonts w:ascii="Times New Roman" w:hAnsi="Times New Roman" w:cs="Times New Roman"/>
          <w:u w:val="single"/>
        </w:rPr>
      </w:pPr>
    </w:p>
    <w:p>
      <w:pPr>
        <w:shd w:val="clear" w:color="auto" w:fill="auto"/>
        <w:tabs>
          <w:tab w:val="clear" w:pos="426"/>
        </w:tabs>
        <w:spacing w:line="480" w:lineRule="auto"/>
        <w:ind w:firstLine="424" w:firstLineChars="202"/>
        <w:rPr>
          <w:rFonts w:ascii="Times New Roman" w:hAnsi="Times New Roman" w:cs="Times New Roman"/>
        </w:rPr>
      </w:pPr>
      <w:r>
        <w:rPr>
          <w:rFonts w:ascii="Times New Roman" w:hAnsi="Times New Roman" w:cs="Times New Roman"/>
          <w:u w:val="single"/>
        </w:rPr>
        <w:t>__________</w:t>
      </w:r>
      <w:r>
        <w:rPr>
          <w:rFonts w:ascii="Times New Roman" w:hAnsi="Times New Roman" w:cs="Times New Roman"/>
        </w:rPr>
        <w:t>同志，现任我单位</w:t>
      </w:r>
      <w:r>
        <w:rPr>
          <w:rFonts w:ascii="Times New Roman" w:hAnsi="Times New Roman" w:cs="Times New Roman"/>
          <w:u w:val="single"/>
        </w:rPr>
        <w:t>_________</w:t>
      </w:r>
      <w:r>
        <w:rPr>
          <w:rFonts w:ascii="Times New Roman" w:hAnsi="Times New Roman" w:cs="Times New Roman"/>
        </w:rPr>
        <w:t>职务，为法定代表人</w:t>
      </w:r>
      <w:r>
        <w:rPr>
          <w:rFonts w:hint="eastAsia" w:ascii="Times New Roman" w:hAnsi="Times New Roman" w:cs="Times New Roman"/>
        </w:rPr>
        <w:t>（负责人）</w:t>
      </w:r>
      <w:r>
        <w:rPr>
          <w:rFonts w:ascii="Times New Roman" w:hAnsi="Times New Roman" w:cs="Times New Roman"/>
        </w:rPr>
        <w:t>，特此证明。</w:t>
      </w:r>
    </w:p>
    <w:p>
      <w:pPr>
        <w:shd w:val="clear" w:color="auto" w:fill="auto"/>
        <w:tabs>
          <w:tab w:val="clear" w:pos="426"/>
        </w:tabs>
        <w:spacing w:line="480" w:lineRule="auto"/>
        <w:ind w:firstLine="424" w:firstLineChars="202"/>
        <w:rPr>
          <w:rFonts w:ascii="Times New Roman" w:hAnsi="Times New Roman" w:cs="Times New Roman"/>
        </w:rPr>
      </w:pPr>
      <w:r>
        <w:rPr>
          <w:rFonts w:ascii="Times New Roman" w:hAnsi="Times New Roman" w:cs="Times New Roman"/>
        </w:rPr>
        <w:t>本证明书自签发之日起生效，有效期与本公司投标文件中标注的投标有效期相同。</w:t>
      </w:r>
    </w:p>
    <w:p>
      <w:pPr>
        <w:shd w:val="clear" w:color="auto" w:fill="auto"/>
        <w:tabs>
          <w:tab w:val="clear" w:pos="426"/>
        </w:tabs>
        <w:spacing w:line="480" w:lineRule="auto"/>
        <w:ind w:firstLine="424" w:firstLineChars="202"/>
        <w:rPr>
          <w:rFonts w:ascii="Times New Roman" w:hAnsi="Times New Roman" w:cs="Times New Roman"/>
        </w:rPr>
      </w:pPr>
      <w:r>
        <w:rPr>
          <w:rFonts w:ascii="Times New Roman" w:hAnsi="Times New Roman" w:cs="Times New Roman"/>
        </w:rPr>
        <w:t>附：</w:t>
      </w:r>
    </w:p>
    <w:p>
      <w:pPr>
        <w:shd w:val="clear" w:color="auto" w:fill="auto"/>
        <w:tabs>
          <w:tab w:val="clear" w:pos="426"/>
        </w:tabs>
        <w:spacing w:line="480" w:lineRule="auto"/>
        <w:ind w:firstLine="424" w:firstLineChars="202"/>
        <w:rPr>
          <w:rFonts w:ascii="Times New Roman" w:hAnsi="Times New Roman" w:cs="Times New Roman"/>
        </w:rPr>
      </w:pPr>
      <w:r>
        <w:rPr>
          <w:rFonts w:ascii="Times New Roman" w:hAnsi="Times New Roman" w:cs="Times New Roman"/>
        </w:rPr>
        <w:t>营业执照（注册号）：</w:t>
      </w:r>
      <w:r>
        <w:rPr>
          <w:rFonts w:ascii="Times New Roman" w:hAnsi="Times New Roman" w:cs="Times New Roman"/>
          <w:u w:val="single"/>
        </w:rPr>
        <w:t>_______________________________________________</w:t>
      </w:r>
    </w:p>
    <w:p>
      <w:pPr>
        <w:shd w:val="clear" w:color="auto" w:fill="auto"/>
        <w:tabs>
          <w:tab w:val="clear" w:pos="426"/>
        </w:tabs>
        <w:spacing w:line="480" w:lineRule="auto"/>
        <w:ind w:firstLine="424" w:firstLineChars="202"/>
        <w:rPr>
          <w:rFonts w:ascii="Times New Roman" w:hAnsi="Times New Roman" w:cs="Times New Roman"/>
          <w:u w:val="single"/>
        </w:rPr>
      </w:pPr>
      <w:r>
        <w:rPr>
          <w:rFonts w:ascii="Times New Roman" w:hAnsi="Times New Roman" w:cs="Times New Roman"/>
        </w:rPr>
        <w:t>经济性质：</w:t>
      </w:r>
      <w:r>
        <w:rPr>
          <w:rFonts w:ascii="Times New Roman" w:hAnsi="Times New Roman" w:cs="Times New Roman"/>
          <w:u w:val="single"/>
        </w:rPr>
        <w:t>_________________________________________________________</w:t>
      </w:r>
    </w:p>
    <w:p>
      <w:pPr>
        <w:shd w:val="clear" w:color="auto" w:fill="auto"/>
        <w:tabs>
          <w:tab w:val="clear" w:pos="426"/>
        </w:tabs>
        <w:spacing w:line="480" w:lineRule="auto"/>
        <w:ind w:firstLine="424" w:firstLineChars="202"/>
        <w:rPr>
          <w:rFonts w:ascii="Times New Roman" w:hAnsi="Times New Roman" w:cs="Times New Roman"/>
          <w:u w:val="single"/>
        </w:rPr>
      </w:pPr>
      <w:r>
        <w:rPr>
          <w:rFonts w:ascii="Times New Roman" w:hAnsi="Times New Roman" w:cs="Times New Roman"/>
        </w:rPr>
        <w:t>主营（产）：</w:t>
      </w:r>
      <w:r>
        <w:rPr>
          <w:rFonts w:ascii="Times New Roman" w:hAnsi="Times New Roman" w:cs="Times New Roman"/>
          <w:u w:val="single"/>
        </w:rPr>
        <w:t>_______________________________________________________</w:t>
      </w:r>
    </w:p>
    <w:p>
      <w:pPr>
        <w:shd w:val="clear" w:color="auto" w:fill="auto"/>
        <w:tabs>
          <w:tab w:val="clear" w:pos="426"/>
        </w:tabs>
        <w:spacing w:line="480" w:lineRule="auto"/>
        <w:ind w:firstLine="424" w:firstLineChars="202"/>
        <w:rPr>
          <w:rFonts w:ascii="Times New Roman" w:hAnsi="Times New Roman" w:cs="Times New Roman"/>
          <w:u w:val="single"/>
        </w:rPr>
      </w:pPr>
      <w:r>
        <w:rPr>
          <w:rFonts w:ascii="Times New Roman" w:hAnsi="Times New Roman" w:cs="Times New Roman"/>
        </w:rPr>
        <w:t>兼营（产）：</w:t>
      </w:r>
      <w:r>
        <w:rPr>
          <w:rFonts w:ascii="Times New Roman" w:hAnsi="Times New Roman" w:cs="Times New Roman"/>
          <w:u w:val="single"/>
        </w:rPr>
        <w:t>_______________________________________________________</w:t>
      </w:r>
    </w:p>
    <w:p>
      <w:pPr>
        <w:shd w:val="clear" w:color="auto" w:fill="auto"/>
        <w:tabs>
          <w:tab w:val="clear" w:pos="426"/>
        </w:tabs>
        <w:ind w:firstLine="424" w:firstLineChars="202"/>
        <w:rPr>
          <w:rFonts w:ascii="Times New Roman" w:hAnsi="Times New Roman" w:cs="Times New Roman"/>
        </w:rPr>
      </w:pPr>
    </w:p>
    <w:p>
      <w:pPr>
        <w:shd w:val="clear" w:color="auto" w:fill="auto"/>
        <w:tabs>
          <w:tab w:val="clear" w:pos="426"/>
        </w:tabs>
        <w:ind w:firstLine="424" w:firstLineChars="202"/>
        <w:rPr>
          <w:rFonts w:ascii="Times New Roman" w:hAnsi="Times New Roman" w:cs="Times New Roman"/>
          <w:szCs w:val="21"/>
        </w:rPr>
      </w:pPr>
      <w:r>
        <w:rPr>
          <w:rFonts w:ascii="Times New Roman" w:hAnsi="Times New Roman" w:cs="Times New Roman"/>
          <w:szCs w:val="21"/>
        </w:rPr>
        <w:t>附：法定代表人</w:t>
      </w:r>
      <w:r>
        <w:rPr>
          <w:rFonts w:hint="eastAsia" w:ascii="Times New Roman" w:hAnsi="Times New Roman" w:cs="Times New Roman"/>
        </w:rPr>
        <w:t>（负责人）</w:t>
      </w:r>
      <w:r>
        <w:rPr>
          <w:rFonts w:ascii="Times New Roman" w:hAnsi="Times New Roman" w:cs="Times New Roman"/>
          <w:szCs w:val="21"/>
        </w:rPr>
        <w:t>身份证复印件：</w:t>
      </w:r>
    </w:p>
    <w:p>
      <w:pPr>
        <w:shd w:val="clear" w:color="auto" w:fill="auto"/>
        <w:tabs>
          <w:tab w:val="clear" w:pos="426"/>
        </w:tabs>
        <w:ind w:firstLine="424" w:firstLineChars="202"/>
        <w:rPr>
          <w:rFonts w:ascii="Times New Roman" w:hAnsi="Times New Roman" w:cs="Times New Roman"/>
          <w:szCs w:val="21"/>
        </w:rPr>
      </w:pPr>
    </w:p>
    <w:p>
      <w:pPr>
        <w:shd w:val="clear" w:color="auto" w:fill="auto"/>
        <w:tabs>
          <w:tab w:val="clear" w:pos="426"/>
        </w:tabs>
        <w:ind w:firstLine="424" w:firstLineChars="202"/>
        <w:rPr>
          <w:rFonts w:ascii="Times New Roman" w:hAnsi="Times New Roman" w:cs="Times New Roman"/>
          <w:szCs w:val="21"/>
        </w:rPr>
      </w:pPr>
    </w:p>
    <w:p>
      <w:pPr>
        <w:shd w:val="clear" w:color="auto" w:fill="auto"/>
        <w:tabs>
          <w:tab w:val="clear" w:pos="426"/>
        </w:tabs>
        <w:ind w:firstLine="424" w:firstLineChars="202"/>
        <w:rPr>
          <w:rFonts w:ascii="Times New Roman" w:hAnsi="Times New Roman" w:cs="Times New Roman"/>
          <w:szCs w:val="21"/>
        </w:rPr>
      </w:pPr>
    </w:p>
    <w:p>
      <w:pPr>
        <w:shd w:val="clear" w:color="auto" w:fill="auto"/>
        <w:tabs>
          <w:tab w:val="clear" w:pos="426"/>
        </w:tabs>
        <w:spacing w:line="500" w:lineRule="exact"/>
        <w:ind w:left="3826" w:leftChars="1822" w:firstLine="420"/>
        <w:rPr>
          <w:rFonts w:ascii="Times New Roman" w:hAnsi="Times New Roman" w:cs="Times New Roman"/>
          <w:u w:val="single"/>
        </w:rPr>
      </w:pPr>
      <w:r>
        <w:rPr>
          <w:rFonts w:ascii="Times New Roman" w:hAnsi="Times New Roman" w:cs="Times New Roman"/>
        </w:rPr>
        <w:t>投标人名称（单位盖</w:t>
      </w:r>
      <w:r>
        <w:rPr>
          <w:rFonts w:ascii="Times New Roman" w:hAnsi="Times New Roman" w:cs="Times New Roman"/>
          <w:spacing w:val="4"/>
        </w:rPr>
        <w:t>公章</w:t>
      </w:r>
      <w:r>
        <w:rPr>
          <w:rFonts w:ascii="Times New Roman" w:hAnsi="Times New Roman" w:cs="Times New Roman"/>
        </w:rPr>
        <w:t>）：</w:t>
      </w:r>
      <w:r>
        <w:rPr>
          <w:rFonts w:ascii="Times New Roman" w:hAnsi="Times New Roman" w:cs="Times New Roman"/>
          <w:u w:val="single"/>
        </w:rPr>
        <w:t>_________________</w:t>
      </w:r>
    </w:p>
    <w:p>
      <w:pPr>
        <w:shd w:val="clear" w:color="auto" w:fill="auto"/>
        <w:tabs>
          <w:tab w:val="clear" w:pos="426"/>
        </w:tabs>
        <w:spacing w:line="500" w:lineRule="exact"/>
        <w:ind w:left="3826" w:leftChars="1822" w:firstLine="420"/>
        <w:rPr>
          <w:rFonts w:ascii="Times New Roman" w:hAnsi="Times New Roman" w:cs="Times New Roman"/>
          <w:u w:val="single"/>
        </w:rPr>
      </w:pPr>
      <w:r>
        <w:rPr>
          <w:rFonts w:ascii="Times New Roman" w:hAnsi="Times New Roman" w:cs="Times New Roman"/>
        </w:rPr>
        <w:t>地址：</w:t>
      </w:r>
      <w:r>
        <w:rPr>
          <w:rFonts w:ascii="Times New Roman" w:hAnsi="Times New Roman" w:cs="Times New Roman"/>
          <w:u w:val="single"/>
        </w:rPr>
        <w:t>_____________________________________</w:t>
      </w:r>
    </w:p>
    <w:p>
      <w:pPr>
        <w:shd w:val="clear" w:color="auto" w:fill="auto"/>
        <w:tabs>
          <w:tab w:val="clear" w:pos="426"/>
        </w:tabs>
        <w:spacing w:line="500" w:lineRule="exact"/>
        <w:ind w:left="3826" w:leftChars="1822" w:firstLine="420"/>
        <w:rPr>
          <w:rFonts w:ascii="Times New Roman" w:hAnsi="Times New Roman" w:cs="Times New Roman"/>
          <w:u w:val="single"/>
        </w:rPr>
      </w:pPr>
      <w:r>
        <w:rPr>
          <w:rFonts w:ascii="Times New Roman" w:hAnsi="Times New Roman" w:cs="Times New Roman"/>
        </w:rPr>
        <w:t>签发日期：</w:t>
      </w:r>
      <w:r>
        <w:rPr>
          <w:rFonts w:ascii="Times New Roman" w:hAnsi="Times New Roman" w:cs="Times New Roman"/>
          <w:u w:val="single"/>
        </w:rPr>
        <w:t>_________________________________</w:t>
      </w:r>
    </w:p>
    <w:p>
      <w:pPr>
        <w:shd w:val="clear" w:color="auto" w:fill="auto"/>
        <w:tabs>
          <w:tab w:val="clear" w:pos="426"/>
        </w:tabs>
        <w:spacing w:line="500" w:lineRule="exact"/>
        <w:ind w:left="3826" w:leftChars="1822" w:firstLine="422"/>
        <w:rPr>
          <w:rFonts w:ascii="Times New Roman" w:hAnsi="Times New Roman" w:cs="Times New Roman"/>
          <w:b/>
          <w:bCs/>
          <w:u w:val="single"/>
        </w:rPr>
      </w:pPr>
    </w:p>
    <w:p>
      <w:pPr>
        <w:shd w:val="clear" w:color="auto" w:fill="auto"/>
        <w:tabs>
          <w:tab w:val="clear" w:pos="426"/>
        </w:tabs>
        <w:spacing w:line="500" w:lineRule="exact"/>
        <w:ind w:left="3826" w:leftChars="1822" w:firstLine="422"/>
        <w:rPr>
          <w:rFonts w:ascii="Times New Roman" w:hAnsi="Times New Roman" w:cs="Times New Roman"/>
          <w:b/>
          <w:bCs/>
          <w:u w:val="single"/>
        </w:rPr>
      </w:pPr>
    </w:p>
    <w:p>
      <w:pPr>
        <w:shd w:val="clear" w:color="auto" w:fill="auto"/>
        <w:ind w:firstLine="420"/>
        <w:rPr>
          <w:rFonts w:ascii="Times New Roman" w:hAnsi="Times New Roman" w:cs="Times New Roman"/>
        </w:rPr>
      </w:pPr>
      <w:r>
        <w:rPr>
          <w:rFonts w:ascii="Times New Roman" w:hAnsi="Times New Roman" w:cs="Times New Roman"/>
        </w:rPr>
        <w:br w:type="page"/>
      </w:r>
    </w:p>
    <w:p>
      <w:pPr>
        <w:numPr>
          <w:ilvl w:val="0"/>
          <w:numId w:val="22"/>
        </w:numPr>
        <w:shd w:val="clear" w:color="auto" w:fill="auto"/>
        <w:spacing w:before="280" w:after="290" w:line="377" w:lineRule="auto"/>
        <w:ind w:firstLine="482"/>
        <w:outlineLvl w:val="2"/>
        <w:rPr>
          <w:rFonts w:ascii="Times New Roman" w:hAnsi="Times New Roman" w:cs="Times New Roman"/>
          <w:b/>
          <w:sz w:val="24"/>
        </w:rPr>
      </w:pPr>
      <w:r>
        <w:rPr>
          <w:rFonts w:ascii="Times New Roman" w:hAnsi="Times New Roman" w:cs="Times New Roman"/>
          <w:b/>
          <w:sz w:val="24"/>
        </w:rPr>
        <w:t>投标人基本情况表</w:t>
      </w:r>
    </w:p>
    <w:p>
      <w:pPr>
        <w:widowControl w:val="0"/>
        <w:shd w:val="clear" w:color="auto" w:fill="auto"/>
        <w:tabs>
          <w:tab w:val="clear" w:pos="426"/>
        </w:tabs>
        <w:spacing w:line="300" w:lineRule="auto"/>
        <w:ind w:firstLine="640"/>
        <w:jc w:val="center"/>
        <w:rPr>
          <w:rFonts w:ascii="Times New Roman" w:hAnsi="Times New Roman" w:cs="Times New Roman"/>
          <w:bCs/>
          <w:kern w:val="2"/>
          <w:sz w:val="32"/>
          <w:szCs w:val="32"/>
        </w:rPr>
      </w:pPr>
      <w:r>
        <w:rPr>
          <w:rFonts w:ascii="Times New Roman" w:hAnsi="Times New Roman" w:cs="Times New Roman"/>
          <w:bCs/>
          <w:kern w:val="2"/>
          <w:sz w:val="32"/>
          <w:szCs w:val="32"/>
        </w:rPr>
        <w:t>投标人基本情况表</w:t>
      </w:r>
    </w:p>
    <w:p>
      <w:pPr>
        <w:widowControl w:val="0"/>
        <w:shd w:val="clear" w:color="auto" w:fill="auto"/>
        <w:tabs>
          <w:tab w:val="clear" w:pos="426"/>
        </w:tabs>
        <w:ind w:firstLine="422"/>
        <w:rPr>
          <w:rFonts w:ascii="Times New Roman" w:hAnsi="Times New Roman" w:cs="Times New Roman"/>
          <w:b/>
          <w:szCs w:val="21"/>
        </w:rPr>
      </w:pPr>
      <w:r>
        <w:rPr>
          <w:rFonts w:ascii="Times New Roman" w:hAnsi="Times New Roman" w:cs="Times New Roman"/>
          <w:b/>
          <w:szCs w:val="21"/>
        </w:rPr>
        <w:t>一、公司基本情况</w:t>
      </w:r>
    </w:p>
    <w:p>
      <w:pPr>
        <w:widowControl w:val="0"/>
        <w:numPr>
          <w:ilvl w:val="1"/>
          <w:numId w:val="33"/>
        </w:numPr>
        <w:shd w:val="clear" w:color="auto" w:fill="auto"/>
        <w:tabs>
          <w:tab w:val="clear" w:pos="426"/>
        </w:tabs>
        <w:ind w:left="0" w:firstLine="420"/>
        <w:rPr>
          <w:rFonts w:ascii="Times New Roman" w:hAnsi="Times New Roman" w:cs="Times New Roman"/>
          <w:szCs w:val="21"/>
        </w:rPr>
      </w:pPr>
      <w:r>
        <w:rPr>
          <w:rFonts w:ascii="Times New Roman" w:hAnsi="Times New Roman" w:cs="Times New Roman"/>
          <w:szCs w:val="21"/>
        </w:rPr>
        <w:t>公司名称：</w:t>
      </w:r>
      <w:r>
        <w:rPr>
          <w:rFonts w:ascii="Times New Roman" w:hAnsi="Times New Roman" w:cs="Times New Roman"/>
          <w:szCs w:val="21"/>
          <w:u w:val="single"/>
        </w:rPr>
        <w:t>_____________________________</w:t>
      </w:r>
      <w:r>
        <w:rPr>
          <w:rFonts w:ascii="Times New Roman" w:hAnsi="Times New Roman" w:cs="Times New Roman"/>
          <w:szCs w:val="21"/>
        </w:rPr>
        <w:t xml:space="preserve">  电话号码：</w:t>
      </w:r>
      <w:r>
        <w:rPr>
          <w:rFonts w:ascii="Times New Roman" w:hAnsi="Times New Roman" w:cs="Times New Roman"/>
          <w:szCs w:val="21"/>
          <w:u w:val="single"/>
        </w:rPr>
        <w:t>____________________________</w:t>
      </w:r>
    </w:p>
    <w:p>
      <w:pPr>
        <w:widowControl w:val="0"/>
        <w:numPr>
          <w:ilvl w:val="1"/>
          <w:numId w:val="33"/>
        </w:numPr>
        <w:shd w:val="clear" w:color="auto" w:fill="auto"/>
        <w:tabs>
          <w:tab w:val="clear" w:pos="426"/>
        </w:tabs>
        <w:ind w:left="0" w:firstLine="420"/>
        <w:rPr>
          <w:rFonts w:ascii="Times New Roman" w:hAnsi="Times New Roman" w:cs="Times New Roman"/>
          <w:szCs w:val="21"/>
        </w:rPr>
      </w:pPr>
      <w:r>
        <w:rPr>
          <w:rFonts w:ascii="Times New Roman" w:hAnsi="Times New Roman" w:cs="Times New Roman"/>
          <w:szCs w:val="21"/>
        </w:rPr>
        <w:t>地    址：</w:t>
      </w:r>
      <w:r>
        <w:rPr>
          <w:rFonts w:ascii="Times New Roman" w:hAnsi="Times New Roman" w:cs="Times New Roman"/>
          <w:szCs w:val="21"/>
          <w:u w:val="single"/>
        </w:rPr>
        <w:t>_____________________________</w:t>
      </w:r>
      <w:r>
        <w:rPr>
          <w:rFonts w:ascii="Times New Roman" w:hAnsi="Times New Roman" w:cs="Times New Roman"/>
          <w:szCs w:val="21"/>
        </w:rPr>
        <w:t xml:space="preserve">  传    真：</w:t>
      </w:r>
      <w:r>
        <w:rPr>
          <w:rFonts w:ascii="Times New Roman" w:hAnsi="Times New Roman" w:cs="Times New Roman"/>
          <w:szCs w:val="21"/>
          <w:u w:val="single"/>
        </w:rPr>
        <w:t>____________________________</w:t>
      </w:r>
    </w:p>
    <w:p>
      <w:pPr>
        <w:widowControl w:val="0"/>
        <w:numPr>
          <w:ilvl w:val="1"/>
          <w:numId w:val="33"/>
        </w:numPr>
        <w:shd w:val="clear" w:color="auto" w:fill="auto"/>
        <w:tabs>
          <w:tab w:val="clear" w:pos="426"/>
        </w:tabs>
        <w:ind w:left="0" w:firstLine="420"/>
        <w:rPr>
          <w:rFonts w:ascii="Times New Roman" w:hAnsi="Times New Roman" w:cs="Times New Roman"/>
          <w:szCs w:val="21"/>
          <w:u w:val="single"/>
        </w:rPr>
      </w:pPr>
      <w:r>
        <w:rPr>
          <w:rFonts w:ascii="Times New Roman" w:hAnsi="Times New Roman" w:cs="Times New Roman"/>
          <w:szCs w:val="21"/>
        </w:rPr>
        <w:t>注册资金：</w:t>
      </w:r>
      <w:r>
        <w:rPr>
          <w:rFonts w:ascii="Times New Roman" w:hAnsi="Times New Roman" w:cs="Times New Roman"/>
          <w:szCs w:val="21"/>
          <w:u w:val="single"/>
        </w:rPr>
        <w:t>_____________________________</w:t>
      </w:r>
      <w:r>
        <w:rPr>
          <w:rFonts w:ascii="Times New Roman" w:hAnsi="Times New Roman" w:cs="Times New Roman"/>
          <w:szCs w:val="21"/>
        </w:rPr>
        <w:t xml:space="preserve">  经济性质：</w:t>
      </w:r>
      <w:r>
        <w:rPr>
          <w:rFonts w:ascii="Times New Roman" w:hAnsi="Times New Roman" w:cs="Times New Roman"/>
          <w:szCs w:val="21"/>
          <w:u w:val="single"/>
        </w:rPr>
        <w:t>____________________________</w:t>
      </w:r>
    </w:p>
    <w:p>
      <w:pPr>
        <w:widowControl w:val="0"/>
        <w:numPr>
          <w:ilvl w:val="1"/>
          <w:numId w:val="33"/>
        </w:numPr>
        <w:shd w:val="clear" w:color="auto" w:fill="auto"/>
        <w:tabs>
          <w:tab w:val="clear" w:pos="426"/>
        </w:tabs>
        <w:ind w:left="0" w:firstLine="420"/>
        <w:rPr>
          <w:rFonts w:ascii="Times New Roman" w:hAnsi="Times New Roman" w:cs="Times New Roman"/>
          <w:szCs w:val="21"/>
        </w:rPr>
      </w:pPr>
      <w:r>
        <w:rPr>
          <w:rFonts w:ascii="Times New Roman" w:hAnsi="Times New Roman" w:cs="Times New Roman"/>
          <w:szCs w:val="21"/>
        </w:rPr>
        <w:t>公司开户银行名称及账号：</w:t>
      </w:r>
      <w:r>
        <w:rPr>
          <w:rFonts w:ascii="Times New Roman" w:hAnsi="Times New Roman" w:cs="Times New Roman"/>
          <w:szCs w:val="21"/>
          <w:u w:val="single"/>
        </w:rPr>
        <w:t>____________________________________________________</w:t>
      </w:r>
    </w:p>
    <w:p>
      <w:pPr>
        <w:widowControl w:val="0"/>
        <w:numPr>
          <w:ilvl w:val="1"/>
          <w:numId w:val="33"/>
        </w:numPr>
        <w:shd w:val="clear" w:color="auto" w:fill="auto"/>
        <w:tabs>
          <w:tab w:val="clear" w:pos="426"/>
        </w:tabs>
        <w:ind w:left="0" w:firstLine="420"/>
        <w:rPr>
          <w:rFonts w:ascii="Times New Roman" w:hAnsi="Times New Roman" w:cs="Times New Roman"/>
          <w:szCs w:val="21"/>
        </w:rPr>
      </w:pPr>
      <w:r>
        <w:rPr>
          <w:rFonts w:ascii="Times New Roman" w:hAnsi="Times New Roman" w:cs="Times New Roman"/>
          <w:szCs w:val="21"/>
        </w:rPr>
        <w:t>营业注册执照号：</w:t>
      </w:r>
      <w:r>
        <w:rPr>
          <w:rFonts w:ascii="Times New Roman" w:hAnsi="Times New Roman" w:cs="Times New Roman"/>
          <w:szCs w:val="21"/>
          <w:u w:val="single"/>
        </w:rPr>
        <w:t>____________________________________________________________</w:t>
      </w:r>
    </w:p>
    <w:p>
      <w:pPr>
        <w:widowControl w:val="0"/>
        <w:numPr>
          <w:ilvl w:val="1"/>
          <w:numId w:val="33"/>
        </w:numPr>
        <w:shd w:val="clear" w:color="auto" w:fill="auto"/>
        <w:tabs>
          <w:tab w:val="clear" w:pos="426"/>
        </w:tabs>
        <w:ind w:left="0" w:firstLine="420"/>
        <w:rPr>
          <w:rFonts w:ascii="Times New Roman" w:hAnsi="Times New Roman" w:cs="Times New Roman"/>
          <w:szCs w:val="21"/>
        </w:rPr>
      </w:pPr>
      <w:r>
        <w:rPr>
          <w:rFonts w:ascii="Times New Roman" w:hAnsi="Times New Roman" w:cs="Times New Roman"/>
          <w:szCs w:val="21"/>
        </w:rPr>
        <w:t>公司简介</w:t>
      </w:r>
    </w:p>
    <w:p>
      <w:pPr>
        <w:shd w:val="clear" w:color="auto" w:fill="auto"/>
        <w:tabs>
          <w:tab w:val="clear" w:pos="426"/>
        </w:tabs>
        <w:ind w:firstLine="420"/>
        <w:rPr>
          <w:rFonts w:ascii="Times New Roman" w:hAnsi="Times New Roman" w:cs="Times New Roman"/>
        </w:rPr>
      </w:pPr>
      <w:r>
        <w:rPr>
          <w:rFonts w:ascii="Times New Roman" w:hAnsi="Times New Roman" w:cs="Times New Roman"/>
        </w:rPr>
        <w:t>文字描述：</w:t>
      </w:r>
      <w:r>
        <w:rPr>
          <w:rFonts w:ascii="Times New Roman" w:hAnsi="Times New Roman" w:cs="Times New Roman"/>
          <w:bCs/>
          <w:szCs w:val="21"/>
          <w:lang w:val="en-GB"/>
        </w:rPr>
        <w:t>发展历程、经营规模及服务理念</w:t>
      </w:r>
      <w:r>
        <w:rPr>
          <w:rFonts w:ascii="Times New Roman" w:hAnsi="Times New Roman" w:cs="Times New Roman"/>
        </w:rPr>
        <w:t>、技术力量、财务状况、管理水平等方面进行阐述；</w:t>
      </w:r>
    </w:p>
    <w:p>
      <w:pPr>
        <w:shd w:val="clear" w:color="auto" w:fill="auto"/>
        <w:tabs>
          <w:tab w:val="clear" w:pos="426"/>
        </w:tabs>
        <w:ind w:firstLine="420"/>
        <w:rPr>
          <w:rFonts w:ascii="Times New Roman" w:hAnsi="Times New Roman" w:cs="Times New Roman"/>
          <w:szCs w:val="21"/>
        </w:rPr>
      </w:pPr>
      <w:r>
        <w:rPr>
          <w:rFonts w:ascii="Times New Roman" w:hAnsi="Times New Roman" w:cs="Times New Roman"/>
        </w:rPr>
        <w:t>图片描述：</w:t>
      </w:r>
      <w:r>
        <w:rPr>
          <w:rFonts w:ascii="Times New Roman" w:hAnsi="Times New Roman" w:cs="Times New Roman"/>
          <w:bCs/>
          <w:szCs w:val="21"/>
          <w:lang w:val="en-GB"/>
        </w:rPr>
        <w:t>经营场所、主要或关键产品介绍、生产场所及服务流程等。</w:t>
      </w:r>
    </w:p>
    <w:p>
      <w:pPr>
        <w:widowControl w:val="0"/>
        <w:shd w:val="clear" w:color="auto" w:fill="auto"/>
        <w:tabs>
          <w:tab w:val="clear" w:pos="426"/>
        </w:tabs>
        <w:ind w:firstLine="422"/>
        <w:rPr>
          <w:rFonts w:ascii="Times New Roman" w:hAnsi="Times New Roman" w:cs="Times New Roman"/>
          <w:b/>
          <w:szCs w:val="21"/>
        </w:rPr>
      </w:pPr>
      <w:r>
        <w:rPr>
          <w:rFonts w:ascii="Times New Roman" w:hAnsi="Times New Roman" w:cs="Times New Roman"/>
          <w:b/>
          <w:szCs w:val="21"/>
        </w:rPr>
        <w:t>二、供应商资格证明文件</w:t>
      </w:r>
    </w:p>
    <w:p>
      <w:pPr>
        <w:shd w:val="clear" w:color="auto" w:fill="auto"/>
        <w:tabs>
          <w:tab w:val="clear" w:pos="426"/>
        </w:tabs>
        <w:spacing w:before="120" w:beforeLines="50"/>
        <w:ind w:firstLine="424" w:firstLineChars="201"/>
        <w:rPr>
          <w:rFonts w:ascii="Times New Roman" w:hAnsi="Times New Roman" w:cs="Times New Roman"/>
          <w:b/>
          <w:color w:val="FF0000"/>
        </w:rPr>
      </w:pPr>
      <w:r>
        <w:rPr>
          <w:rFonts w:ascii="Times New Roman" w:hAnsi="Times New Roman" w:cs="Times New Roman"/>
          <w:b/>
          <w:color w:val="FF0000"/>
        </w:rPr>
        <w:t>投标人须按本招标文件第一章采购公告第二条“</w:t>
      </w:r>
      <w:r>
        <w:rPr>
          <w:rFonts w:hint="eastAsia" w:ascii="Times New Roman" w:hAnsi="Times New Roman" w:cs="Times New Roman"/>
          <w:b/>
          <w:color w:val="FF0000"/>
        </w:rPr>
        <w:t>申请人的资格要求</w:t>
      </w:r>
      <w:r>
        <w:rPr>
          <w:rFonts w:ascii="Times New Roman" w:hAnsi="Times New Roman" w:cs="Times New Roman"/>
          <w:b/>
          <w:color w:val="FF0000"/>
        </w:rPr>
        <w:t>”提供相关的资质证明，且已接受报名的单位，不代表资格审查通过。投标文件中未提供或提供不完整、不符合要求的，投标文件将按无效标的情形处理。</w:t>
      </w:r>
    </w:p>
    <w:p>
      <w:pPr>
        <w:widowControl w:val="0"/>
        <w:shd w:val="clear" w:color="auto" w:fill="auto"/>
        <w:tabs>
          <w:tab w:val="clear" w:pos="426"/>
        </w:tabs>
        <w:ind w:firstLine="422"/>
        <w:rPr>
          <w:rFonts w:ascii="Times New Roman" w:hAnsi="Times New Roman" w:cs="Times New Roman"/>
          <w:b/>
          <w:szCs w:val="21"/>
        </w:rPr>
      </w:pPr>
      <w:r>
        <w:rPr>
          <w:rFonts w:ascii="Times New Roman" w:hAnsi="Times New Roman" w:cs="Times New Roman"/>
          <w:b/>
          <w:szCs w:val="21"/>
        </w:rPr>
        <w:t>三、如联合体投标，投标人还必须提供《联合体投标协议》（格式自定）。</w:t>
      </w:r>
    </w:p>
    <w:p>
      <w:pPr>
        <w:shd w:val="clear" w:color="auto" w:fill="auto"/>
        <w:tabs>
          <w:tab w:val="clear" w:pos="426"/>
        </w:tabs>
        <w:spacing w:line="500" w:lineRule="exact"/>
        <w:ind w:left="424" w:leftChars="202" w:firstLine="436"/>
        <w:rPr>
          <w:rFonts w:ascii="Times New Roman" w:hAnsi="Times New Roman" w:cs="Times New Roman"/>
          <w:spacing w:val="4"/>
        </w:rPr>
      </w:pPr>
    </w:p>
    <w:p>
      <w:pPr>
        <w:shd w:val="clear" w:color="auto" w:fill="auto"/>
        <w:tabs>
          <w:tab w:val="clear" w:pos="426"/>
        </w:tabs>
        <w:spacing w:line="500" w:lineRule="exact"/>
        <w:ind w:left="424" w:leftChars="202" w:firstLine="436"/>
        <w:rPr>
          <w:rFonts w:ascii="Times New Roman" w:hAnsi="Times New Roman" w:cs="Times New Roman"/>
          <w:spacing w:val="4"/>
        </w:rPr>
      </w:pPr>
    </w:p>
    <w:p>
      <w:pPr>
        <w:shd w:val="clear" w:color="auto" w:fill="auto"/>
        <w:tabs>
          <w:tab w:val="clear" w:pos="426"/>
        </w:tabs>
        <w:adjustRightInd/>
        <w:snapToGrid/>
        <w:spacing w:line="240" w:lineRule="auto"/>
        <w:ind w:firstLine="436"/>
        <w:jc w:val="left"/>
        <w:rPr>
          <w:rFonts w:ascii="Times New Roman" w:hAnsi="Times New Roman" w:cs="Times New Roman"/>
          <w:spacing w:val="4"/>
        </w:rPr>
      </w:pPr>
      <w:r>
        <w:rPr>
          <w:rFonts w:ascii="Times New Roman" w:hAnsi="Times New Roman" w:cs="Times New Roman"/>
          <w:spacing w:val="4"/>
        </w:rPr>
        <w:br w:type="page"/>
      </w:r>
    </w:p>
    <w:p>
      <w:pPr>
        <w:numPr>
          <w:ilvl w:val="0"/>
          <w:numId w:val="22"/>
        </w:numPr>
        <w:shd w:val="clear" w:color="auto" w:fill="auto"/>
        <w:spacing w:before="280" w:after="290" w:line="377" w:lineRule="auto"/>
        <w:ind w:firstLine="482"/>
        <w:outlineLvl w:val="2"/>
        <w:rPr>
          <w:rFonts w:ascii="Times New Roman" w:hAnsi="Times New Roman" w:cs="Times New Roman"/>
          <w:b/>
          <w:sz w:val="24"/>
        </w:rPr>
      </w:pPr>
      <w:r>
        <w:rPr>
          <w:rFonts w:ascii="Times New Roman" w:hAnsi="Times New Roman" w:cs="Times New Roman"/>
          <w:b/>
          <w:sz w:val="24"/>
        </w:rPr>
        <w:t>开标一览表(报价表)</w:t>
      </w:r>
    </w:p>
    <w:p>
      <w:pPr>
        <w:widowControl w:val="0"/>
        <w:shd w:val="clear" w:color="auto" w:fill="auto"/>
        <w:tabs>
          <w:tab w:val="clear" w:pos="426"/>
        </w:tabs>
        <w:spacing w:line="300" w:lineRule="auto"/>
        <w:ind w:firstLine="640"/>
        <w:jc w:val="center"/>
        <w:rPr>
          <w:rFonts w:ascii="Times New Roman" w:hAnsi="Times New Roman" w:cs="Times New Roman"/>
          <w:bCs/>
          <w:kern w:val="2"/>
          <w:sz w:val="32"/>
          <w:szCs w:val="32"/>
        </w:rPr>
      </w:pPr>
      <w:r>
        <w:rPr>
          <w:rFonts w:ascii="Times New Roman" w:hAnsi="Times New Roman" w:cs="Times New Roman"/>
          <w:bCs/>
          <w:kern w:val="2"/>
          <w:sz w:val="32"/>
          <w:szCs w:val="32"/>
        </w:rPr>
        <w:t>开标一览表(报价表)</w:t>
      </w:r>
    </w:p>
    <w:p>
      <w:pPr>
        <w:shd w:val="clear" w:color="auto" w:fill="auto"/>
        <w:tabs>
          <w:tab w:val="clear" w:pos="426"/>
        </w:tabs>
        <w:ind w:firstLine="420"/>
        <w:jc w:val="left"/>
        <w:rPr>
          <w:rFonts w:ascii="Times New Roman" w:hAnsi="Times New Roman" w:cs="Times New Roman"/>
        </w:rPr>
      </w:pPr>
    </w:p>
    <w:p>
      <w:pPr>
        <w:shd w:val="clear" w:color="auto" w:fill="auto"/>
        <w:tabs>
          <w:tab w:val="clear" w:pos="426"/>
        </w:tabs>
        <w:ind w:firstLine="420"/>
        <w:jc w:val="left"/>
        <w:rPr>
          <w:rFonts w:ascii="Times New Roman" w:hAnsi="Times New Roman" w:cs="Times New Roman"/>
          <w:sz w:val="24"/>
          <w:u w:val="single"/>
        </w:rPr>
      </w:pPr>
      <w:r>
        <w:rPr>
          <w:rFonts w:ascii="Times New Roman" w:hAnsi="Times New Roman" w:cs="Times New Roman"/>
        </w:rPr>
        <w:t>项目名称：</w:t>
      </w:r>
      <w:r>
        <w:rPr>
          <w:rFonts w:ascii="Times New Roman" w:hAnsi="Times New Roman" w:cs="Times New Roman"/>
          <w:u w:val="single"/>
        </w:rPr>
        <w:t>_____________________________</w:t>
      </w:r>
      <w:r>
        <w:rPr>
          <w:rFonts w:ascii="Times New Roman" w:hAnsi="Times New Roman" w:cs="Times New Roman"/>
        </w:rPr>
        <w:t>招标项目编号：</w:t>
      </w:r>
      <w:r>
        <w:rPr>
          <w:rFonts w:ascii="Times New Roman" w:hAnsi="Times New Roman" w:cs="Times New Roman"/>
          <w:u w:val="single"/>
        </w:rPr>
        <w:t>_______________________</w:t>
      </w:r>
    </w:p>
    <w:tbl>
      <w:tblPr>
        <w:tblStyle w:val="4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0"/>
        <w:gridCol w:w="4362"/>
        <w:gridCol w:w="1869"/>
        <w:gridCol w:w="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94" w:type="pct"/>
            <w:shd w:val="clear" w:color="auto" w:fill="auto"/>
            <w:vAlign w:val="center"/>
          </w:tcPr>
          <w:p>
            <w:pPr>
              <w:shd w:val="clear" w:color="auto" w:fill="auto"/>
              <w:jc w:val="center"/>
              <w:rPr>
                <w:b/>
                <w:bCs/>
              </w:rPr>
            </w:pPr>
            <w:r>
              <w:rPr>
                <w:b/>
                <w:bCs/>
              </w:rPr>
              <w:t>序号</w:t>
            </w:r>
          </w:p>
        </w:tc>
        <w:tc>
          <w:tcPr>
            <w:tcW w:w="2422" w:type="pct"/>
            <w:shd w:val="clear" w:color="auto" w:fill="auto"/>
            <w:vAlign w:val="center"/>
          </w:tcPr>
          <w:p>
            <w:pPr>
              <w:shd w:val="clear" w:color="auto" w:fill="auto"/>
              <w:jc w:val="center"/>
              <w:rPr>
                <w:b/>
                <w:bCs/>
              </w:rPr>
            </w:pPr>
            <w:r>
              <w:rPr>
                <w:b/>
                <w:bCs/>
              </w:rPr>
              <w:t>项目名称</w:t>
            </w:r>
          </w:p>
        </w:tc>
        <w:tc>
          <w:tcPr>
            <w:tcW w:w="1038" w:type="pct"/>
            <w:shd w:val="clear" w:color="auto" w:fill="auto"/>
            <w:vAlign w:val="center"/>
          </w:tcPr>
          <w:p>
            <w:pPr>
              <w:shd w:val="clear" w:color="auto" w:fill="auto"/>
              <w:jc w:val="center"/>
              <w:rPr>
                <w:b/>
                <w:bCs/>
              </w:rPr>
            </w:pPr>
            <w:r>
              <w:rPr>
                <w:b/>
                <w:bCs/>
              </w:rPr>
              <w:t>投标总价</w:t>
            </w:r>
            <w:r>
              <w:rPr>
                <w:rFonts w:hint="eastAsia"/>
                <w:b/>
                <w:bCs/>
              </w:rPr>
              <w:t>（元）</w:t>
            </w:r>
          </w:p>
        </w:tc>
        <w:tc>
          <w:tcPr>
            <w:tcW w:w="546" w:type="pct"/>
            <w:shd w:val="clear" w:color="auto" w:fill="auto"/>
            <w:vAlign w:val="center"/>
          </w:tcPr>
          <w:p>
            <w:pPr>
              <w:shd w:val="clear" w:color="auto" w:fill="auto"/>
              <w:jc w:val="center"/>
              <w:rPr>
                <w:b/>
                <w:bCs/>
              </w:rPr>
            </w:pPr>
            <w:r>
              <w:rPr>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994" w:type="pct"/>
            <w:shd w:val="clear" w:color="auto" w:fill="auto"/>
            <w:vAlign w:val="center"/>
          </w:tcPr>
          <w:p>
            <w:pPr>
              <w:shd w:val="clear" w:color="auto" w:fill="auto"/>
            </w:pPr>
          </w:p>
        </w:tc>
        <w:tc>
          <w:tcPr>
            <w:tcW w:w="2422" w:type="pct"/>
            <w:shd w:val="clear" w:color="auto" w:fill="auto"/>
            <w:vAlign w:val="center"/>
          </w:tcPr>
          <w:p>
            <w:pPr>
              <w:shd w:val="clear" w:color="auto" w:fill="auto"/>
            </w:pPr>
          </w:p>
        </w:tc>
        <w:tc>
          <w:tcPr>
            <w:tcW w:w="1038" w:type="pct"/>
            <w:shd w:val="clear" w:color="auto" w:fill="auto"/>
            <w:vAlign w:val="center"/>
          </w:tcPr>
          <w:p>
            <w:pPr>
              <w:shd w:val="clear" w:color="auto" w:fill="auto"/>
            </w:pPr>
          </w:p>
        </w:tc>
        <w:tc>
          <w:tcPr>
            <w:tcW w:w="546" w:type="pct"/>
            <w:shd w:val="clear" w:color="auto" w:fill="auto"/>
            <w:vAlign w:val="center"/>
          </w:tcPr>
          <w:p>
            <w:pPr>
              <w:shd w:val="clear" w:color="auto" w:fill="auto"/>
            </w:pPr>
          </w:p>
        </w:tc>
      </w:tr>
    </w:tbl>
    <w:p>
      <w:pPr>
        <w:shd w:val="clear" w:color="auto" w:fill="auto"/>
        <w:tabs>
          <w:tab w:val="clear" w:pos="426"/>
        </w:tabs>
        <w:spacing w:line="500" w:lineRule="exact"/>
        <w:ind w:firstLine="436"/>
        <w:rPr>
          <w:rFonts w:ascii="Times New Roman" w:hAnsi="Times New Roman" w:cs="Times New Roman"/>
          <w:spacing w:val="4"/>
        </w:rPr>
      </w:pPr>
    </w:p>
    <w:p>
      <w:pPr>
        <w:shd w:val="clear" w:color="auto" w:fill="auto"/>
        <w:tabs>
          <w:tab w:val="clear" w:pos="426"/>
        </w:tabs>
        <w:spacing w:line="500" w:lineRule="exact"/>
        <w:ind w:firstLine="436"/>
        <w:rPr>
          <w:rFonts w:ascii="Times New Roman" w:hAnsi="Times New Roman" w:cs="Times New Roman"/>
          <w:u w:val="single"/>
        </w:rPr>
      </w:pPr>
      <w:r>
        <w:rPr>
          <w:rFonts w:ascii="Times New Roman" w:hAnsi="Times New Roman" w:cs="Times New Roman"/>
          <w:spacing w:val="4"/>
        </w:rPr>
        <w:t>投标人名称（</w:t>
      </w:r>
      <w:r>
        <w:rPr>
          <w:rFonts w:ascii="Times New Roman" w:hAnsi="Times New Roman" w:cs="Times New Roman"/>
        </w:rPr>
        <w:t>单位盖</w:t>
      </w:r>
      <w:r>
        <w:rPr>
          <w:rFonts w:ascii="Times New Roman" w:hAnsi="Times New Roman" w:cs="Times New Roman"/>
          <w:spacing w:val="4"/>
        </w:rPr>
        <w:t>公章）：</w:t>
      </w:r>
      <w:r>
        <w:rPr>
          <w:rFonts w:ascii="Times New Roman" w:hAnsi="Times New Roman" w:cs="Times New Roman"/>
          <w:spacing w:val="4"/>
          <w:u w:val="single"/>
        </w:rPr>
        <w:t>______________________________________________</w:t>
      </w:r>
    </w:p>
    <w:p>
      <w:pPr>
        <w:shd w:val="clear" w:color="auto" w:fill="auto"/>
        <w:tabs>
          <w:tab w:val="clear" w:pos="426"/>
        </w:tabs>
        <w:spacing w:line="520" w:lineRule="exact"/>
        <w:ind w:firstLine="420"/>
        <w:rPr>
          <w:rFonts w:ascii="Times New Roman" w:hAnsi="Times New Roman" w:cs="Times New Roman"/>
          <w:spacing w:val="4"/>
        </w:rPr>
      </w:pPr>
      <w:r>
        <w:rPr>
          <w:rFonts w:ascii="Times New Roman" w:hAnsi="Times New Roman" w:cs="Times New Roman"/>
        </w:rPr>
        <w:t>法定代表人或投标人授权代表（签名或盖章）：</w:t>
      </w:r>
      <w:r>
        <w:rPr>
          <w:rFonts w:ascii="Times New Roman" w:hAnsi="Times New Roman" w:cs="Times New Roman"/>
          <w:spacing w:val="4"/>
          <w:u w:val="single"/>
        </w:rPr>
        <w:t>___________</w:t>
      </w:r>
      <w:r>
        <w:rPr>
          <w:rFonts w:ascii="Times New Roman" w:hAnsi="Times New Roman" w:cs="Times New Roman"/>
          <w:spacing w:val="4"/>
        </w:rPr>
        <w:t xml:space="preserve"> 职务：</w:t>
      </w:r>
      <w:r>
        <w:rPr>
          <w:rFonts w:ascii="Times New Roman" w:hAnsi="Times New Roman" w:cs="Times New Roman"/>
          <w:spacing w:val="4"/>
          <w:u w:val="single"/>
        </w:rPr>
        <w:t>_______</w:t>
      </w:r>
      <w:r>
        <w:rPr>
          <w:rFonts w:ascii="Times New Roman" w:hAnsi="Times New Roman" w:cs="Times New Roman"/>
          <w:spacing w:val="4"/>
        </w:rPr>
        <w:t xml:space="preserve"> 日期</w:t>
      </w:r>
      <w:r>
        <w:rPr>
          <w:rFonts w:hint="eastAsia" w:ascii="Times New Roman" w:hAnsi="Times New Roman" w:cs="Times New Roman"/>
          <w:spacing w:val="4"/>
        </w:rPr>
        <w:t>：</w:t>
      </w:r>
      <w:r>
        <w:rPr>
          <w:rFonts w:ascii="Times New Roman" w:hAnsi="Times New Roman" w:cs="Times New Roman"/>
          <w:spacing w:val="4"/>
          <w:u w:val="single"/>
        </w:rPr>
        <w:t>________</w:t>
      </w:r>
    </w:p>
    <w:p>
      <w:pPr>
        <w:shd w:val="clear" w:color="auto" w:fill="auto"/>
        <w:tabs>
          <w:tab w:val="clear" w:pos="426"/>
        </w:tabs>
        <w:spacing w:line="400" w:lineRule="exact"/>
        <w:ind w:firstLine="422"/>
        <w:rPr>
          <w:rFonts w:ascii="Times New Roman" w:hAnsi="Times New Roman" w:cs="Times New Roman"/>
          <w:b/>
          <w:bCs/>
          <w:szCs w:val="21"/>
        </w:rPr>
      </w:pPr>
    </w:p>
    <w:p>
      <w:pPr>
        <w:shd w:val="clear" w:color="auto" w:fill="auto"/>
        <w:tabs>
          <w:tab w:val="clear" w:pos="426"/>
        </w:tabs>
        <w:spacing w:line="400" w:lineRule="exact"/>
        <w:ind w:firstLine="422"/>
        <w:rPr>
          <w:rFonts w:ascii="Times New Roman" w:hAnsi="Times New Roman" w:cs="Times New Roman"/>
          <w:b/>
          <w:bCs/>
          <w:szCs w:val="21"/>
        </w:rPr>
      </w:pPr>
      <w:r>
        <w:rPr>
          <w:rFonts w:ascii="Times New Roman" w:hAnsi="Times New Roman" w:cs="Times New Roman"/>
          <w:b/>
          <w:bCs/>
          <w:szCs w:val="21"/>
        </w:rPr>
        <w:t>备注：</w:t>
      </w:r>
    </w:p>
    <w:p>
      <w:pPr>
        <w:widowControl w:val="0"/>
        <w:numPr>
          <w:ilvl w:val="1"/>
          <w:numId w:val="34"/>
        </w:numPr>
        <w:shd w:val="clear" w:color="auto" w:fill="auto"/>
        <w:tabs>
          <w:tab w:val="clear" w:pos="426"/>
        </w:tabs>
        <w:ind w:left="0" w:firstLine="424" w:firstLineChars="201"/>
        <w:rPr>
          <w:rFonts w:ascii="Times New Roman" w:hAnsi="Times New Roman" w:cs="Times New Roman"/>
          <w:b/>
          <w:bCs/>
          <w:szCs w:val="21"/>
        </w:rPr>
      </w:pPr>
      <w:r>
        <w:rPr>
          <w:rFonts w:ascii="Times New Roman" w:hAnsi="Times New Roman" w:cs="Times New Roman"/>
          <w:b/>
        </w:rPr>
        <w:t>此表为投标文件的组成部分，须附在正、副本的投标文件中，并另封装一份于开标信封中（信封中须同时提供法定代表人证明书、法定代表人授权委托书、被授权人身份证复印件）。</w:t>
      </w:r>
    </w:p>
    <w:p>
      <w:pPr>
        <w:widowControl w:val="0"/>
        <w:numPr>
          <w:ilvl w:val="1"/>
          <w:numId w:val="34"/>
        </w:numPr>
        <w:shd w:val="clear" w:color="auto" w:fill="auto"/>
        <w:tabs>
          <w:tab w:val="clear" w:pos="426"/>
        </w:tabs>
        <w:ind w:left="0" w:firstLine="424" w:firstLineChars="201"/>
        <w:rPr>
          <w:rFonts w:ascii="Times New Roman" w:hAnsi="Times New Roman" w:cs="Times New Roman"/>
          <w:b/>
          <w:bCs/>
          <w:szCs w:val="21"/>
        </w:rPr>
      </w:pPr>
      <w:r>
        <w:rPr>
          <w:rFonts w:ascii="Times New Roman" w:hAnsi="Times New Roman" w:cs="Times New Roman"/>
          <w:b/>
        </w:rPr>
        <w:t>此表内投标报价为最终价，开标信封及投标文件内不得含有任何对本报价进行修改的其他说明或资料，否则为无效投标</w:t>
      </w:r>
      <w:r>
        <w:rPr>
          <w:rFonts w:ascii="Times New Roman" w:hAnsi="Times New Roman" w:cs="Times New Roman"/>
          <w:b/>
          <w:bCs/>
          <w:szCs w:val="21"/>
        </w:rPr>
        <w:t>。</w:t>
      </w:r>
    </w:p>
    <w:p>
      <w:pPr>
        <w:widowControl w:val="0"/>
        <w:numPr>
          <w:ilvl w:val="1"/>
          <w:numId w:val="34"/>
        </w:numPr>
        <w:shd w:val="clear" w:color="auto" w:fill="auto"/>
        <w:tabs>
          <w:tab w:val="clear" w:pos="426"/>
        </w:tabs>
        <w:ind w:left="0" w:firstLine="424" w:firstLineChars="201"/>
        <w:rPr>
          <w:rFonts w:ascii="Times New Roman" w:hAnsi="Times New Roman" w:cs="Times New Roman"/>
          <w:b/>
        </w:rPr>
      </w:pPr>
      <w:r>
        <w:rPr>
          <w:rFonts w:ascii="Times New Roman" w:hAnsi="Times New Roman" w:cs="Times New Roman"/>
          <w:b/>
        </w:rPr>
        <w:t>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val="0"/>
        <w:shd w:val="clear" w:color="auto" w:fill="auto"/>
        <w:tabs>
          <w:tab w:val="clear" w:pos="426"/>
        </w:tabs>
        <w:ind w:firstLine="422"/>
        <w:rPr>
          <w:rFonts w:ascii="Times New Roman" w:hAnsi="Times New Roman" w:cs="Times New Roman"/>
          <w:b/>
          <w:bCs/>
          <w:szCs w:val="21"/>
        </w:rPr>
      </w:pPr>
    </w:p>
    <w:p>
      <w:pPr>
        <w:widowControl w:val="0"/>
        <w:shd w:val="clear" w:color="auto" w:fill="auto"/>
        <w:tabs>
          <w:tab w:val="clear" w:pos="426"/>
        </w:tabs>
        <w:ind w:firstLine="422"/>
        <w:rPr>
          <w:rFonts w:ascii="Times New Roman" w:hAnsi="Times New Roman" w:cs="Times New Roman"/>
          <w:b/>
          <w:bCs/>
          <w:szCs w:val="21"/>
        </w:rPr>
      </w:pPr>
    </w:p>
    <w:p>
      <w:pPr>
        <w:widowControl w:val="0"/>
        <w:shd w:val="clear" w:color="auto" w:fill="auto"/>
        <w:tabs>
          <w:tab w:val="clear" w:pos="426"/>
        </w:tabs>
        <w:ind w:firstLine="422"/>
        <w:rPr>
          <w:rFonts w:ascii="Times New Roman" w:hAnsi="Times New Roman" w:cs="Times New Roman"/>
          <w:b/>
          <w:bCs/>
          <w:szCs w:val="21"/>
        </w:rPr>
      </w:pPr>
    </w:p>
    <w:p>
      <w:pPr>
        <w:shd w:val="clear" w:color="auto" w:fill="auto"/>
        <w:tabs>
          <w:tab w:val="clear" w:pos="426"/>
        </w:tabs>
        <w:adjustRightInd/>
        <w:snapToGrid/>
        <w:spacing w:line="240" w:lineRule="auto"/>
        <w:ind w:firstLine="422"/>
        <w:jc w:val="left"/>
        <w:rPr>
          <w:rFonts w:ascii="Times New Roman" w:hAnsi="Times New Roman" w:cs="Times New Roman"/>
          <w:b/>
          <w:bCs/>
          <w:szCs w:val="21"/>
        </w:rPr>
      </w:pPr>
      <w:r>
        <w:rPr>
          <w:rFonts w:ascii="Times New Roman" w:hAnsi="Times New Roman" w:cs="Times New Roman"/>
          <w:b/>
          <w:bCs/>
          <w:szCs w:val="21"/>
        </w:rPr>
        <w:br w:type="page"/>
      </w:r>
    </w:p>
    <w:p>
      <w:pPr>
        <w:numPr>
          <w:ilvl w:val="0"/>
          <w:numId w:val="22"/>
        </w:numPr>
        <w:shd w:val="clear" w:color="auto" w:fill="auto"/>
        <w:spacing w:before="280" w:after="290" w:line="377" w:lineRule="auto"/>
        <w:ind w:firstLine="482"/>
        <w:outlineLvl w:val="2"/>
        <w:rPr>
          <w:rFonts w:ascii="Times New Roman" w:hAnsi="Times New Roman" w:cs="Times New Roman"/>
          <w:b/>
          <w:sz w:val="24"/>
        </w:rPr>
      </w:pPr>
      <w:r>
        <w:rPr>
          <w:rFonts w:ascii="Times New Roman" w:hAnsi="Times New Roman" w:cs="Times New Roman"/>
          <w:b/>
          <w:sz w:val="24"/>
        </w:rPr>
        <w:t>投标分项报价表</w:t>
      </w:r>
    </w:p>
    <w:p>
      <w:pPr>
        <w:shd w:val="clear" w:color="auto" w:fill="auto"/>
        <w:spacing w:line="300" w:lineRule="auto"/>
        <w:ind w:firstLine="640"/>
        <w:jc w:val="center"/>
        <w:rPr>
          <w:rFonts w:ascii="Times New Roman" w:hAnsi="Times New Roman" w:cs="Times New Roman"/>
          <w:bCs/>
          <w:sz w:val="32"/>
          <w:szCs w:val="32"/>
        </w:rPr>
      </w:pPr>
      <w:bookmarkStart w:id="34" w:name="_Toc192662843"/>
      <w:bookmarkStart w:id="35" w:name="_Toc480789480"/>
      <w:bookmarkStart w:id="36" w:name="_Toc275865611"/>
      <w:bookmarkStart w:id="37" w:name="_Toc480754209"/>
      <w:bookmarkStart w:id="38" w:name="_Toc480756076"/>
      <w:bookmarkStart w:id="39" w:name="_Toc480755930"/>
      <w:r>
        <w:rPr>
          <w:rFonts w:ascii="Times New Roman" w:hAnsi="Times New Roman" w:cs="Times New Roman"/>
          <w:bCs/>
          <w:sz w:val="32"/>
          <w:szCs w:val="32"/>
        </w:rPr>
        <w:t>投标分项报价表</w:t>
      </w:r>
      <w:bookmarkEnd w:id="34"/>
      <w:bookmarkEnd w:id="35"/>
      <w:bookmarkEnd w:id="36"/>
      <w:bookmarkEnd w:id="37"/>
      <w:bookmarkEnd w:id="38"/>
      <w:bookmarkEnd w:id="39"/>
    </w:p>
    <w:p>
      <w:pPr>
        <w:shd w:val="clear" w:color="auto" w:fill="auto"/>
        <w:rPr>
          <w:rFonts w:ascii="Times New Roman" w:hAnsi="Times New Roman" w:cs="Times New Roman"/>
        </w:rPr>
      </w:pPr>
    </w:p>
    <w:p>
      <w:pPr>
        <w:shd w:val="clear" w:color="auto" w:fill="auto"/>
        <w:rPr>
          <w:rFonts w:ascii="Times New Roman" w:hAnsi="Times New Roman" w:cs="Times New Roman"/>
        </w:rPr>
      </w:pPr>
      <w:r>
        <w:rPr>
          <w:rFonts w:ascii="Times New Roman" w:hAnsi="Times New Roman" w:cs="Times New Roman"/>
        </w:rPr>
        <w:t>项目名称：</w:t>
      </w:r>
      <w:r>
        <w:rPr>
          <w:rFonts w:ascii="Times New Roman" w:hAnsi="Times New Roman" w:cs="Times New Roman"/>
          <w:u w:val="single"/>
        </w:rPr>
        <w:t>______________________________________</w:t>
      </w:r>
      <w:r>
        <w:rPr>
          <w:rFonts w:ascii="Times New Roman" w:hAnsi="Times New Roman" w:cs="Times New Roman"/>
        </w:rPr>
        <w:t>采购项目编号：</w:t>
      </w:r>
      <w:r>
        <w:rPr>
          <w:rFonts w:ascii="Times New Roman" w:hAnsi="Times New Roman" w:cs="Times New Roman"/>
          <w:sz w:val="18"/>
          <w:szCs w:val="18"/>
          <w:u w:val="single"/>
        </w:rPr>
        <w:t>______________________</w:t>
      </w:r>
    </w:p>
    <w:tbl>
      <w:tblPr>
        <w:tblStyle w:val="44"/>
        <w:tblW w:w="9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595"/>
        <w:gridCol w:w="810"/>
        <w:gridCol w:w="930"/>
        <w:gridCol w:w="1485"/>
        <w:gridCol w:w="1440"/>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trPr>
        <w:tc>
          <w:tcPr>
            <w:tcW w:w="796" w:type="dxa"/>
            <w:tcBorders>
              <w:top w:val="single" w:color="auto" w:sz="4" w:space="0"/>
              <w:left w:val="single" w:color="auto" w:sz="4" w:space="0"/>
              <w:bottom w:val="single" w:color="auto" w:sz="4" w:space="0"/>
              <w:right w:val="single" w:color="auto" w:sz="4" w:space="0"/>
            </w:tcBorders>
            <w:shd w:val="clear" w:color="auto" w:fill="CCCCCC"/>
            <w:noWrap/>
            <w:vAlign w:val="center"/>
          </w:tcPr>
          <w:p>
            <w:pPr>
              <w:shd w:val="clear" w:color="auto" w:fill="auto"/>
              <w:adjustRightInd/>
              <w:snapToGrid/>
              <w:spacing w:line="400" w:lineRule="exact"/>
              <w:jc w:val="center"/>
              <w:rPr>
                <w:szCs w:val="21"/>
              </w:rPr>
            </w:pPr>
            <w:r>
              <w:rPr>
                <w:rFonts w:hint="eastAsia"/>
                <w:szCs w:val="21"/>
              </w:rPr>
              <w:t>序号</w:t>
            </w:r>
          </w:p>
        </w:tc>
        <w:tc>
          <w:tcPr>
            <w:tcW w:w="2595" w:type="dxa"/>
            <w:tcBorders>
              <w:top w:val="single" w:color="auto" w:sz="4" w:space="0"/>
              <w:left w:val="nil"/>
              <w:bottom w:val="single" w:color="auto" w:sz="4" w:space="0"/>
              <w:right w:val="single" w:color="auto" w:sz="4" w:space="0"/>
            </w:tcBorders>
            <w:shd w:val="clear" w:color="auto" w:fill="CCCCCC"/>
            <w:noWrap/>
            <w:vAlign w:val="center"/>
          </w:tcPr>
          <w:p>
            <w:pPr>
              <w:shd w:val="clear" w:color="auto" w:fill="auto"/>
              <w:adjustRightInd/>
              <w:snapToGrid/>
              <w:spacing w:line="400" w:lineRule="exact"/>
              <w:jc w:val="center"/>
              <w:rPr>
                <w:szCs w:val="21"/>
              </w:rPr>
            </w:pPr>
            <w:r>
              <w:rPr>
                <w:rFonts w:hint="eastAsia"/>
                <w:szCs w:val="21"/>
              </w:rPr>
              <w:t>服务内容</w:t>
            </w:r>
          </w:p>
        </w:tc>
        <w:tc>
          <w:tcPr>
            <w:tcW w:w="810" w:type="dxa"/>
            <w:tcBorders>
              <w:top w:val="single" w:color="auto" w:sz="4" w:space="0"/>
              <w:left w:val="nil"/>
              <w:bottom w:val="single" w:color="auto" w:sz="4" w:space="0"/>
              <w:right w:val="single" w:color="auto" w:sz="4" w:space="0"/>
            </w:tcBorders>
            <w:shd w:val="clear" w:color="auto" w:fill="CCCCCC"/>
            <w:noWrap/>
            <w:vAlign w:val="center"/>
          </w:tcPr>
          <w:p>
            <w:pPr>
              <w:shd w:val="clear" w:color="auto" w:fill="auto"/>
              <w:adjustRightInd/>
              <w:snapToGrid/>
              <w:spacing w:line="400" w:lineRule="exact"/>
              <w:jc w:val="center"/>
              <w:rPr>
                <w:szCs w:val="21"/>
              </w:rPr>
            </w:pPr>
            <w:r>
              <w:rPr>
                <w:rFonts w:hint="eastAsia"/>
                <w:szCs w:val="21"/>
              </w:rPr>
              <w:t>单位</w:t>
            </w:r>
          </w:p>
        </w:tc>
        <w:tc>
          <w:tcPr>
            <w:tcW w:w="930" w:type="dxa"/>
            <w:tcBorders>
              <w:top w:val="single" w:color="auto" w:sz="4" w:space="0"/>
              <w:left w:val="nil"/>
              <w:bottom w:val="single" w:color="auto" w:sz="4" w:space="0"/>
              <w:right w:val="single" w:color="auto" w:sz="4" w:space="0"/>
            </w:tcBorders>
            <w:shd w:val="clear" w:color="auto" w:fill="CCCCCC"/>
            <w:noWrap/>
            <w:vAlign w:val="center"/>
          </w:tcPr>
          <w:p>
            <w:pPr>
              <w:shd w:val="clear" w:color="auto" w:fill="auto"/>
              <w:adjustRightInd/>
              <w:snapToGrid/>
              <w:spacing w:line="400" w:lineRule="exact"/>
              <w:jc w:val="center"/>
              <w:rPr>
                <w:kern w:val="2"/>
                <w:szCs w:val="21"/>
              </w:rPr>
            </w:pPr>
            <w:r>
              <w:rPr>
                <w:rFonts w:hint="eastAsia"/>
                <w:szCs w:val="21"/>
              </w:rPr>
              <w:t>数量</w:t>
            </w:r>
          </w:p>
        </w:tc>
        <w:tc>
          <w:tcPr>
            <w:tcW w:w="1485" w:type="dxa"/>
            <w:tcBorders>
              <w:top w:val="single" w:color="auto" w:sz="4" w:space="0"/>
              <w:left w:val="nil"/>
              <w:bottom w:val="single" w:color="auto" w:sz="4" w:space="0"/>
              <w:right w:val="single" w:color="auto" w:sz="4" w:space="0"/>
            </w:tcBorders>
            <w:shd w:val="clear" w:color="auto" w:fill="CCCCCC"/>
            <w:noWrap/>
            <w:vAlign w:val="center"/>
          </w:tcPr>
          <w:p>
            <w:pPr>
              <w:shd w:val="clear" w:color="auto" w:fill="auto"/>
              <w:adjustRightInd/>
              <w:snapToGrid/>
              <w:spacing w:line="400" w:lineRule="exact"/>
              <w:jc w:val="center"/>
              <w:rPr>
                <w:szCs w:val="21"/>
              </w:rPr>
            </w:pPr>
            <w:r>
              <w:rPr>
                <w:rFonts w:hint="eastAsia"/>
                <w:szCs w:val="21"/>
              </w:rPr>
              <w:t>单价（元）</w:t>
            </w:r>
          </w:p>
        </w:tc>
        <w:tc>
          <w:tcPr>
            <w:tcW w:w="1440" w:type="dxa"/>
            <w:tcBorders>
              <w:top w:val="single" w:color="auto" w:sz="4" w:space="0"/>
              <w:left w:val="nil"/>
              <w:bottom w:val="single" w:color="auto" w:sz="4" w:space="0"/>
              <w:right w:val="single" w:color="auto" w:sz="4" w:space="0"/>
            </w:tcBorders>
            <w:shd w:val="clear" w:color="auto" w:fill="CCCCCC"/>
            <w:noWrap/>
            <w:vAlign w:val="center"/>
          </w:tcPr>
          <w:p>
            <w:pPr>
              <w:shd w:val="clear" w:color="auto" w:fill="auto"/>
              <w:adjustRightInd/>
              <w:snapToGrid/>
              <w:spacing w:line="400" w:lineRule="exact"/>
              <w:jc w:val="center"/>
              <w:rPr>
                <w:szCs w:val="21"/>
              </w:rPr>
            </w:pPr>
            <w:r>
              <w:rPr>
                <w:rFonts w:hint="eastAsia"/>
                <w:szCs w:val="21"/>
              </w:rPr>
              <w:t>合计（元）</w:t>
            </w:r>
          </w:p>
        </w:tc>
        <w:tc>
          <w:tcPr>
            <w:tcW w:w="1241" w:type="dxa"/>
            <w:tcBorders>
              <w:top w:val="single" w:color="auto" w:sz="4" w:space="0"/>
              <w:left w:val="nil"/>
              <w:bottom w:val="single" w:color="auto" w:sz="4" w:space="0"/>
              <w:right w:val="single" w:color="auto" w:sz="4" w:space="0"/>
            </w:tcBorders>
            <w:shd w:val="clear" w:color="auto" w:fill="CCCCCC"/>
            <w:noWrap/>
            <w:vAlign w:val="center"/>
          </w:tcPr>
          <w:p>
            <w:pPr>
              <w:shd w:val="clear" w:color="auto" w:fill="auto"/>
              <w:adjustRightInd/>
              <w:snapToGrid/>
              <w:spacing w:line="400" w:lineRule="exact"/>
              <w:jc w:val="center"/>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796" w:type="dxa"/>
            <w:tcBorders>
              <w:top w:val="single" w:color="auto" w:sz="4" w:space="0"/>
              <w:left w:val="single" w:color="auto" w:sz="4" w:space="0"/>
              <w:bottom w:val="single" w:color="auto" w:sz="4" w:space="0"/>
              <w:right w:val="single" w:color="auto" w:sz="4" w:space="0"/>
            </w:tcBorders>
            <w:noWrap/>
            <w:vAlign w:val="center"/>
          </w:tcPr>
          <w:p>
            <w:pPr>
              <w:shd w:val="clear" w:color="auto" w:fill="auto"/>
              <w:adjustRightInd/>
              <w:snapToGrid/>
              <w:spacing w:line="400" w:lineRule="exact"/>
              <w:jc w:val="center"/>
              <w:textAlignment w:val="center"/>
              <w:rPr>
                <w:szCs w:val="21"/>
              </w:rPr>
            </w:pPr>
            <w:r>
              <w:rPr>
                <w:rFonts w:hint="eastAsia"/>
                <w:color w:val="000000"/>
                <w:szCs w:val="21"/>
                <w:lang w:bidi="ar"/>
              </w:rPr>
              <w:t>1</w:t>
            </w:r>
          </w:p>
        </w:tc>
        <w:tc>
          <w:tcPr>
            <w:tcW w:w="2595" w:type="dxa"/>
            <w:tcBorders>
              <w:top w:val="single" w:color="auto" w:sz="4" w:space="0"/>
              <w:left w:val="nil"/>
              <w:bottom w:val="single" w:color="auto" w:sz="4" w:space="0"/>
              <w:right w:val="single" w:color="auto" w:sz="4" w:space="0"/>
            </w:tcBorders>
            <w:noWrap/>
            <w:vAlign w:val="center"/>
          </w:tcPr>
          <w:p>
            <w:pPr>
              <w:shd w:val="clear" w:color="auto" w:fill="auto"/>
              <w:adjustRightInd/>
              <w:snapToGrid/>
              <w:spacing w:line="400" w:lineRule="exact"/>
              <w:jc w:val="center"/>
              <w:textAlignment w:val="center"/>
              <w:rPr>
                <w:szCs w:val="21"/>
              </w:rPr>
            </w:pPr>
          </w:p>
        </w:tc>
        <w:tc>
          <w:tcPr>
            <w:tcW w:w="810" w:type="dxa"/>
            <w:tcBorders>
              <w:top w:val="single" w:color="auto" w:sz="4" w:space="0"/>
              <w:left w:val="nil"/>
              <w:bottom w:val="single" w:color="auto" w:sz="4" w:space="0"/>
              <w:right w:val="single" w:color="auto" w:sz="4" w:space="0"/>
            </w:tcBorders>
            <w:noWrap/>
            <w:vAlign w:val="center"/>
          </w:tcPr>
          <w:p>
            <w:pPr>
              <w:shd w:val="clear" w:color="auto" w:fill="auto"/>
              <w:adjustRightInd/>
              <w:snapToGrid/>
              <w:spacing w:line="400" w:lineRule="exact"/>
              <w:jc w:val="center"/>
              <w:textAlignment w:val="center"/>
              <w:rPr>
                <w:szCs w:val="21"/>
              </w:rPr>
            </w:pPr>
          </w:p>
        </w:tc>
        <w:tc>
          <w:tcPr>
            <w:tcW w:w="930" w:type="dxa"/>
            <w:tcBorders>
              <w:top w:val="single" w:color="auto" w:sz="4" w:space="0"/>
              <w:left w:val="nil"/>
              <w:bottom w:val="single" w:color="auto" w:sz="4" w:space="0"/>
              <w:right w:val="single" w:color="auto" w:sz="4" w:space="0"/>
            </w:tcBorders>
            <w:noWrap/>
            <w:vAlign w:val="center"/>
          </w:tcPr>
          <w:p>
            <w:pPr>
              <w:shd w:val="clear" w:color="auto" w:fill="auto"/>
              <w:adjustRightInd/>
              <w:snapToGrid/>
              <w:spacing w:line="400" w:lineRule="exact"/>
              <w:jc w:val="center"/>
              <w:textAlignment w:val="center"/>
              <w:rPr>
                <w:kern w:val="2"/>
                <w:szCs w:val="21"/>
              </w:rPr>
            </w:pPr>
          </w:p>
        </w:tc>
        <w:tc>
          <w:tcPr>
            <w:tcW w:w="1485" w:type="dxa"/>
            <w:tcBorders>
              <w:top w:val="single" w:color="auto" w:sz="4" w:space="0"/>
              <w:left w:val="nil"/>
              <w:bottom w:val="single" w:color="auto" w:sz="4" w:space="0"/>
              <w:right w:val="single" w:color="auto" w:sz="4" w:space="0"/>
            </w:tcBorders>
            <w:noWrap/>
            <w:vAlign w:val="center"/>
          </w:tcPr>
          <w:p>
            <w:pPr>
              <w:shd w:val="clear" w:color="auto" w:fill="auto"/>
              <w:adjustRightInd/>
              <w:snapToGrid/>
              <w:spacing w:line="400" w:lineRule="exact"/>
              <w:jc w:val="center"/>
              <w:textAlignment w:val="center"/>
              <w:rPr>
                <w:szCs w:val="21"/>
              </w:rPr>
            </w:pPr>
          </w:p>
        </w:tc>
        <w:tc>
          <w:tcPr>
            <w:tcW w:w="1440" w:type="dxa"/>
            <w:tcBorders>
              <w:top w:val="single" w:color="auto" w:sz="4" w:space="0"/>
              <w:left w:val="nil"/>
              <w:bottom w:val="single" w:color="auto" w:sz="4" w:space="0"/>
              <w:right w:val="single" w:color="auto" w:sz="4" w:space="0"/>
            </w:tcBorders>
            <w:noWrap/>
            <w:vAlign w:val="center"/>
          </w:tcPr>
          <w:p>
            <w:pPr>
              <w:shd w:val="clear" w:color="auto" w:fill="auto"/>
              <w:adjustRightInd/>
              <w:snapToGrid/>
              <w:spacing w:line="400" w:lineRule="exact"/>
              <w:rPr>
                <w:szCs w:val="21"/>
              </w:rPr>
            </w:pPr>
          </w:p>
        </w:tc>
        <w:tc>
          <w:tcPr>
            <w:tcW w:w="1241" w:type="dxa"/>
            <w:tcBorders>
              <w:top w:val="single" w:color="auto" w:sz="4" w:space="0"/>
              <w:left w:val="nil"/>
              <w:bottom w:val="single" w:color="auto" w:sz="4" w:space="0"/>
              <w:right w:val="single" w:color="auto" w:sz="4" w:space="0"/>
            </w:tcBorders>
            <w:noWrap/>
            <w:vAlign w:val="center"/>
          </w:tcPr>
          <w:p>
            <w:pPr>
              <w:shd w:val="clear" w:color="auto" w:fill="auto"/>
              <w:adjustRightInd/>
              <w:snapToGrid/>
              <w:spacing w:line="400" w:lineRule="exact"/>
              <w:jc w:val="center"/>
              <w:textAlignment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796" w:type="dxa"/>
            <w:tcBorders>
              <w:top w:val="single" w:color="auto" w:sz="4" w:space="0"/>
              <w:left w:val="single" w:color="auto" w:sz="4" w:space="0"/>
              <w:bottom w:val="single" w:color="auto" w:sz="4" w:space="0"/>
              <w:right w:val="single" w:color="auto" w:sz="4" w:space="0"/>
            </w:tcBorders>
            <w:noWrap/>
            <w:vAlign w:val="center"/>
          </w:tcPr>
          <w:p>
            <w:pPr>
              <w:shd w:val="clear" w:color="auto" w:fill="auto"/>
              <w:adjustRightInd/>
              <w:snapToGrid/>
              <w:spacing w:line="400" w:lineRule="exact"/>
              <w:jc w:val="center"/>
              <w:textAlignment w:val="center"/>
              <w:rPr>
                <w:szCs w:val="21"/>
              </w:rPr>
            </w:pPr>
            <w:r>
              <w:rPr>
                <w:rFonts w:hint="eastAsia"/>
                <w:color w:val="000000"/>
                <w:szCs w:val="21"/>
                <w:lang w:bidi="ar"/>
              </w:rPr>
              <w:t>2</w:t>
            </w:r>
          </w:p>
        </w:tc>
        <w:tc>
          <w:tcPr>
            <w:tcW w:w="2595" w:type="dxa"/>
            <w:tcBorders>
              <w:top w:val="single" w:color="auto" w:sz="4" w:space="0"/>
              <w:left w:val="nil"/>
              <w:bottom w:val="single" w:color="auto" w:sz="4" w:space="0"/>
              <w:right w:val="single" w:color="auto" w:sz="4" w:space="0"/>
            </w:tcBorders>
            <w:noWrap/>
            <w:vAlign w:val="center"/>
          </w:tcPr>
          <w:p>
            <w:pPr>
              <w:shd w:val="clear" w:color="auto" w:fill="auto"/>
              <w:adjustRightInd/>
              <w:snapToGrid/>
              <w:spacing w:line="400" w:lineRule="exact"/>
              <w:jc w:val="center"/>
              <w:textAlignment w:val="center"/>
              <w:rPr>
                <w:szCs w:val="21"/>
              </w:rPr>
            </w:pPr>
          </w:p>
        </w:tc>
        <w:tc>
          <w:tcPr>
            <w:tcW w:w="810" w:type="dxa"/>
            <w:tcBorders>
              <w:top w:val="single" w:color="auto" w:sz="4" w:space="0"/>
              <w:left w:val="nil"/>
              <w:bottom w:val="single" w:color="auto" w:sz="4" w:space="0"/>
              <w:right w:val="single" w:color="auto" w:sz="4" w:space="0"/>
            </w:tcBorders>
            <w:noWrap/>
            <w:vAlign w:val="center"/>
          </w:tcPr>
          <w:p>
            <w:pPr>
              <w:shd w:val="clear" w:color="auto" w:fill="auto"/>
              <w:adjustRightInd/>
              <w:snapToGrid/>
              <w:spacing w:line="400" w:lineRule="exact"/>
              <w:jc w:val="center"/>
              <w:textAlignment w:val="center"/>
              <w:rPr>
                <w:szCs w:val="21"/>
              </w:rPr>
            </w:pPr>
          </w:p>
        </w:tc>
        <w:tc>
          <w:tcPr>
            <w:tcW w:w="930" w:type="dxa"/>
            <w:tcBorders>
              <w:top w:val="single" w:color="auto" w:sz="4" w:space="0"/>
              <w:left w:val="nil"/>
              <w:bottom w:val="single" w:color="auto" w:sz="4" w:space="0"/>
              <w:right w:val="single" w:color="auto" w:sz="4" w:space="0"/>
            </w:tcBorders>
            <w:noWrap/>
            <w:vAlign w:val="center"/>
          </w:tcPr>
          <w:p>
            <w:pPr>
              <w:shd w:val="clear" w:color="auto" w:fill="auto"/>
              <w:adjustRightInd/>
              <w:snapToGrid/>
              <w:spacing w:line="400" w:lineRule="exact"/>
              <w:jc w:val="center"/>
              <w:textAlignment w:val="center"/>
              <w:rPr>
                <w:kern w:val="2"/>
                <w:szCs w:val="21"/>
              </w:rPr>
            </w:pPr>
          </w:p>
        </w:tc>
        <w:tc>
          <w:tcPr>
            <w:tcW w:w="1485" w:type="dxa"/>
            <w:tcBorders>
              <w:top w:val="single" w:color="auto" w:sz="4" w:space="0"/>
              <w:left w:val="nil"/>
              <w:bottom w:val="single" w:color="auto" w:sz="4" w:space="0"/>
              <w:right w:val="single" w:color="auto" w:sz="4" w:space="0"/>
            </w:tcBorders>
            <w:noWrap/>
            <w:vAlign w:val="center"/>
          </w:tcPr>
          <w:p>
            <w:pPr>
              <w:shd w:val="clear" w:color="auto" w:fill="auto"/>
              <w:adjustRightInd/>
              <w:snapToGrid/>
              <w:spacing w:line="400" w:lineRule="exact"/>
              <w:jc w:val="center"/>
              <w:textAlignment w:val="center"/>
              <w:rPr>
                <w:szCs w:val="21"/>
              </w:rPr>
            </w:pPr>
          </w:p>
        </w:tc>
        <w:tc>
          <w:tcPr>
            <w:tcW w:w="1440" w:type="dxa"/>
            <w:tcBorders>
              <w:top w:val="single" w:color="auto" w:sz="4" w:space="0"/>
              <w:left w:val="nil"/>
              <w:bottom w:val="single" w:color="auto" w:sz="4" w:space="0"/>
              <w:right w:val="single" w:color="auto" w:sz="4" w:space="0"/>
            </w:tcBorders>
            <w:noWrap/>
            <w:vAlign w:val="center"/>
          </w:tcPr>
          <w:p>
            <w:pPr>
              <w:shd w:val="clear" w:color="auto" w:fill="auto"/>
              <w:adjustRightInd/>
              <w:snapToGrid/>
              <w:spacing w:line="400" w:lineRule="exact"/>
              <w:rPr>
                <w:szCs w:val="21"/>
              </w:rPr>
            </w:pPr>
          </w:p>
        </w:tc>
        <w:tc>
          <w:tcPr>
            <w:tcW w:w="1241" w:type="dxa"/>
            <w:tcBorders>
              <w:top w:val="single" w:color="auto" w:sz="4" w:space="0"/>
              <w:left w:val="nil"/>
              <w:bottom w:val="single" w:color="auto" w:sz="4" w:space="0"/>
              <w:right w:val="single" w:color="auto" w:sz="4" w:space="0"/>
            </w:tcBorders>
            <w:noWrap/>
            <w:vAlign w:val="center"/>
          </w:tcPr>
          <w:p>
            <w:pPr>
              <w:shd w:val="clear" w:color="auto" w:fill="auto"/>
              <w:adjustRightInd/>
              <w:snapToGrid/>
              <w:spacing w:line="400" w:lineRule="exact"/>
              <w:jc w:val="center"/>
              <w:textAlignment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796" w:type="dxa"/>
            <w:tcBorders>
              <w:top w:val="single" w:color="auto" w:sz="4" w:space="0"/>
              <w:left w:val="single" w:color="auto" w:sz="4" w:space="0"/>
              <w:bottom w:val="single" w:color="auto" w:sz="4" w:space="0"/>
              <w:right w:val="single" w:color="auto" w:sz="4" w:space="0"/>
            </w:tcBorders>
            <w:noWrap/>
            <w:vAlign w:val="center"/>
          </w:tcPr>
          <w:p>
            <w:pPr>
              <w:shd w:val="clear" w:color="auto" w:fill="auto"/>
              <w:adjustRightInd/>
              <w:snapToGrid/>
              <w:spacing w:line="400" w:lineRule="exact"/>
              <w:jc w:val="center"/>
              <w:textAlignment w:val="center"/>
              <w:rPr>
                <w:szCs w:val="21"/>
              </w:rPr>
            </w:pPr>
            <w:r>
              <w:rPr>
                <w:rFonts w:hint="eastAsia"/>
                <w:color w:val="000000"/>
                <w:szCs w:val="21"/>
                <w:lang w:bidi="ar"/>
              </w:rPr>
              <w:t>3</w:t>
            </w:r>
          </w:p>
        </w:tc>
        <w:tc>
          <w:tcPr>
            <w:tcW w:w="2595" w:type="dxa"/>
            <w:tcBorders>
              <w:top w:val="single" w:color="auto" w:sz="4" w:space="0"/>
              <w:left w:val="nil"/>
              <w:bottom w:val="single" w:color="auto" w:sz="4" w:space="0"/>
              <w:right w:val="single" w:color="auto" w:sz="4" w:space="0"/>
            </w:tcBorders>
            <w:noWrap/>
            <w:vAlign w:val="center"/>
          </w:tcPr>
          <w:p>
            <w:pPr>
              <w:shd w:val="clear" w:color="auto" w:fill="auto"/>
              <w:adjustRightInd/>
              <w:snapToGrid/>
              <w:spacing w:line="400" w:lineRule="exact"/>
              <w:jc w:val="center"/>
              <w:textAlignment w:val="center"/>
              <w:rPr>
                <w:szCs w:val="21"/>
              </w:rPr>
            </w:pPr>
          </w:p>
        </w:tc>
        <w:tc>
          <w:tcPr>
            <w:tcW w:w="810" w:type="dxa"/>
            <w:tcBorders>
              <w:top w:val="single" w:color="auto" w:sz="4" w:space="0"/>
              <w:left w:val="nil"/>
              <w:bottom w:val="single" w:color="auto" w:sz="4" w:space="0"/>
              <w:right w:val="single" w:color="auto" w:sz="4" w:space="0"/>
            </w:tcBorders>
            <w:noWrap/>
            <w:vAlign w:val="center"/>
          </w:tcPr>
          <w:p>
            <w:pPr>
              <w:shd w:val="clear" w:color="auto" w:fill="auto"/>
              <w:adjustRightInd/>
              <w:snapToGrid/>
              <w:spacing w:line="400" w:lineRule="exact"/>
              <w:jc w:val="center"/>
              <w:textAlignment w:val="center"/>
              <w:rPr>
                <w:szCs w:val="21"/>
              </w:rPr>
            </w:pPr>
          </w:p>
        </w:tc>
        <w:tc>
          <w:tcPr>
            <w:tcW w:w="930" w:type="dxa"/>
            <w:tcBorders>
              <w:top w:val="single" w:color="auto" w:sz="4" w:space="0"/>
              <w:left w:val="nil"/>
              <w:bottom w:val="single" w:color="auto" w:sz="4" w:space="0"/>
              <w:right w:val="single" w:color="auto" w:sz="4" w:space="0"/>
            </w:tcBorders>
            <w:noWrap/>
            <w:vAlign w:val="center"/>
          </w:tcPr>
          <w:p>
            <w:pPr>
              <w:shd w:val="clear" w:color="auto" w:fill="auto"/>
              <w:adjustRightInd/>
              <w:snapToGrid/>
              <w:spacing w:line="400" w:lineRule="exact"/>
              <w:jc w:val="center"/>
              <w:textAlignment w:val="center"/>
              <w:rPr>
                <w:kern w:val="2"/>
                <w:szCs w:val="21"/>
              </w:rPr>
            </w:pPr>
          </w:p>
        </w:tc>
        <w:tc>
          <w:tcPr>
            <w:tcW w:w="1485" w:type="dxa"/>
            <w:tcBorders>
              <w:top w:val="single" w:color="auto" w:sz="4" w:space="0"/>
              <w:left w:val="nil"/>
              <w:bottom w:val="single" w:color="auto" w:sz="4" w:space="0"/>
              <w:right w:val="single" w:color="auto" w:sz="4" w:space="0"/>
            </w:tcBorders>
            <w:noWrap/>
            <w:vAlign w:val="center"/>
          </w:tcPr>
          <w:p>
            <w:pPr>
              <w:shd w:val="clear" w:color="auto" w:fill="auto"/>
              <w:adjustRightInd/>
              <w:snapToGrid/>
              <w:spacing w:line="400" w:lineRule="exact"/>
              <w:jc w:val="center"/>
              <w:textAlignment w:val="center"/>
              <w:rPr>
                <w:szCs w:val="21"/>
              </w:rPr>
            </w:pPr>
          </w:p>
        </w:tc>
        <w:tc>
          <w:tcPr>
            <w:tcW w:w="1440" w:type="dxa"/>
            <w:tcBorders>
              <w:top w:val="single" w:color="auto" w:sz="4" w:space="0"/>
              <w:left w:val="nil"/>
              <w:bottom w:val="single" w:color="auto" w:sz="4" w:space="0"/>
              <w:right w:val="single" w:color="auto" w:sz="4" w:space="0"/>
            </w:tcBorders>
            <w:noWrap/>
            <w:vAlign w:val="center"/>
          </w:tcPr>
          <w:p>
            <w:pPr>
              <w:shd w:val="clear" w:color="auto" w:fill="auto"/>
              <w:adjustRightInd/>
              <w:snapToGrid/>
              <w:spacing w:line="400" w:lineRule="exact"/>
              <w:rPr>
                <w:szCs w:val="21"/>
              </w:rPr>
            </w:pPr>
          </w:p>
        </w:tc>
        <w:tc>
          <w:tcPr>
            <w:tcW w:w="1241" w:type="dxa"/>
            <w:tcBorders>
              <w:top w:val="single" w:color="auto" w:sz="4" w:space="0"/>
              <w:left w:val="nil"/>
              <w:bottom w:val="single" w:color="auto" w:sz="4" w:space="0"/>
              <w:right w:val="single" w:color="auto" w:sz="4" w:space="0"/>
            </w:tcBorders>
            <w:noWrap/>
            <w:vAlign w:val="center"/>
          </w:tcPr>
          <w:p>
            <w:pPr>
              <w:shd w:val="clear" w:color="auto" w:fill="auto"/>
              <w:adjustRightInd/>
              <w:snapToGrid/>
              <w:spacing w:line="400" w:lineRule="exact"/>
              <w:jc w:val="center"/>
              <w:textAlignment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796" w:type="dxa"/>
            <w:tcBorders>
              <w:top w:val="single" w:color="auto" w:sz="4" w:space="0"/>
              <w:left w:val="single" w:color="auto" w:sz="4" w:space="0"/>
              <w:bottom w:val="single" w:color="auto" w:sz="4" w:space="0"/>
              <w:right w:val="single" w:color="auto" w:sz="4" w:space="0"/>
            </w:tcBorders>
            <w:noWrap/>
            <w:vAlign w:val="center"/>
          </w:tcPr>
          <w:p>
            <w:pPr>
              <w:shd w:val="clear" w:color="auto" w:fill="auto"/>
              <w:adjustRightInd/>
              <w:snapToGrid/>
              <w:spacing w:line="400" w:lineRule="exact"/>
              <w:jc w:val="center"/>
              <w:textAlignment w:val="center"/>
              <w:rPr>
                <w:szCs w:val="21"/>
              </w:rPr>
            </w:pPr>
            <w:r>
              <w:rPr>
                <w:rFonts w:hint="eastAsia"/>
                <w:color w:val="000000"/>
                <w:szCs w:val="21"/>
                <w:lang w:bidi="ar"/>
              </w:rPr>
              <w:t>4</w:t>
            </w:r>
          </w:p>
        </w:tc>
        <w:tc>
          <w:tcPr>
            <w:tcW w:w="2595" w:type="dxa"/>
            <w:tcBorders>
              <w:top w:val="single" w:color="auto" w:sz="4" w:space="0"/>
              <w:left w:val="nil"/>
              <w:bottom w:val="single" w:color="auto" w:sz="4" w:space="0"/>
              <w:right w:val="single" w:color="auto" w:sz="4" w:space="0"/>
            </w:tcBorders>
            <w:noWrap/>
            <w:vAlign w:val="center"/>
          </w:tcPr>
          <w:p>
            <w:pPr>
              <w:shd w:val="clear" w:color="auto" w:fill="auto"/>
              <w:adjustRightInd/>
              <w:snapToGrid/>
              <w:spacing w:line="400" w:lineRule="exact"/>
              <w:jc w:val="center"/>
              <w:textAlignment w:val="center"/>
              <w:rPr>
                <w:szCs w:val="21"/>
              </w:rPr>
            </w:pPr>
          </w:p>
        </w:tc>
        <w:tc>
          <w:tcPr>
            <w:tcW w:w="810" w:type="dxa"/>
            <w:tcBorders>
              <w:top w:val="single" w:color="auto" w:sz="4" w:space="0"/>
              <w:left w:val="nil"/>
              <w:bottom w:val="single" w:color="auto" w:sz="4" w:space="0"/>
              <w:right w:val="single" w:color="auto" w:sz="4" w:space="0"/>
            </w:tcBorders>
            <w:noWrap/>
            <w:vAlign w:val="center"/>
          </w:tcPr>
          <w:p>
            <w:pPr>
              <w:shd w:val="clear" w:color="auto" w:fill="auto"/>
              <w:adjustRightInd/>
              <w:snapToGrid/>
              <w:spacing w:line="400" w:lineRule="exact"/>
              <w:jc w:val="center"/>
              <w:textAlignment w:val="center"/>
              <w:rPr>
                <w:szCs w:val="21"/>
              </w:rPr>
            </w:pPr>
          </w:p>
        </w:tc>
        <w:tc>
          <w:tcPr>
            <w:tcW w:w="930" w:type="dxa"/>
            <w:tcBorders>
              <w:top w:val="single" w:color="auto" w:sz="4" w:space="0"/>
              <w:left w:val="nil"/>
              <w:bottom w:val="single" w:color="auto" w:sz="4" w:space="0"/>
              <w:right w:val="single" w:color="auto" w:sz="4" w:space="0"/>
            </w:tcBorders>
            <w:noWrap/>
            <w:vAlign w:val="center"/>
          </w:tcPr>
          <w:p>
            <w:pPr>
              <w:shd w:val="clear" w:color="auto" w:fill="auto"/>
              <w:adjustRightInd/>
              <w:snapToGrid/>
              <w:spacing w:line="400" w:lineRule="exact"/>
              <w:jc w:val="center"/>
              <w:textAlignment w:val="center"/>
              <w:rPr>
                <w:kern w:val="2"/>
                <w:szCs w:val="21"/>
              </w:rPr>
            </w:pPr>
          </w:p>
        </w:tc>
        <w:tc>
          <w:tcPr>
            <w:tcW w:w="1485" w:type="dxa"/>
            <w:tcBorders>
              <w:top w:val="single" w:color="auto" w:sz="4" w:space="0"/>
              <w:left w:val="nil"/>
              <w:bottom w:val="single" w:color="auto" w:sz="4" w:space="0"/>
              <w:right w:val="single" w:color="auto" w:sz="4" w:space="0"/>
            </w:tcBorders>
            <w:noWrap/>
            <w:vAlign w:val="center"/>
          </w:tcPr>
          <w:p>
            <w:pPr>
              <w:shd w:val="clear" w:color="auto" w:fill="auto"/>
              <w:adjustRightInd/>
              <w:snapToGrid/>
              <w:spacing w:line="400" w:lineRule="exact"/>
              <w:jc w:val="center"/>
              <w:textAlignment w:val="center"/>
              <w:rPr>
                <w:szCs w:val="21"/>
              </w:rPr>
            </w:pPr>
          </w:p>
        </w:tc>
        <w:tc>
          <w:tcPr>
            <w:tcW w:w="1440" w:type="dxa"/>
            <w:tcBorders>
              <w:top w:val="single" w:color="auto" w:sz="4" w:space="0"/>
              <w:left w:val="nil"/>
              <w:bottom w:val="single" w:color="auto" w:sz="4" w:space="0"/>
              <w:right w:val="single" w:color="auto" w:sz="4" w:space="0"/>
            </w:tcBorders>
            <w:noWrap/>
            <w:vAlign w:val="center"/>
          </w:tcPr>
          <w:p>
            <w:pPr>
              <w:shd w:val="clear" w:color="auto" w:fill="auto"/>
              <w:adjustRightInd/>
              <w:snapToGrid/>
              <w:spacing w:line="400" w:lineRule="exact"/>
              <w:rPr>
                <w:szCs w:val="21"/>
              </w:rPr>
            </w:pPr>
          </w:p>
        </w:tc>
        <w:tc>
          <w:tcPr>
            <w:tcW w:w="1241" w:type="dxa"/>
            <w:tcBorders>
              <w:top w:val="single" w:color="auto" w:sz="4" w:space="0"/>
              <w:left w:val="nil"/>
              <w:bottom w:val="single" w:color="auto" w:sz="4" w:space="0"/>
              <w:right w:val="single" w:color="auto" w:sz="4" w:space="0"/>
            </w:tcBorders>
            <w:noWrap/>
            <w:vAlign w:val="center"/>
          </w:tcPr>
          <w:p>
            <w:pPr>
              <w:shd w:val="clear" w:color="auto" w:fill="auto"/>
              <w:adjustRightInd/>
              <w:snapToGrid/>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50" w:hRule="atLeast"/>
        </w:trPr>
        <w:tc>
          <w:tcPr>
            <w:tcW w:w="796" w:type="dxa"/>
            <w:tcBorders>
              <w:top w:val="single" w:color="auto" w:sz="4" w:space="0"/>
              <w:left w:val="single" w:color="auto" w:sz="4" w:space="0"/>
              <w:bottom w:val="single" w:color="auto" w:sz="4" w:space="0"/>
              <w:right w:val="single" w:color="auto" w:sz="4" w:space="0"/>
            </w:tcBorders>
            <w:noWrap/>
            <w:vAlign w:val="center"/>
          </w:tcPr>
          <w:p>
            <w:pPr>
              <w:shd w:val="clear" w:color="auto" w:fill="auto"/>
              <w:adjustRightInd/>
              <w:snapToGrid/>
              <w:spacing w:line="400" w:lineRule="exact"/>
              <w:jc w:val="center"/>
              <w:textAlignment w:val="center"/>
              <w:rPr>
                <w:szCs w:val="21"/>
              </w:rPr>
            </w:pPr>
            <w:r>
              <w:rPr>
                <w:rFonts w:hint="eastAsia"/>
                <w:color w:val="000000"/>
                <w:szCs w:val="21"/>
                <w:lang w:bidi="ar"/>
              </w:rPr>
              <w:t>5</w:t>
            </w:r>
          </w:p>
        </w:tc>
        <w:tc>
          <w:tcPr>
            <w:tcW w:w="2595" w:type="dxa"/>
            <w:tcBorders>
              <w:top w:val="single" w:color="auto" w:sz="4" w:space="0"/>
              <w:left w:val="nil"/>
              <w:bottom w:val="single" w:color="auto" w:sz="4" w:space="0"/>
              <w:right w:val="single" w:color="auto" w:sz="4" w:space="0"/>
            </w:tcBorders>
            <w:noWrap/>
            <w:vAlign w:val="center"/>
          </w:tcPr>
          <w:p>
            <w:pPr>
              <w:shd w:val="clear" w:color="auto" w:fill="auto"/>
              <w:adjustRightInd/>
              <w:snapToGrid/>
              <w:spacing w:line="400" w:lineRule="exact"/>
              <w:jc w:val="center"/>
              <w:textAlignment w:val="center"/>
              <w:rPr>
                <w:szCs w:val="21"/>
              </w:rPr>
            </w:pPr>
          </w:p>
        </w:tc>
        <w:tc>
          <w:tcPr>
            <w:tcW w:w="810" w:type="dxa"/>
            <w:tcBorders>
              <w:top w:val="single" w:color="auto" w:sz="4" w:space="0"/>
              <w:left w:val="nil"/>
              <w:bottom w:val="single" w:color="auto" w:sz="4" w:space="0"/>
              <w:right w:val="single" w:color="auto" w:sz="4" w:space="0"/>
            </w:tcBorders>
            <w:noWrap/>
            <w:vAlign w:val="center"/>
          </w:tcPr>
          <w:p>
            <w:pPr>
              <w:shd w:val="clear" w:color="auto" w:fill="auto"/>
              <w:adjustRightInd/>
              <w:snapToGrid/>
              <w:spacing w:line="400" w:lineRule="exact"/>
              <w:jc w:val="center"/>
              <w:textAlignment w:val="center"/>
              <w:rPr>
                <w:szCs w:val="21"/>
              </w:rPr>
            </w:pPr>
          </w:p>
        </w:tc>
        <w:tc>
          <w:tcPr>
            <w:tcW w:w="930" w:type="dxa"/>
            <w:tcBorders>
              <w:top w:val="single" w:color="auto" w:sz="4" w:space="0"/>
              <w:left w:val="nil"/>
              <w:bottom w:val="single" w:color="auto" w:sz="4" w:space="0"/>
              <w:right w:val="single" w:color="auto" w:sz="4" w:space="0"/>
            </w:tcBorders>
            <w:noWrap/>
            <w:vAlign w:val="center"/>
          </w:tcPr>
          <w:p>
            <w:pPr>
              <w:shd w:val="clear" w:color="auto" w:fill="auto"/>
              <w:adjustRightInd/>
              <w:snapToGrid/>
              <w:spacing w:line="400" w:lineRule="exact"/>
              <w:jc w:val="center"/>
              <w:textAlignment w:val="center"/>
              <w:rPr>
                <w:kern w:val="2"/>
                <w:szCs w:val="21"/>
              </w:rPr>
            </w:pPr>
          </w:p>
        </w:tc>
        <w:tc>
          <w:tcPr>
            <w:tcW w:w="1485" w:type="dxa"/>
            <w:tcBorders>
              <w:top w:val="single" w:color="auto" w:sz="4" w:space="0"/>
              <w:left w:val="nil"/>
              <w:bottom w:val="single" w:color="auto" w:sz="4" w:space="0"/>
              <w:right w:val="single" w:color="auto" w:sz="4" w:space="0"/>
            </w:tcBorders>
            <w:noWrap/>
            <w:vAlign w:val="center"/>
          </w:tcPr>
          <w:p>
            <w:pPr>
              <w:shd w:val="clear" w:color="auto" w:fill="auto"/>
              <w:adjustRightInd/>
              <w:snapToGrid/>
              <w:spacing w:line="400" w:lineRule="exact"/>
              <w:jc w:val="center"/>
              <w:textAlignment w:val="center"/>
              <w:rPr>
                <w:szCs w:val="21"/>
              </w:rPr>
            </w:pPr>
          </w:p>
        </w:tc>
        <w:tc>
          <w:tcPr>
            <w:tcW w:w="1440" w:type="dxa"/>
            <w:tcBorders>
              <w:top w:val="single" w:color="auto" w:sz="4" w:space="0"/>
              <w:left w:val="nil"/>
              <w:bottom w:val="single" w:color="auto" w:sz="4" w:space="0"/>
              <w:right w:val="single" w:color="auto" w:sz="4" w:space="0"/>
            </w:tcBorders>
            <w:noWrap/>
            <w:vAlign w:val="center"/>
          </w:tcPr>
          <w:p>
            <w:pPr>
              <w:shd w:val="clear" w:color="auto" w:fill="auto"/>
              <w:adjustRightInd/>
              <w:snapToGrid/>
              <w:spacing w:line="400" w:lineRule="exact"/>
              <w:rPr>
                <w:szCs w:val="21"/>
              </w:rPr>
            </w:pPr>
          </w:p>
        </w:tc>
        <w:tc>
          <w:tcPr>
            <w:tcW w:w="1241" w:type="dxa"/>
            <w:tcBorders>
              <w:top w:val="single" w:color="auto" w:sz="4" w:space="0"/>
              <w:left w:val="nil"/>
              <w:bottom w:val="single" w:color="auto" w:sz="4" w:space="0"/>
              <w:right w:val="single" w:color="auto" w:sz="4" w:space="0"/>
            </w:tcBorders>
            <w:noWrap/>
            <w:vAlign w:val="center"/>
          </w:tcPr>
          <w:p>
            <w:pPr>
              <w:shd w:val="clear" w:color="auto" w:fill="auto"/>
              <w:adjustRightInd/>
              <w:snapToGrid/>
              <w:spacing w:line="400" w:lineRule="exact"/>
              <w:jc w:val="center"/>
              <w:textAlignment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trPr>
        <w:tc>
          <w:tcPr>
            <w:tcW w:w="6616" w:type="dxa"/>
            <w:gridSpan w:val="5"/>
            <w:tcBorders>
              <w:top w:val="single" w:color="auto" w:sz="4" w:space="0"/>
              <w:left w:val="single" w:color="auto" w:sz="4" w:space="0"/>
              <w:bottom w:val="single" w:color="auto" w:sz="4" w:space="0"/>
              <w:right w:val="single" w:color="auto" w:sz="4" w:space="0"/>
            </w:tcBorders>
            <w:noWrap/>
            <w:vAlign w:val="center"/>
          </w:tcPr>
          <w:p>
            <w:pPr>
              <w:shd w:val="clear" w:color="auto" w:fill="auto"/>
              <w:adjustRightInd/>
              <w:snapToGrid/>
              <w:spacing w:line="400" w:lineRule="exact"/>
              <w:jc w:val="center"/>
              <w:rPr>
                <w:szCs w:val="21"/>
              </w:rPr>
            </w:pPr>
            <w:r>
              <w:rPr>
                <w:rFonts w:hint="eastAsia"/>
                <w:szCs w:val="21"/>
              </w:rPr>
              <w:t>合     计（元）</w:t>
            </w:r>
          </w:p>
        </w:tc>
        <w:tc>
          <w:tcPr>
            <w:tcW w:w="1440" w:type="dxa"/>
            <w:tcBorders>
              <w:top w:val="single" w:color="auto" w:sz="4" w:space="0"/>
              <w:left w:val="nil"/>
              <w:bottom w:val="single" w:color="auto" w:sz="4" w:space="0"/>
              <w:right w:val="single" w:color="auto" w:sz="4" w:space="0"/>
            </w:tcBorders>
            <w:noWrap/>
            <w:vAlign w:val="center"/>
          </w:tcPr>
          <w:p>
            <w:pPr>
              <w:shd w:val="clear" w:color="auto" w:fill="auto"/>
              <w:adjustRightInd/>
              <w:snapToGrid/>
              <w:spacing w:line="400" w:lineRule="exact"/>
              <w:ind w:left="945" w:firstLine="420" w:firstLineChars="200"/>
              <w:rPr>
                <w:szCs w:val="21"/>
              </w:rPr>
            </w:pPr>
          </w:p>
        </w:tc>
        <w:tc>
          <w:tcPr>
            <w:tcW w:w="1241" w:type="dxa"/>
            <w:tcBorders>
              <w:top w:val="single" w:color="auto" w:sz="4" w:space="0"/>
              <w:left w:val="single" w:color="auto" w:sz="4" w:space="0"/>
              <w:bottom w:val="single" w:color="auto" w:sz="4" w:space="0"/>
              <w:right w:val="single" w:color="auto" w:sz="4" w:space="0"/>
            </w:tcBorders>
            <w:noWrap/>
            <w:vAlign w:val="center"/>
          </w:tcPr>
          <w:p>
            <w:pPr>
              <w:shd w:val="clear" w:color="auto" w:fill="auto"/>
              <w:adjustRightInd/>
              <w:snapToGrid/>
              <w:spacing w:line="400" w:lineRule="exact"/>
              <w:ind w:left="945" w:firstLine="420" w:firstLineChars="200"/>
              <w:rPr>
                <w:szCs w:val="21"/>
              </w:rPr>
            </w:pPr>
          </w:p>
        </w:tc>
      </w:tr>
    </w:tbl>
    <w:p>
      <w:pPr>
        <w:shd w:val="clear" w:color="auto" w:fill="auto"/>
        <w:tabs>
          <w:tab w:val="left" w:pos="420"/>
          <w:tab w:val="clear" w:pos="426"/>
        </w:tabs>
        <w:ind w:left="368" w:hanging="367" w:hangingChars="175"/>
        <w:jc w:val="left"/>
        <w:rPr>
          <w:szCs w:val="21"/>
        </w:rPr>
      </w:pPr>
      <w:r>
        <w:rPr>
          <w:rFonts w:hint="eastAsia"/>
          <w:szCs w:val="21"/>
        </w:rPr>
        <w:t>注：此表中的总价应与“开标一览表”中的总价一致。</w:t>
      </w:r>
    </w:p>
    <w:p>
      <w:pPr>
        <w:shd w:val="clear" w:color="auto" w:fill="auto"/>
        <w:spacing w:line="500" w:lineRule="exact"/>
        <w:ind w:firstLine="436"/>
        <w:rPr>
          <w:rFonts w:ascii="Times New Roman" w:hAnsi="Times New Roman" w:cs="Times New Roman"/>
          <w:spacing w:val="4"/>
        </w:rPr>
      </w:pPr>
    </w:p>
    <w:p>
      <w:pPr>
        <w:shd w:val="clear" w:color="auto" w:fill="auto"/>
        <w:spacing w:line="500" w:lineRule="exact"/>
        <w:ind w:firstLine="436"/>
        <w:rPr>
          <w:rFonts w:ascii="Times New Roman" w:hAnsi="Times New Roman" w:cs="Times New Roman"/>
          <w:spacing w:val="4"/>
        </w:rPr>
      </w:pPr>
    </w:p>
    <w:p>
      <w:pPr>
        <w:shd w:val="clear" w:color="auto" w:fill="auto"/>
        <w:spacing w:line="500" w:lineRule="exact"/>
        <w:ind w:firstLine="436"/>
        <w:rPr>
          <w:rFonts w:ascii="Times New Roman" w:hAnsi="Times New Roman" w:cs="Times New Roman"/>
          <w:spacing w:val="4"/>
        </w:rPr>
      </w:pPr>
    </w:p>
    <w:p>
      <w:pPr>
        <w:shd w:val="clear" w:color="auto" w:fill="auto"/>
        <w:spacing w:line="500" w:lineRule="exact"/>
        <w:rPr>
          <w:rFonts w:ascii="Times New Roman" w:hAnsi="Times New Roman" w:cs="Times New Roman"/>
          <w:spacing w:val="4"/>
        </w:rPr>
      </w:pPr>
    </w:p>
    <w:p>
      <w:pPr>
        <w:shd w:val="clear" w:color="auto" w:fill="auto"/>
        <w:spacing w:line="500" w:lineRule="exact"/>
        <w:rPr>
          <w:rFonts w:ascii="Times New Roman" w:hAnsi="Times New Roman" w:cs="Times New Roman"/>
          <w:u w:val="single"/>
        </w:rPr>
      </w:pPr>
      <w:r>
        <w:rPr>
          <w:rFonts w:ascii="Times New Roman" w:hAnsi="Times New Roman" w:cs="Times New Roman"/>
          <w:spacing w:val="4"/>
        </w:rPr>
        <w:t>投标人名称（</w:t>
      </w:r>
      <w:r>
        <w:rPr>
          <w:rFonts w:ascii="Times New Roman" w:hAnsi="Times New Roman" w:cs="Times New Roman"/>
        </w:rPr>
        <w:t>单位盖</w:t>
      </w:r>
      <w:r>
        <w:rPr>
          <w:rFonts w:ascii="Times New Roman" w:hAnsi="Times New Roman" w:cs="Times New Roman"/>
          <w:spacing w:val="4"/>
        </w:rPr>
        <w:t>公章）：</w:t>
      </w:r>
      <w:r>
        <w:rPr>
          <w:rFonts w:ascii="Times New Roman" w:hAnsi="Times New Roman" w:cs="Times New Roman"/>
          <w:spacing w:val="4"/>
          <w:u w:val="single"/>
        </w:rPr>
        <w:t>____________________________________________________</w:t>
      </w:r>
    </w:p>
    <w:p>
      <w:pPr>
        <w:shd w:val="clear" w:color="auto" w:fill="auto"/>
        <w:spacing w:line="520" w:lineRule="exact"/>
        <w:rPr>
          <w:rFonts w:ascii="Times New Roman" w:hAnsi="Times New Roman" w:cs="Times New Roman"/>
          <w:spacing w:val="4"/>
        </w:rPr>
      </w:pPr>
      <w:r>
        <w:rPr>
          <w:rFonts w:ascii="Times New Roman" w:hAnsi="Times New Roman" w:cs="Times New Roman"/>
        </w:rPr>
        <w:t>法定代表人或投标人授权代表（签名或盖章）：</w:t>
      </w:r>
      <w:r>
        <w:rPr>
          <w:rFonts w:ascii="Times New Roman" w:hAnsi="Times New Roman" w:cs="Times New Roman"/>
          <w:spacing w:val="4"/>
          <w:u w:val="single"/>
        </w:rPr>
        <w:t>_____________</w:t>
      </w:r>
      <w:r>
        <w:rPr>
          <w:rFonts w:ascii="Times New Roman" w:hAnsi="Times New Roman" w:cs="Times New Roman"/>
          <w:spacing w:val="4"/>
        </w:rPr>
        <w:t xml:space="preserve"> 职务：</w:t>
      </w:r>
      <w:r>
        <w:rPr>
          <w:rFonts w:ascii="Times New Roman" w:hAnsi="Times New Roman" w:cs="Times New Roman"/>
          <w:spacing w:val="4"/>
          <w:u w:val="single"/>
        </w:rPr>
        <w:t>_______</w:t>
      </w:r>
      <w:r>
        <w:rPr>
          <w:rFonts w:ascii="Times New Roman" w:hAnsi="Times New Roman" w:cs="Times New Roman"/>
          <w:spacing w:val="4"/>
        </w:rPr>
        <w:t xml:space="preserve"> 日期</w:t>
      </w:r>
      <w:r>
        <w:rPr>
          <w:rFonts w:hint="eastAsia" w:ascii="Times New Roman" w:hAnsi="Times New Roman" w:cs="Times New Roman"/>
          <w:spacing w:val="4"/>
        </w:rPr>
        <w:t>：</w:t>
      </w:r>
      <w:r>
        <w:rPr>
          <w:rFonts w:ascii="Times New Roman" w:hAnsi="Times New Roman" w:cs="Times New Roman"/>
          <w:spacing w:val="4"/>
          <w:u w:val="single"/>
        </w:rPr>
        <w:t>________</w:t>
      </w:r>
    </w:p>
    <w:p>
      <w:pPr>
        <w:shd w:val="clear" w:color="auto" w:fill="auto"/>
        <w:spacing w:line="400" w:lineRule="exact"/>
        <w:ind w:left="750" w:hanging="749" w:hangingChars="357"/>
        <w:rPr>
          <w:rFonts w:ascii="Times New Roman" w:hAnsi="Times New Roman" w:cs="Times New Roman"/>
        </w:rPr>
      </w:pPr>
    </w:p>
    <w:p>
      <w:pPr>
        <w:shd w:val="clear" w:color="auto" w:fill="auto"/>
        <w:spacing w:line="400" w:lineRule="exact"/>
        <w:ind w:left="750" w:hanging="749" w:hangingChars="357"/>
        <w:rPr>
          <w:rFonts w:ascii="Times New Roman" w:hAnsi="Times New Roman" w:cs="Times New Roman"/>
        </w:rPr>
      </w:pPr>
      <w:r>
        <w:rPr>
          <w:rFonts w:ascii="Times New Roman" w:hAnsi="Times New Roman" w:cs="Times New Roman"/>
        </w:rPr>
        <w:t>备注：</w:t>
      </w:r>
    </w:p>
    <w:p>
      <w:pPr>
        <w:shd w:val="clear" w:color="auto" w:fill="auto"/>
        <w:spacing w:line="400" w:lineRule="exact"/>
        <w:ind w:left="749" w:leftChars="200" w:hanging="329" w:hangingChars="157"/>
        <w:rPr>
          <w:rFonts w:ascii="Times New Roman" w:hAnsi="Times New Roman" w:cs="Times New Roman"/>
        </w:rPr>
      </w:pPr>
      <w:r>
        <w:rPr>
          <w:rFonts w:ascii="Times New Roman" w:hAnsi="Times New Roman" w:cs="Times New Roman"/>
        </w:rPr>
        <w:t>1. 此表为《开标一览表(报价表)》的报价明细表。</w:t>
      </w:r>
    </w:p>
    <w:p>
      <w:pPr>
        <w:shd w:val="clear" w:color="auto" w:fill="auto"/>
        <w:spacing w:line="400" w:lineRule="exact"/>
        <w:ind w:left="749" w:leftChars="200" w:hanging="329" w:hangingChars="157"/>
        <w:rPr>
          <w:rFonts w:ascii="Times New Roman" w:hAnsi="Times New Roman" w:cs="Times New Roman"/>
        </w:rPr>
      </w:pPr>
      <w:r>
        <w:rPr>
          <w:rFonts w:ascii="Times New Roman" w:hAnsi="Times New Roman" w:cs="Times New Roman"/>
        </w:rPr>
        <w:t>2. 所有价格均以人民币作为货币单位填写及计算。</w:t>
      </w:r>
    </w:p>
    <w:p>
      <w:pPr>
        <w:shd w:val="clear" w:color="auto" w:fill="auto"/>
        <w:spacing w:line="400" w:lineRule="exact"/>
        <w:ind w:left="539" w:leftChars="200" w:hanging="119" w:hangingChars="57"/>
        <w:rPr>
          <w:rFonts w:ascii="Times New Roman" w:hAnsi="Times New Roman" w:cs="Times New Roman"/>
        </w:rPr>
      </w:pPr>
      <w:r>
        <w:rPr>
          <w:rFonts w:ascii="Times New Roman" w:hAnsi="Times New Roman" w:cs="Times New Roman"/>
        </w:rPr>
        <w:t>3. 该格式仅作参考，投标人的详细报价表格式可自定。</w:t>
      </w:r>
    </w:p>
    <w:p>
      <w:pPr>
        <w:shd w:val="clear" w:color="auto" w:fill="auto"/>
        <w:tabs>
          <w:tab w:val="clear" w:pos="426"/>
        </w:tabs>
        <w:spacing w:line="400" w:lineRule="exact"/>
        <w:ind w:firstLine="424" w:firstLineChars="201"/>
        <w:rPr>
          <w:rFonts w:ascii="Times New Roman" w:hAnsi="Times New Roman" w:cs="Times New Roman"/>
          <w:b/>
          <w:bCs/>
        </w:rPr>
      </w:pPr>
    </w:p>
    <w:p>
      <w:pPr>
        <w:shd w:val="clear" w:color="auto" w:fill="auto"/>
        <w:tabs>
          <w:tab w:val="clear" w:pos="426"/>
        </w:tabs>
        <w:spacing w:line="400" w:lineRule="exact"/>
        <w:ind w:firstLine="424" w:firstLineChars="201"/>
        <w:rPr>
          <w:rFonts w:ascii="Times New Roman" w:hAnsi="Times New Roman" w:cs="Times New Roman"/>
          <w:b/>
          <w:bCs/>
        </w:rPr>
      </w:pPr>
    </w:p>
    <w:p>
      <w:pPr>
        <w:shd w:val="clear" w:color="auto" w:fill="auto"/>
        <w:ind w:firstLine="420"/>
        <w:rPr>
          <w:rFonts w:ascii="Times New Roman" w:hAnsi="Times New Roman" w:cs="Times New Roman"/>
        </w:rPr>
      </w:pPr>
      <w:r>
        <w:rPr>
          <w:rFonts w:ascii="Times New Roman" w:hAnsi="Times New Roman" w:cs="Times New Roman"/>
        </w:rPr>
        <w:br w:type="page"/>
      </w:r>
    </w:p>
    <w:p>
      <w:pPr>
        <w:numPr>
          <w:ilvl w:val="0"/>
          <w:numId w:val="22"/>
        </w:numPr>
        <w:shd w:val="clear" w:color="auto" w:fill="auto"/>
        <w:spacing w:before="280" w:after="290" w:line="377" w:lineRule="auto"/>
        <w:ind w:firstLine="482"/>
        <w:outlineLvl w:val="2"/>
        <w:rPr>
          <w:rFonts w:ascii="Times New Roman" w:hAnsi="Times New Roman" w:cs="Times New Roman"/>
          <w:b/>
          <w:sz w:val="24"/>
        </w:rPr>
      </w:pPr>
      <w:r>
        <w:rPr>
          <w:rFonts w:ascii="Times New Roman" w:hAnsi="Times New Roman" w:cs="Times New Roman"/>
          <w:b/>
          <w:sz w:val="24"/>
        </w:rPr>
        <w:t>实质性条款响应情况表</w:t>
      </w:r>
    </w:p>
    <w:p>
      <w:pPr>
        <w:widowControl w:val="0"/>
        <w:shd w:val="clear" w:color="auto" w:fill="auto"/>
        <w:tabs>
          <w:tab w:val="clear" w:pos="426"/>
        </w:tabs>
        <w:spacing w:line="300" w:lineRule="auto"/>
        <w:ind w:firstLine="640"/>
        <w:jc w:val="center"/>
        <w:rPr>
          <w:rFonts w:ascii="Times New Roman" w:hAnsi="Times New Roman" w:cs="Times New Roman"/>
          <w:bCs/>
          <w:kern w:val="2"/>
          <w:sz w:val="32"/>
          <w:szCs w:val="32"/>
        </w:rPr>
      </w:pPr>
      <w:r>
        <w:rPr>
          <w:rFonts w:ascii="Times New Roman" w:hAnsi="Times New Roman" w:cs="Times New Roman"/>
          <w:bCs/>
          <w:kern w:val="2"/>
          <w:sz w:val="32"/>
          <w:szCs w:val="32"/>
        </w:rPr>
        <w:t>实质性条款响应情况表</w:t>
      </w:r>
    </w:p>
    <w:p>
      <w:pPr>
        <w:shd w:val="clear" w:color="auto" w:fill="auto"/>
        <w:tabs>
          <w:tab w:val="clear" w:pos="426"/>
        </w:tabs>
        <w:ind w:firstLine="420"/>
        <w:rPr>
          <w:rFonts w:ascii="Times New Roman" w:hAnsi="Times New Roman" w:cs="Times New Roman"/>
        </w:rPr>
      </w:pPr>
      <w:r>
        <w:rPr>
          <w:rFonts w:ascii="Times New Roman" w:hAnsi="Times New Roman" w:cs="Times New Roman"/>
        </w:rPr>
        <w:t>项目名称：</w:t>
      </w:r>
      <w:r>
        <w:rPr>
          <w:rFonts w:ascii="Times New Roman" w:hAnsi="Times New Roman" w:cs="Times New Roman"/>
          <w:u w:val="single"/>
        </w:rPr>
        <w:t>________________________________</w:t>
      </w:r>
      <w:r>
        <w:rPr>
          <w:rFonts w:ascii="Times New Roman" w:hAnsi="Times New Roman" w:cs="Times New Roman"/>
        </w:rPr>
        <w:t>招标项目编号：</w:t>
      </w:r>
      <w:r>
        <w:rPr>
          <w:rFonts w:ascii="Times New Roman" w:hAnsi="Times New Roman" w:cs="Times New Roman"/>
          <w:u w:val="single"/>
        </w:rPr>
        <w:t>_______________________</w:t>
      </w:r>
    </w:p>
    <w:tbl>
      <w:tblPr>
        <w:tblStyle w:val="4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2"/>
        <w:gridCol w:w="4151"/>
        <w:gridCol w:w="3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2" w:type="pct"/>
            <w:vAlign w:val="center"/>
          </w:tcPr>
          <w:p>
            <w:pPr>
              <w:shd w:val="clear" w:color="auto" w:fill="auto"/>
              <w:spacing w:line="240" w:lineRule="auto"/>
              <w:jc w:val="center"/>
              <w:rPr>
                <w:rFonts w:ascii="Times New Roman" w:hAnsi="Times New Roman" w:cs="Times New Roman"/>
                <w:szCs w:val="21"/>
              </w:rPr>
            </w:pPr>
            <w:r>
              <w:rPr>
                <w:rFonts w:ascii="Times New Roman" w:hAnsi="Times New Roman" w:cs="Times New Roman"/>
                <w:szCs w:val="21"/>
              </w:rPr>
              <w:t>序号</w:t>
            </w:r>
          </w:p>
        </w:tc>
        <w:tc>
          <w:tcPr>
            <w:tcW w:w="2305" w:type="pct"/>
            <w:vAlign w:val="center"/>
          </w:tcPr>
          <w:p>
            <w:pPr>
              <w:shd w:val="clear" w:color="auto" w:fill="auto"/>
              <w:spacing w:line="240" w:lineRule="auto"/>
              <w:jc w:val="center"/>
              <w:rPr>
                <w:rFonts w:ascii="Times New Roman" w:hAnsi="Times New Roman" w:cs="Times New Roman"/>
                <w:szCs w:val="21"/>
              </w:rPr>
            </w:pPr>
            <w:r>
              <w:rPr>
                <w:rFonts w:ascii="Times New Roman" w:hAnsi="Times New Roman" w:cs="Times New Roman"/>
                <w:szCs w:val="21"/>
              </w:rPr>
              <w:t>招标文件要求内容</w:t>
            </w:r>
          </w:p>
        </w:tc>
        <w:tc>
          <w:tcPr>
            <w:tcW w:w="2083" w:type="pct"/>
            <w:vAlign w:val="center"/>
          </w:tcPr>
          <w:p>
            <w:pPr>
              <w:shd w:val="clear" w:color="auto" w:fill="auto"/>
              <w:spacing w:line="240" w:lineRule="auto"/>
              <w:jc w:val="center"/>
              <w:rPr>
                <w:rFonts w:ascii="Times New Roman" w:hAnsi="Times New Roman" w:cs="Times New Roman"/>
                <w:szCs w:val="21"/>
              </w:rPr>
            </w:pPr>
            <w:r>
              <w:rPr>
                <w:rFonts w:ascii="Times New Roman" w:hAnsi="Times New Roman" w:cs="Times New Roman"/>
                <w:szCs w:val="21"/>
              </w:rPr>
              <w:t>投标文件响应情况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2" w:type="pct"/>
            <w:vAlign w:val="center"/>
          </w:tcPr>
          <w:p>
            <w:pPr>
              <w:shd w:val="clear" w:color="auto" w:fill="auto"/>
              <w:spacing w:line="240" w:lineRule="auto"/>
              <w:jc w:val="center"/>
              <w:rPr>
                <w:rFonts w:ascii="Times New Roman" w:hAnsi="Times New Roman" w:cs="Times New Roman"/>
                <w:color w:val="000000"/>
              </w:rPr>
            </w:pPr>
            <w:r>
              <w:rPr>
                <w:rFonts w:ascii="Times New Roman" w:hAnsi="Times New Roman" w:cs="Times New Roman"/>
                <w:color w:val="000000"/>
              </w:rPr>
              <w:t>1.</w:t>
            </w:r>
          </w:p>
        </w:tc>
        <w:tc>
          <w:tcPr>
            <w:tcW w:w="2305" w:type="pct"/>
            <w:vAlign w:val="center"/>
          </w:tcPr>
          <w:p>
            <w:pPr>
              <w:shd w:val="clear" w:color="auto" w:fill="auto"/>
              <w:spacing w:line="240" w:lineRule="auto"/>
              <w:jc w:val="left"/>
              <w:rPr>
                <w:rFonts w:ascii="Times New Roman" w:hAnsi="Times New Roman" w:cs="Times New Roman"/>
                <w:color w:val="000000"/>
              </w:rPr>
            </w:pPr>
            <w:r>
              <w:rPr>
                <w:rFonts w:ascii="Times New Roman" w:hAnsi="Times New Roman" w:cs="Times New Roman"/>
              </w:rPr>
              <w:t>资格、符合性评审条款：凡出现《资格性审查表》及《符合性审查表》中情形之一的，将导致投标无效。以评审现场结论为准。</w:t>
            </w:r>
          </w:p>
        </w:tc>
        <w:tc>
          <w:tcPr>
            <w:tcW w:w="2083" w:type="pct"/>
            <w:vAlign w:val="center"/>
          </w:tcPr>
          <w:p>
            <w:pPr>
              <w:shd w:val="clear" w:color="auto" w:fill="auto"/>
              <w:spacing w:line="24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2" w:type="pct"/>
            <w:vAlign w:val="center"/>
          </w:tcPr>
          <w:p>
            <w:pPr>
              <w:shd w:val="clear" w:color="auto" w:fill="auto"/>
              <w:spacing w:line="240" w:lineRule="auto"/>
              <w:jc w:val="center"/>
              <w:rPr>
                <w:rFonts w:ascii="Times New Roman" w:hAnsi="Times New Roman" w:cs="Times New Roman"/>
                <w:color w:val="000000"/>
              </w:rPr>
            </w:pPr>
            <w:r>
              <w:rPr>
                <w:rFonts w:ascii="Times New Roman" w:hAnsi="Times New Roman" w:cs="Times New Roman"/>
                <w:color w:val="000000"/>
              </w:rPr>
              <w:t>2</w:t>
            </w:r>
          </w:p>
        </w:tc>
        <w:tc>
          <w:tcPr>
            <w:tcW w:w="2305" w:type="pct"/>
            <w:vAlign w:val="center"/>
          </w:tcPr>
          <w:p>
            <w:pPr>
              <w:shd w:val="clear" w:color="auto" w:fill="auto"/>
              <w:spacing w:line="240" w:lineRule="auto"/>
              <w:jc w:val="left"/>
              <w:rPr>
                <w:rFonts w:ascii="Times New Roman" w:hAnsi="Times New Roman" w:cs="Times New Roman"/>
                <w:color w:val="000000"/>
              </w:rPr>
            </w:pPr>
            <w:r>
              <w:t>实质性要求（以“★”标注）若出现不响应或任何的负偏离，将导致投标无效。</w:t>
            </w:r>
          </w:p>
        </w:tc>
        <w:tc>
          <w:tcPr>
            <w:tcW w:w="2083" w:type="pct"/>
            <w:vAlign w:val="center"/>
          </w:tcPr>
          <w:p>
            <w:pPr>
              <w:shd w:val="clear" w:color="auto" w:fill="auto"/>
              <w:spacing w:line="24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2" w:type="pct"/>
            <w:vAlign w:val="center"/>
          </w:tcPr>
          <w:p>
            <w:pPr>
              <w:shd w:val="clear" w:color="auto" w:fill="auto"/>
              <w:spacing w:line="240" w:lineRule="auto"/>
              <w:jc w:val="center"/>
              <w:rPr>
                <w:rFonts w:ascii="Times New Roman" w:hAnsi="Times New Roman" w:cs="Times New Roman"/>
                <w:color w:val="000000"/>
              </w:rPr>
            </w:pPr>
            <w:r>
              <w:rPr>
                <w:rFonts w:hint="eastAsia" w:ascii="Times New Roman" w:hAnsi="Times New Roman" w:cs="Times New Roman"/>
                <w:color w:val="000000"/>
              </w:rPr>
              <w:t>3</w:t>
            </w:r>
          </w:p>
        </w:tc>
        <w:tc>
          <w:tcPr>
            <w:tcW w:w="2305" w:type="pct"/>
            <w:vAlign w:val="center"/>
          </w:tcPr>
          <w:p>
            <w:pPr>
              <w:shd w:val="clear" w:color="auto" w:fill="auto"/>
              <w:spacing w:line="240" w:lineRule="auto"/>
              <w:jc w:val="left"/>
            </w:pPr>
            <w:r>
              <w:rPr>
                <w:rFonts w:hint="eastAsia"/>
              </w:rPr>
              <w:t>完全满足本项目服务期限的要求。</w:t>
            </w:r>
          </w:p>
        </w:tc>
        <w:tc>
          <w:tcPr>
            <w:tcW w:w="2083" w:type="pct"/>
            <w:vAlign w:val="center"/>
          </w:tcPr>
          <w:p>
            <w:pPr>
              <w:shd w:val="clear" w:color="auto" w:fill="auto"/>
              <w:spacing w:line="24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2" w:type="pct"/>
            <w:vAlign w:val="center"/>
          </w:tcPr>
          <w:p>
            <w:pPr>
              <w:shd w:val="clear" w:color="auto" w:fill="auto"/>
              <w:spacing w:line="240" w:lineRule="auto"/>
              <w:jc w:val="center"/>
              <w:rPr>
                <w:rFonts w:ascii="Times New Roman" w:hAnsi="Times New Roman" w:cs="Times New Roman"/>
                <w:color w:val="000000"/>
              </w:rPr>
            </w:pPr>
            <w:r>
              <w:rPr>
                <w:rFonts w:hint="eastAsia" w:ascii="Times New Roman" w:hAnsi="Times New Roman" w:cs="Times New Roman"/>
                <w:color w:val="000000"/>
              </w:rPr>
              <w:t>4</w:t>
            </w:r>
          </w:p>
        </w:tc>
        <w:tc>
          <w:tcPr>
            <w:tcW w:w="2305" w:type="pct"/>
            <w:vAlign w:val="center"/>
          </w:tcPr>
          <w:p>
            <w:pPr>
              <w:shd w:val="clear" w:color="auto" w:fill="auto"/>
              <w:spacing w:line="240" w:lineRule="auto"/>
              <w:jc w:val="left"/>
            </w:pPr>
            <w:r>
              <w:rPr>
                <w:rFonts w:hint="eastAsia"/>
              </w:rPr>
              <w:t>本项目《图书馆搬馆明细清单》只做投标人报价参考，实际搬迁数量以现场踏勘为准，搬迁现场部分物资未列入清单的，也包含在本次搬迁范围以内，投标人须对此进行单独书面承诺</w:t>
            </w:r>
            <w:r>
              <w:rPr>
                <w:rFonts w:hint="eastAsia"/>
                <w:b/>
                <w:bCs/>
                <w:color w:val="FF0000"/>
              </w:rPr>
              <w:t>（格式自拟，加盖投标人公章）</w:t>
            </w:r>
            <w:r>
              <w:rPr>
                <w:rFonts w:hint="eastAsia"/>
              </w:rPr>
              <w:t>，否则按无效投标处理。</w:t>
            </w:r>
          </w:p>
        </w:tc>
        <w:tc>
          <w:tcPr>
            <w:tcW w:w="2083" w:type="pct"/>
            <w:vAlign w:val="center"/>
          </w:tcPr>
          <w:p>
            <w:pPr>
              <w:shd w:val="clear" w:color="auto" w:fill="auto"/>
              <w:spacing w:line="240" w:lineRule="auto"/>
              <w:jc w:val="center"/>
              <w:rPr>
                <w:rFonts w:ascii="Times New Roman" w:hAnsi="Times New Roman" w:cs="Times New Roman"/>
                <w:szCs w:val="21"/>
              </w:rPr>
            </w:pPr>
          </w:p>
        </w:tc>
      </w:tr>
    </w:tbl>
    <w:p>
      <w:pPr>
        <w:shd w:val="clear" w:color="auto" w:fill="auto"/>
        <w:tabs>
          <w:tab w:val="clear" w:pos="426"/>
        </w:tabs>
        <w:spacing w:line="400" w:lineRule="exact"/>
        <w:ind w:left="539" w:leftChars="200" w:hanging="119" w:hangingChars="57"/>
        <w:rPr>
          <w:rFonts w:ascii="Times New Roman" w:hAnsi="Times New Roman" w:cs="Times New Roman"/>
        </w:rPr>
      </w:pPr>
    </w:p>
    <w:p>
      <w:pPr>
        <w:shd w:val="clear" w:color="auto" w:fill="auto"/>
        <w:ind w:firstLine="420"/>
        <w:rPr>
          <w:rFonts w:ascii="Times New Roman" w:hAnsi="Times New Roman" w:cs="Times New Roman"/>
          <w:bCs/>
        </w:rPr>
      </w:pPr>
      <w:r>
        <w:rPr>
          <w:rFonts w:ascii="Times New Roman" w:hAnsi="Times New Roman" w:cs="Times New Roman"/>
          <w:bCs/>
        </w:rPr>
        <w:t>填写说明：</w:t>
      </w:r>
    </w:p>
    <w:p>
      <w:pPr>
        <w:shd w:val="clear" w:color="auto" w:fill="auto"/>
        <w:ind w:firstLine="420" w:firstLineChars="200"/>
        <w:rPr>
          <w:rFonts w:ascii="Times New Roman" w:hAnsi="Times New Roman" w:cs="Times New Roman"/>
          <w:bCs/>
        </w:rPr>
      </w:pPr>
      <w:r>
        <w:rPr>
          <w:rFonts w:ascii="Times New Roman" w:hAnsi="Times New Roman" w:cs="Times New Roman"/>
          <w:bCs/>
        </w:rPr>
        <w:t>1.上表所列内容为不可负偏离条款。出现负偏离或未响应的，将导致投标无效。</w:t>
      </w:r>
    </w:p>
    <w:p>
      <w:pPr>
        <w:shd w:val="clear" w:color="auto" w:fill="auto"/>
        <w:ind w:firstLine="420" w:firstLineChars="200"/>
        <w:rPr>
          <w:rFonts w:ascii="Times New Roman" w:hAnsi="Times New Roman" w:cs="Times New Roman"/>
          <w:bCs/>
        </w:rPr>
      </w:pPr>
      <w:r>
        <w:rPr>
          <w:rFonts w:ascii="Times New Roman" w:hAnsi="Times New Roman" w:cs="Times New Roman"/>
          <w:bCs/>
        </w:rPr>
        <w:t>2.“投标人响应情况”一栏应如实填写“响应”或“不响应”。</w:t>
      </w:r>
    </w:p>
    <w:p>
      <w:pPr>
        <w:shd w:val="clear" w:color="auto" w:fill="auto"/>
        <w:ind w:firstLine="420" w:firstLineChars="200"/>
        <w:rPr>
          <w:rFonts w:ascii="Times New Roman" w:hAnsi="Times New Roman" w:cs="Times New Roman"/>
          <w:bCs/>
        </w:rPr>
      </w:pPr>
      <w:r>
        <w:rPr>
          <w:rFonts w:ascii="Times New Roman" w:hAnsi="Times New Roman" w:cs="Times New Roman"/>
          <w:bCs/>
        </w:rPr>
        <w:t>3.上表与投标文件其它内容冲突的，以上表为准。</w:t>
      </w:r>
    </w:p>
    <w:p>
      <w:pPr>
        <w:shd w:val="clear" w:color="auto" w:fill="auto"/>
        <w:ind w:firstLine="420" w:firstLineChars="200"/>
        <w:rPr>
          <w:rFonts w:ascii="Times New Roman" w:hAnsi="Times New Roman" w:cs="Times New Roman"/>
          <w:bCs/>
        </w:rPr>
      </w:pPr>
      <w:r>
        <w:rPr>
          <w:rFonts w:hint="eastAsia" w:ascii="Times New Roman" w:hAnsi="Times New Roman" w:cs="Times New Roman"/>
          <w:bCs/>
        </w:rPr>
        <w:t>4.投标文件响应情况所需证明材料附后：</w:t>
      </w:r>
    </w:p>
    <w:p>
      <w:pPr>
        <w:shd w:val="clear" w:color="auto" w:fill="auto"/>
        <w:ind w:firstLine="420" w:firstLineChars="200"/>
        <w:rPr>
          <w:rFonts w:ascii="Times New Roman" w:hAnsi="Times New Roman" w:cs="Times New Roman"/>
          <w:bCs/>
        </w:rPr>
      </w:pPr>
    </w:p>
    <w:p>
      <w:pPr>
        <w:shd w:val="clear" w:color="auto" w:fill="auto"/>
        <w:ind w:firstLine="420" w:firstLineChars="200"/>
        <w:rPr>
          <w:rFonts w:ascii="Times New Roman" w:hAnsi="Times New Roman" w:cs="Times New Roman"/>
          <w:bCs/>
        </w:rPr>
      </w:pPr>
    </w:p>
    <w:p>
      <w:pPr>
        <w:shd w:val="clear" w:color="auto" w:fill="auto"/>
        <w:tabs>
          <w:tab w:val="clear" w:pos="426"/>
        </w:tabs>
        <w:spacing w:line="500" w:lineRule="exact"/>
        <w:ind w:firstLine="436"/>
        <w:rPr>
          <w:rFonts w:ascii="Times New Roman" w:hAnsi="Times New Roman" w:cs="Times New Roman"/>
          <w:u w:val="single"/>
        </w:rPr>
      </w:pPr>
      <w:r>
        <w:rPr>
          <w:rFonts w:ascii="Times New Roman" w:hAnsi="Times New Roman" w:cs="Times New Roman"/>
          <w:spacing w:val="4"/>
        </w:rPr>
        <w:t>投标人名称（</w:t>
      </w:r>
      <w:r>
        <w:rPr>
          <w:rFonts w:ascii="Times New Roman" w:hAnsi="Times New Roman" w:cs="Times New Roman"/>
        </w:rPr>
        <w:t>单位盖</w:t>
      </w:r>
      <w:r>
        <w:rPr>
          <w:rFonts w:ascii="Times New Roman" w:hAnsi="Times New Roman" w:cs="Times New Roman"/>
          <w:spacing w:val="4"/>
        </w:rPr>
        <w:t>公章）：</w:t>
      </w:r>
      <w:r>
        <w:rPr>
          <w:rFonts w:ascii="Times New Roman" w:hAnsi="Times New Roman" w:cs="Times New Roman"/>
          <w:spacing w:val="4"/>
          <w:u w:val="single"/>
        </w:rPr>
        <w:t>_________________________________________________</w:t>
      </w:r>
    </w:p>
    <w:p>
      <w:pPr>
        <w:shd w:val="clear" w:color="auto" w:fill="auto"/>
        <w:tabs>
          <w:tab w:val="clear" w:pos="426"/>
        </w:tabs>
        <w:spacing w:line="520" w:lineRule="exact"/>
        <w:ind w:firstLine="420"/>
        <w:rPr>
          <w:rFonts w:ascii="Times New Roman" w:hAnsi="Times New Roman" w:cs="Times New Roman"/>
          <w:spacing w:val="4"/>
        </w:rPr>
      </w:pPr>
      <w:r>
        <w:rPr>
          <w:rFonts w:ascii="Times New Roman" w:hAnsi="Times New Roman" w:cs="Times New Roman"/>
        </w:rPr>
        <w:t>法定代表人或投标人授权代表（签名或盖章）：</w:t>
      </w:r>
      <w:r>
        <w:rPr>
          <w:rFonts w:ascii="Times New Roman" w:hAnsi="Times New Roman" w:cs="Times New Roman"/>
          <w:spacing w:val="4"/>
          <w:u w:val="single"/>
        </w:rPr>
        <w:t>__________</w:t>
      </w:r>
      <w:r>
        <w:rPr>
          <w:rFonts w:ascii="Times New Roman" w:hAnsi="Times New Roman" w:cs="Times New Roman"/>
          <w:spacing w:val="4"/>
        </w:rPr>
        <w:t xml:space="preserve"> 职务：</w:t>
      </w:r>
      <w:r>
        <w:rPr>
          <w:rFonts w:ascii="Times New Roman" w:hAnsi="Times New Roman" w:cs="Times New Roman"/>
          <w:spacing w:val="4"/>
          <w:u w:val="single"/>
        </w:rPr>
        <w:t>_______</w:t>
      </w:r>
      <w:r>
        <w:rPr>
          <w:rFonts w:ascii="Times New Roman" w:hAnsi="Times New Roman" w:cs="Times New Roman"/>
          <w:spacing w:val="4"/>
        </w:rPr>
        <w:t xml:space="preserve"> 日期</w:t>
      </w:r>
      <w:r>
        <w:rPr>
          <w:rFonts w:hint="eastAsia" w:ascii="Times New Roman" w:hAnsi="Times New Roman" w:cs="Times New Roman"/>
          <w:spacing w:val="4"/>
        </w:rPr>
        <w:t>：</w:t>
      </w:r>
      <w:r>
        <w:rPr>
          <w:rFonts w:ascii="Times New Roman" w:hAnsi="Times New Roman" w:cs="Times New Roman"/>
          <w:spacing w:val="4"/>
          <w:u w:val="single"/>
        </w:rPr>
        <w:t>________</w:t>
      </w:r>
    </w:p>
    <w:p>
      <w:pPr>
        <w:shd w:val="clear" w:color="auto" w:fill="auto"/>
        <w:ind w:firstLine="420" w:firstLineChars="200"/>
        <w:rPr>
          <w:rFonts w:ascii="Times New Roman" w:hAnsi="Times New Roman" w:cs="Times New Roman"/>
          <w:bCs/>
        </w:rPr>
      </w:pPr>
    </w:p>
    <w:p>
      <w:pPr>
        <w:shd w:val="clear" w:color="auto" w:fill="auto"/>
        <w:ind w:firstLine="422" w:firstLineChars="200"/>
        <w:rPr>
          <w:rFonts w:ascii="Times New Roman" w:hAnsi="Times New Roman" w:cs="Times New Roman"/>
          <w:b/>
          <w:color w:val="FF0000"/>
        </w:rPr>
      </w:pPr>
    </w:p>
    <w:p>
      <w:pPr>
        <w:shd w:val="clear" w:color="auto" w:fill="auto"/>
        <w:tabs>
          <w:tab w:val="clear" w:pos="426"/>
        </w:tabs>
        <w:adjustRightInd/>
        <w:snapToGrid/>
        <w:spacing w:line="240" w:lineRule="auto"/>
        <w:ind w:firstLine="422"/>
        <w:jc w:val="left"/>
        <w:rPr>
          <w:rFonts w:ascii="Times New Roman" w:hAnsi="Times New Roman" w:cs="Times New Roman"/>
          <w:b/>
          <w:color w:val="FF0000"/>
        </w:rPr>
      </w:pPr>
      <w:r>
        <w:rPr>
          <w:rFonts w:ascii="Times New Roman" w:hAnsi="Times New Roman" w:cs="Times New Roman"/>
          <w:b/>
          <w:color w:val="FF0000"/>
        </w:rPr>
        <w:br w:type="page"/>
      </w:r>
    </w:p>
    <w:p>
      <w:pPr>
        <w:numPr>
          <w:ilvl w:val="0"/>
          <w:numId w:val="22"/>
        </w:numPr>
        <w:shd w:val="clear" w:color="auto" w:fill="auto"/>
        <w:spacing w:before="280" w:after="290" w:line="377" w:lineRule="auto"/>
        <w:ind w:firstLine="482"/>
        <w:outlineLvl w:val="2"/>
        <w:rPr>
          <w:rFonts w:ascii="Times New Roman" w:hAnsi="Times New Roman" w:cs="Times New Roman"/>
          <w:b/>
          <w:sz w:val="24"/>
        </w:rPr>
      </w:pPr>
      <w:r>
        <w:rPr>
          <w:rFonts w:hint="eastAsia" w:ascii="Times New Roman" w:hAnsi="Times New Roman" w:cs="Times New Roman"/>
          <w:b/>
          <w:sz w:val="24"/>
        </w:rPr>
        <w:t>项目需求响应情况表（实质性条款除外）</w:t>
      </w:r>
    </w:p>
    <w:p>
      <w:pPr>
        <w:widowControl w:val="0"/>
        <w:shd w:val="clear" w:color="auto" w:fill="auto"/>
        <w:tabs>
          <w:tab w:val="clear" w:pos="426"/>
        </w:tabs>
        <w:spacing w:line="300" w:lineRule="auto"/>
        <w:jc w:val="center"/>
        <w:rPr>
          <w:rFonts w:ascii="Times New Roman" w:hAnsi="Times New Roman" w:cs="Times New Roman"/>
          <w:bCs/>
          <w:kern w:val="2"/>
          <w:sz w:val="32"/>
          <w:szCs w:val="32"/>
        </w:rPr>
      </w:pPr>
      <w:r>
        <w:rPr>
          <w:rFonts w:ascii="Times New Roman" w:hAnsi="Times New Roman" w:cs="Times New Roman"/>
          <w:bCs/>
          <w:kern w:val="2"/>
          <w:sz w:val="32"/>
          <w:szCs w:val="32"/>
        </w:rPr>
        <w:t>项目需求响应情况表（实质性条款除外）</w:t>
      </w:r>
    </w:p>
    <w:p>
      <w:pPr>
        <w:shd w:val="clear" w:color="auto" w:fill="auto"/>
        <w:tabs>
          <w:tab w:val="clear" w:pos="426"/>
        </w:tabs>
        <w:rPr>
          <w:rFonts w:ascii="Times New Roman" w:hAnsi="Times New Roman" w:cs="Times New Roman"/>
        </w:rPr>
      </w:pPr>
    </w:p>
    <w:p>
      <w:pPr>
        <w:shd w:val="clear" w:color="auto" w:fill="auto"/>
        <w:tabs>
          <w:tab w:val="clear" w:pos="426"/>
        </w:tabs>
        <w:rPr>
          <w:rFonts w:ascii="Times New Roman" w:hAnsi="Times New Roman" w:cs="Times New Roman"/>
        </w:rPr>
      </w:pPr>
      <w:r>
        <w:rPr>
          <w:rFonts w:ascii="Times New Roman" w:hAnsi="Times New Roman" w:cs="Times New Roman"/>
        </w:rPr>
        <w:t>项目名称：</w:t>
      </w:r>
      <w:r>
        <w:rPr>
          <w:rFonts w:ascii="Times New Roman" w:hAnsi="Times New Roman" w:cs="Times New Roman"/>
          <w:u w:val="single"/>
        </w:rPr>
        <w:t>_____________________________________</w:t>
      </w:r>
      <w:r>
        <w:rPr>
          <w:rFonts w:ascii="Times New Roman" w:hAnsi="Times New Roman" w:cs="Times New Roman"/>
        </w:rPr>
        <w:t>采购项目编号：</w:t>
      </w:r>
      <w:r>
        <w:rPr>
          <w:rFonts w:ascii="Times New Roman" w:hAnsi="Times New Roman" w:cs="Times New Roman"/>
          <w:u w:val="single"/>
        </w:rPr>
        <w:t xml:space="preserve">_______________     </w:t>
      </w:r>
    </w:p>
    <w:tbl>
      <w:tblPr>
        <w:tblStyle w:val="44"/>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3200"/>
        <w:gridCol w:w="5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3" w:type="dxa"/>
            <w:vAlign w:val="center"/>
          </w:tcPr>
          <w:p>
            <w:pPr>
              <w:shd w:val="clear" w:color="auto" w:fill="auto"/>
              <w:spacing w:line="240" w:lineRule="auto"/>
              <w:jc w:val="center"/>
              <w:rPr>
                <w:rFonts w:ascii="Times New Roman" w:hAnsi="Times New Roman" w:cs="Times New Roman"/>
                <w:szCs w:val="21"/>
              </w:rPr>
            </w:pPr>
            <w:r>
              <w:rPr>
                <w:rFonts w:ascii="Times New Roman" w:hAnsi="Times New Roman" w:cs="Times New Roman"/>
                <w:szCs w:val="21"/>
              </w:rPr>
              <w:t>序号</w:t>
            </w:r>
          </w:p>
        </w:tc>
        <w:tc>
          <w:tcPr>
            <w:tcW w:w="3200" w:type="dxa"/>
            <w:vAlign w:val="center"/>
          </w:tcPr>
          <w:p>
            <w:pPr>
              <w:shd w:val="clear" w:color="auto" w:fill="auto"/>
              <w:spacing w:line="240" w:lineRule="auto"/>
              <w:jc w:val="center"/>
              <w:rPr>
                <w:rFonts w:ascii="Times New Roman" w:hAnsi="Times New Roman" w:cs="Times New Roman"/>
                <w:szCs w:val="21"/>
              </w:rPr>
            </w:pPr>
            <w:r>
              <w:rPr>
                <w:rFonts w:ascii="Times New Roman" w:hAnsi="Times New Roman" w:cs="Times New Roman"/>
                <w:szCs w:val="21"/>
              </w:rPr>
              <w:t>招标文件要求</w:t>
            </w:r>
          </w:p>
        </w:tc>
        <w:tc>
          <w:tcPr>
            <w:tcW w:w="5537" w:type="dxa"/>
            <w:vAlign w:val="center"/>
          </w:tcPr>
          <w:p>
            <w:pPr>
              <w:shd w:val="clear" w:color="auto" w:fill="auto"/>
              <w:spacing w:line="240" w:lineRule="auto"/>
              <w:jc w:val="center"/>
              <w:rPr>
                <w:rFonts w:ascii="Times New Roman" w:hAnsi="Times New Roman" w:cs="Times New Roman"/>
                <w:szCs w:val="21"/>
              </w:rPr>
            </w:pPr>
            <w:r>
              <w:rPr>
                <w:rFonts w:ascii="Times New Roman" w:hAnsi="Times New Roman" w:cs="Times New Roman"/>
                <w:szCs w:val="21"/>
              </w:rPr>
              <w:t>投标文件响应情况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3" w:type="dxa"/>
            <w:vAlign w:val="center"/>
          </w:tcPr>
          <w:p>
            <w:pPr>
              <w:shd w:val="clear" w:color="auto" w:fill="auto"/>
              <w:spacing w:line="240" w:lineRule="auto"/>
              <w:jc w:val="center"/>
              <w:rPr>
                <w:rFonts w:ascii="Times New Roman" w:hAnsi="Times New Roman" w:cs="Times New Roman"/>
                <w:szCs w:val="21"/>
              </w:rPr>
            </w:pPr>
            <w:r>
              <w:rPr>
                <w:rFonts w:ascii="Times New Roman" w:hAnsi="Times New Roman" w:cs="Times New Roman"/>
                <w:szCs w:val="21"/>
              </w:rPr>
              <w:t>1</w:t>
            </w:r>
          </w:p>
        </w:tc>
        <w:tc>
          <w:tcPr>
            <w:tcW w:w="3200" w:type="dxa"/>
            <w:vAlign w:val="center"/>
          </w:tcPr>
          <w:p>
            <w:pPr>
              <w:shd w:val="clear" w:color="auto" w:fill="auto"/>
              <w:spacing w:line="240" w:lineRule="auto"/>
              <w:jc w:val="center"/>
              <w:rPr>
                <w:rFonts w:ascii="Times New Roman" w:hAnsi="Times New Roman" w:cs="Times New Roman"/>
                <w:bCs/>
              </w:rPr>
            </w:pPr>
            <w:r>
              <w:rPr>
                <w:rFonts w:ascii="Times New Roman" w:hAnsi="Times New Roman" w:cs="Times New Roman"/>
              </w:rPr>
              <w:t>招标文件第三章</w:t>
            </w:r>
            <w:r>
              <w:rPr>
                <w:rFonts w:ascii="Times New Roman" w:hAnsi="Times New Roman" w:cs="Times New Roman"/>
                <w:bCs/>
              </w:rPr>
              <w:t>项目</w:t>
            </w:r>
            <w:r>
              <w:rPr>
                <w:rFonts w:ascii="Times New Roman" w:hAnsi="Times New Roman" w:cs="Times New Roman"/>
              </w:rPr>
              <w:t>需求</w:t>
            </w:r>
            <w:r>
              <w:rPr>
                <w:rFonts w:ascii="Times New Roman" w:hAnsi="Times New Roman" w:cs="Times New Roman"/>
                <w:bCs/>
              </w:rPr>
              <w:t>（实质性条款除外）</w:t>
            </w:r>
            <w:r>
              <w:rPr>
                <w:rFonts w:ascii="Times New Roman" w:hAnsi="Times New Roman" w:cs="Times New Roman"/>
              </w:rPr>
              <w:t>的全部内容</w:t>
            </w:r>
          </w:p>
        </w:tc>
        <w:tc>
          <w:tcPr>
            <w:tcW w:w="5537" w:type="dxa"/>
            <w:vAlign w:val="center"/>
          </w:tcPr>
          <w:p>
            <w:pPr>
              <w:shd w:val="clear" w:color="auto" w:fill="auto"/>
              <w:spacing w:line="240" w:lineRule="auto"/>
              <w:jc w:val="center"/>
              <w:rPr>
                <w:rFonts w:ascii="Times New Roman" w:hAnsi="Times New Roman" w:cs="Times New Roman"/>
              </w:rPr>
            </w:pPr>
          </w:p>
        </w:tc>
      </w:tr>
    </w:tbl>
    <w:p>
      <w:pPr>
        <w:shd w:val="clear" w:color="auto" w:fill="auto"/>
        <w:tabs>
          <w:tab w:val="clear" w:pos="426"/>
        </w:tabs>
        <w:ind w:firstLine="424" w:firstLineChars="202"/>
        <w:rPr>
          <w:rFonts w:ascii="Times New Roman" w:hAnsi="Times New Roman" w:cs="Times New Roman"/>
          <w:bCs/>
        </w:rPr>
      </w:pPr>
    </w:p>
    <w:p>
      <w:pPr>
        <w:shd w:val="clear" w:color="auto" w:fill="auto"/>
        <w:tabs>
          <w:tab w:val="clear" w:pos="426"/>
        </w:tabs>
        <w:rPr>
          <w:rFonts w:ascii="Times New Roman" w:hAnsi="Times New Roman" w:cs="Times New Roman"/>
          <w:bCs/>
        </w:rPr>
      </w:pPr>
      <w:r>
        <w:rPr>
          <w:rFonts w:ascii="Times New Roman" w:hAnsi="Times New Roman" w:cs="Times New Roman"/>
          <w:bCs/>
        </w:rPr>
        <w:t>填写说明：</w:t>
      </w:r>
    </w:p>
    <w:p>
      <w:pPr>
        <w:shd w:val="clear" w:color="auto" w:fill="auto"/>
        <w:tabs>
          <w:tab w:val="clear" w:pos="426"/>
        </w:tabs>
        <w:ind w:firstLine="424" w:firstLineChars="202"/>
        <w:rPr>
          <w:rFonts w:ascii="Times New Roman" w:hAnsi="Times New Roman" w:cs="Times New Roman"/>
          <w:bCs/>
        </w:rPr>
      </w:pPr>
      <w:r>
        <w:rPr>
          <w:rFonts w:ascii="Times New Roman" w:hAnsi="Times New Roman" w:cs="Times New Roman"/>
          <w:bCs/>
        </w:rPr>
        <w:t>1.上表所列内容若出现负偏离，不会导致投标无效。</w:t>
      </w:r>
    </w:p>
    <w:p>
      <w:pPr>
        <w:shd w:val="clear" w:color="auto" w:fill="auto"/>
        <w:tabs>
          <w:tab w:val="clear" w:pos="426"/>
        </w:tabs>
        <w:ind w:firstLine="424" w:firstLineChars="202"/>
        <w:rPr>
          <w:rFonts w:ascii="Times New Roman" w:hAnsi="Times New Roman" w:cs="Times New Roman"/>
          <w:bCs/>
        </w:rPr>
      </w:pPr>
      <w:r>
        <w:rPr>
          <w:rFonts w:ascii="Times New Roman" w:hAnsi="Times New Roman" w:cs="Times New Roman"/>
          <w:bCs/>
        </w:rPr>
        <w:t>2.“投标文件响应情况”一栏应如实填写“符合”或“正偏离”或“负偏离”。</w:t>
      </w:r>
    </w:p>
    <w:p>
      <w:pPr>
        <w:shd w:val="clear" w:color="auto" w:fill="auto"/>
        <w:tabs>
          <w:tab w:val="clear" w:pos="426"/>
        </w:tabs>
        <w:ind w:firstLine="424" w:firstLineChars="202"/>
        <w:rPr>
          <w:rFonts w:ascii="Times New Roman" w:hAnsi="Times New Roman" w:cs="Times New Roman"/>
          <w:bCs/>
        </w:rPr>
      </w:pPr>
      <w:r>
        <w:rPr>
          <w:rFonts w:ascii="Times New Roman" w:hAnsi="Times New Roman" w:cs="Times New Roman"/>
          <w:bCs/>
        </w:rPr>
        <w:t>（1）“符合”：投标文件响应情况符合招标文件要求。</w:t>
      </w:r>
    </w:p>
    <w:p>
      <w:pPr>
        <w:shd w:val="clear" w:color="auto" w:fill="auto"/>
        <w:tabs>
          <w:tab w:val="clear" w:pos="426"/>
        </w:tabs>
        <w:ind w:firstLine="424" w:firstLineChars="202"/>
        <w:rPr>
          <w:rFonts w:ascii="Times New Roman" w:hAnsi="Times New Roman" w:cs="Times New Roman"/>
          <w:bCs/>
        </w:rPr>
      </w:pPr>
      <w:r>
        <w:rPr>
          <w:rFonts w:ascii="Times New Roman" w:hAnsi="Times New Roman" w:cs="Times New Roman"/>
          <w:bCs/>
        </w:rPr>
        <w:t>（2）“正偏离”：投标文件响应情况优于招标文件要求，应作详细说明。</w:t>
      </w:r>
    </w:p>
    <w:p>
      <w:pPr>
        <w:shd w:val="clear" w:color="auto" w:fill="auto"/>
        <w:tabs>
          <w:tab w:val="clear" w:pos="426"/>
        </w:tabs>
        <w:ind w:firstLine="424" w:firstLineChars="202"/>
        <w:rPr>
          <w:rFonts w:ascii="Times New Roman" w:hAnsi="Times New Roman" w:cs="Times New Roman"/>
          <w:bCs/>
        </w:rPr>
      </w:pPr>
      <w:r>
        <w:rPr>
          <w:rFonts w:ascii="Times New Roman" w:hAnsi="Times New Roman" w:cs="Times New Roman"/>
          <w:bCs/>
        </w:rPr>
        <w:t>（3）“负偏离”：投标文件响应情况没有达到招标文件要求，应作详细说明。</w:t>
      </w:r>
    </w:p>
    <w:p>
      <w:pPr>
        <w:shd w:val="clear" w:color="auto" w:fill="auto"/>
        <w:tabs>
          <w:tab w:val="clear" w:pos="426"/>
        </w:tabs>
        <w:ind w:firstLine="424" w:firstLineChars="202"/>
        <w:rPr>
          <w:rFonts w:ascii="Times New Roman" w:hAnsi="Times New Roman" w:cs="Times New Roman"/>
          <w:bCs/>
        </w:rPr>
      </w:pPr>
      <w:r>
        <w:rPr>
          <w:rFonts w:ascii="Times New Roman" w:hAnsi="Times New Roman" w:cs="Times New Roman"/>
          <w:bCs/>
        </w:rPr>
        <w:t>（4）若招标文件要求提供证明材料的，须按要求提供相关证明文件，否则视为负偏离。</w:t>
      </w:r>
    </w:p>
    <w:p>
      <w:pPr>
        <w:shd w:val="clear" w:color="auto" w:fill="auto"/>
        <w:tabs>
          <w:tab w:val="clear" w:pos="426"/>
        </w:tabs>
        <w:ind w:firstLine="424" w:firstLineChars="202"/>
        <w:rPr>
          <w:rFonts w:ascii="Times New Roman" w:hAnsi="Times New Roman" w:cs="Times New Roman"/>
          <w:bCs/>
        </w:rPr>
      </w:pPr>
      <w:r>
        <w:rPr>
          <w:rFonts w:ascii="Times New Roman" w:hAnsi="Times New Roman" w:cs="Times New Roman"/>
          <w:bCs/>
        </w:rPr>
        <w:t>3.上表与投标文件其它内容冲突的，以上表为准。</w:t>
      </w:r>
    </w:p>
    <w:p>
      <w:pPr>
        <w:shd w:val="clear" w:color="auto" w:fill="auto"/>
        <w:tabs>
          <w:tab w:val="clear" w:pos="426"/>
        </w:tabs>
        <w:ind w:firstLine="424" w:firstLineChars="202"/>
        <w:rPr>
          <w:rFonts w:ascii="Times New Roman" w:hAnsi="Times New Roman" w:cs="Times New Roman"/>
          <w:bCs/>
        </w:rPr>
      </w:pPr>
      <w:r>
        <w:rPr>
          <w:rFonts w:hint="eastAsia" w:ascii="Times New Roman" w:hAnsi="Times New Roman" w:cs="Times New Roman"/>
          <w:bCs/>
        </w:rPr>
        <w:t>4.投标文件响应情况所需证明材料附后：</w:t>
      </w:r>
    </w:p>
    <w:p>
      <w:pPr>
        <w:shd w:val="clear" w:color="auto" w:fill="auto"/>
        <w:tabs>
          <w:tab w:val="clear" w:pos="426"/>
        </w:tabs>
        <w:ind w:firstLine="424" w:firstLineChars="202"/>
        <w:rPr>
          <w:rFonts w:ascii="Times New Roman" w:hAnsi="Times New Roman" w:cs="Times New Roman"/>
          <w:bCs/>
        </w:rPr>
      </w:pPr>
    </w:p>
    <w:p>
      <w:pPr>
        <w:shd w:val="clear" w:color="auto" w:fill="auto"/>
        <w:tabs>
          <w:tab w:val="clear" w:pos="426"/>
        </w:tabs>
        <w:ind w:firstLine="424" w:firstLineChars="202"/>
        <w:rPr>
          <w:rFonts w:ascii="Times New Roman" w:hAnsi="Times New Roman" w:cs="Times New Roman"/>
          <w:bCs/>
        </w:rPr>
      </w:pPr>
    </w:p>
    <w:p>
      <w:pPr>
        <w:shd w:val="clear" w:color="auto" w:fill="auto"/>
        <w:tabs>
          <w:tab w:val="clear" w:pos="426"/>
        </w:tabs>
        <w:rPr>
          <w:rFonts w:ascii="Times New Roman" w:hAnsi="Times New Roman" w:cs="Times New Roman"/>
          <w:b/>
        </w:rPr>
      </w:pPr>
      <w:r>
        <w:rPr>
          <w:rFonts w:ascii="Times New Roman" w:hAnsi="Times New Roman" w:cs="Times New Roman"/>
          <w:b/>
        </w:rPr>
        <w:t>附件（可选）：关于偏离情况的说明（格式自定）</w:t>
      </w:r>
    </w:p>
    <w:p>
      <w:pPr>
        <w:shd w:val="clear" w:color="auto" w:fill="auto"/>
        <w:tabs>
          <w:tab w:val="clear" w:pos="426"/>
        </w:tabs>
        <w:ind w:firstLine="424" w:firstLineChars="202"/>
        <w:rPr>
          <w:rFonts w:ascii="Times New Roman" w:hAnsi="Times New Roman" w:cs="Times New Roman"/>
          <w:bCs/>
        </w:rPr>
      </w:pPr>
    </w:p>
    <w:p>
      <w:pPr>
        <w:shd w:val="clear" w:color="auto" w:fill="auto"/>
        <w:tabs>
          <w:tab w:val="clear" w:pos="426"/>
        </w:tabs>
        <w:spacing w:line="500" w:lineRule="exact"/>
        <w:rPr>
          <w:rFonts w:ascii="Times New Roman" w:hAnsi="Times New Roman" w:cs="Times New Roman"/>
          <w:u w:val="single"/>
        </w:rPr>
      </w:pPr>
      <w:r>
        <w:rPr>
          <w:rFonts w:ascii="Times New Roman" w:hAnsi="Times New Roman" w:cs="Times New Roman"/>
          <w:spacing w:val="4"/>
        </w:rPr>
        <w:t>投标人名称（</w:t>
      </w:r>
      <w:r>
        <w:rPr>
          <w:rFonts w:ascii="Times New Roman" w:hAnsi="Times New Roman" w:cs="Times New Roman"/>
        </w:rPr>
        <w:t>单位盖</w:t>
      </w:r>
      <w:r>
        <w:rPr>
          <w:rFonts w:ascii="Times New Roman" w:hAnsi="Times New Roman" w:cs="Times New Roman"/>
          <w:spacing w:val="4"/>
        </w:rPr>
        <w:t>公章）：</w:t>
      </w:r>
      <w:r>
        <w:rPr>
          <w:rFonts w:ascii="Times New Roman" w:hAnsi="Times New Roman" w:cs="Times New Roman"/>
          <w:spacing w:val="4"/>
          <w:u w:val="single"/>
        </w:rPr>
        <w:t>__________________________________________________</w:t>
      </w:r>
    </w:p>
    <w:p>
      <w:pPr>
        <w:shd w:val="clear" w:color="auto" w:fill="auto"/>
        <w:tabs>
          <w:tab w:val="clear" w:pos="426"/>
        </w:tabs>
        <w:spacing w:line="520" w:lineRule="exact"/>
        <w:rPr>
          <w:rFonts w:ascii="Times New Roman" w:hAnsi="Times New Roman" w:cs="Times New Roman"/>
          <w:spacing w:val="4"/>
        </w:rPr>
      </w:pPr>
      <w:r>
        <w:rPr>
          <w:rFonts w:ascii="Times New Roman" w:hAnsi="Times New Roman" w:cs="Times New Roman"/>
        </w:rPr>
        <w:t>法定代表人或投标人授权代表（签名或盖章）：</w:t>
      </w:r>
      <w:r>
        <w:rPr>
          <w:rFonts w:ascii="Times New Roman" w:hAnsi="Times New Roman" w:cs="Times New Roman"/>
          <w:spacing w:val="4"/>
          <w:u w:val="single"/>
        </w:rPr>
        <w:t>____________</w:t>
      </w:r>
      <w:r>
        <w:rPr>
          <w:rFonts w:ascii="Times New Roman" w:hAnsi="Times New Roman" w:cs="Times New Roman"/>
          <w:spacing w:val="4"/>
        </w:rPr>
        <w:t xml:space="preserve"> 职务：</w:t>
      </w:r>
      <w:r>
        <w:rPr>
          <w:rFonts w:ascii="Times New Roman" w:hAnsi="Times New Roman" w:cs="Times New Roman"/>
          <w:spacing w:val="4"/>
          <w:u w:val="single"/>
        </w:rPr>
        <w:t>______</w:t>
      </w:r>
      <w:r>
        <w:rPr>
          <w:rFonts w:ascii="Times New Roman" w:hAnsi="Times New Roman" w:cs="Times New Roman"/>
          <w:spacing w:val="4"/>
        </w:rPr>
        <w:t xml:space="preserve"> 日期</w:t>
      </w:r>
      <w:r>
        <w:rPr>
          <w:rFonts w:hint="eastAsia" w:ascii="Times New Roman" w:hAnsi="Times New Roman" w:cs="Times New Roman"/>
          <w:spacing w:val="4"/>
        </w:rPr>
        <w:t>：</w:t>
      </w:r>
      <w:r>
        <w:rPr>
          <w:rFonts w:ascii="Times New Roman" w:hAnsi="Times New Roman" w:cs="Times New Roman"/>
          <w:spacing w:val="4"/>
          <w:u w:val="single"/>
        </w:rPr>
        <w:t>_______</w:t>
      </w:r>
    </w:p>
    <w:p>
      <w:pPr>
        <w:shd w:val="clear" w:color="auto" w:fill="auto"/>
        <w:ind w:firstLine="422"/>
        <w:rPr>
          <w:rFonts w:ascii="Times New Roman" w:hAnsi="Times New Roman" w:cs="Times New Roman"/>
          <w:b/>
          <w:color w:val="FF0000"/>
        </w:rPr>
      </w:pPr>
    </w:p>
    <w:p>
      <w:pPr>
        <w:shd w:val="clear" w:color="auto" w:fill="auto"/>
        <w:tabs>
          <w:tab w:val="clear" w:pos="426"/>
        </w:tabs>
        <w:adjustRightInd/>
        <w:snapToGrid/>
        <w:spacing w:line="240" w:lineRule="auto"/>
        <w:ind w:firstLine="422"/>
        <w:jc w:val="left"/>
        <w:rPr>
          <w:rFonts w:ascii="Times New Roman" w:hAnsi="Times New Roman" w:cs="Times New Roman"/>
          <w:b/>
          <w:color w:val="FF0000"/>
        </w:rPr>
      </w:pPr>
      <w:r>
        <w:rPr>
          <w:rFonts w:ascii="Times New Roman" w:hAnsi="Times New Roman" w:cs="Times New Roman"/>
          <w:b/>
          <w:color w:val="FF0000"/>
        </w:rPr>
        <w:br w:type="page"/>
      </w:r>
    </w:p>
    <w:p>
      <w:pPr>
        <w:numPr>
          <w:ilvl w:val="0"/>
          <w:numId w:val="22"/>
        </w:numPr>
        <w:shd w:val="clear" w:color="auto" w:fill="auto"/>
        <w:spacing w:before="280" w:after="290" w:line="377" w:lineRule="auto"/>
        <w:ind w:firstLine="482"/>
        <w:outlineLvl w:val="2"/>
        <w:rPr>
          <w:rFonts w:ascii="Times New Roman" w:hAnsi="Times New Roman" w:cs="Times New Roman"/>
          <w:b/>
          <w:sz w:val="24"/>
        </w:rPr>
      </w:pPr>
      <w:r>
        <w:rPr>
          <w:rFonts w:hint="eastAsia" w:ascii="Times New Roman" w:hAnsi="Times New Roman" w:cs="Times New Roman"/>
          <w:b/>
          <w:sz w:val="24"/>
        </w:rPr>
        <w:t>项目总体方案（格式自拟）</w:t>
      </w:r>
    </w:p>
    <w:p>
      <w:pPr>
        <w:numPr>
          <w:ilvl w:val="0"/>
          <w:numId w:val="22"/>
        </w:numPr>
        <w:shd w:val="clear" w:color="auto" w:fill="auto"/>
        <w:spacing w:before="280" w:after="290" w:line="377" w:lineRule="auto"/>
        <w:ind w:firstLine="482"/>
        <w:outlineLvl w:val="2"/>
        <w:rPr>
          <w:rFonts w:ascii="Times New Roman" w:hAnsi="Times New Roman" w:cs="Times New Roman"/>
          <w:b/>
          <w:sz w:val="24"/>
        </w:rPr>
      </w:pPr>
      <w:r>
        <w:rPr>
          <w:rFonts w:hint="eastAsia" w:ascii="Times New Roman" w:hAnsi="Times New Roman" w:cs="Times New Roman"/>
          <w:b/>
          <w:sz w:val="24"/>
        </w:rPr>
        <w:t>图书上下架分类方案（格式自拟）</w:t>
      </w:r>
    </w:p>
    <w:p>
      <w:pPr>
        <w:numPr>
          <w:ilvl w:val="0"/>
          <w:numId w:val="22"/>
        </w:numPr>
        <w:shd w:val="clear" w:color="auto" w:fill="auto"/>
        <w:spacing w:before="280" w:after="290" w:line="377" w:lineRule="auto"/>
        <w:ind w:firstLine="482"/>
        <w:outlineLvl w:val="2"/>
        <w:rPr>
          <w:rFonts w:ascii="Times New Roman" w:hAnsi="Times New Roman" w:cs="Times New Roman"/>
          <w:b/>
          <w:sz w:val="24"/>
        </w:rPr>
      </w:pPr>
      <w:r>
        <w:rPr>
          <w:rFonts w:hint="eastAsia" w:ascii="Times New Roman" w:hAnsi="Times New Roman" w:cs="Times New Roman"/>
          <w:b/>
          <w:sz w:val="24"/>
        </w:rPr>
        <w:t>机房搬迁方案（格式自拟）</w:t>
      </w:r>
    </w:p>
    <w:p>
      <w:pPr>
        <w:numPr>
          <w:ilvl w:val="0"/>
          <w:numId w:val="22"/>
        </w:numPr>
        <w:shd w:val="clear" w:color="auto" w:fill="auto"/>
        <w:spacing w:before="280" w:after="290" w:line="377" w:lineRule="auto"/>
        <w:ind w:firstLine="482"/>
        <w:outlineLvl w:val="2"/>
        <w:rPr>
          <w:rFonts w:ascii="Times New Roman" w:hAnsi="Times New Roman" w:cs="Times New Roman"/>
          <w:b/>
          <w:sz w:val="24"/>
        </w:rPr>
      </w:pPr>
      <w:r>
        <w:rPr>
          <w:rFonts w:hint="eastAsia" w:ascii="Times New Roman" w:hAnsi="Times New Roman" w:cs="Times New Roman"/>
          <w:b/>
          <w:sz w:val="24"/>
        </w:rPr>
        <w:t>项目重点难点分析、应对措施及相关的合理化建议（格式自拟）</w:t>
      </w:r>
    </w:p>
    <w:p>
      <w:pPr>
        <w:numPr>
          <w:ilvl w:val="0"/>
          <w:numId w:val="22"/>
        </w:numPr>
        <w:shd w:val="clear" w:color="auto" w:fill="auto"/>
        <w:spacing w:before="280" w:after="290" w:line="377" w:lineRule="auto"/>
        <w:ind w:firstLine="482"/>
        <w:outlineLvl w:val="2"/>
        <w:rPr>
          <w:rFonts w:ascii="Times New Roman" w:hAnsi="Times New Roman" w:cs="Times New Roman"/>
          <w:b/>
          <w:sz w:val="24"/>
        </w:rPr>
      </w:pPr>
      <w:r>
        <w:rPr>
          <w:rFonts w:hint="eastAsia" w:ascii="Times New Roman" w:hAnsi="Times New Roman" w:cs="Times New Roman"/>
          <w:b/>
          <w:sz w:val="24"/>
        </w:rPr>
        <w:t>质量与安全保障措施（格式自拟）</w:t>
      </w:r>
    </w:p>
    <w:p>
      <w:pPr>
        <w:numPr>
          <w:ilvl w:val="0"/>
          <w:numId w:val="22"/>
        </w:numPr>
        <w:shd w:val="clear" w:color="auto" w:fill="auto"/>
        <w:spacing w:before="280" w:after="290" w:line="377" w:lineRule="auto"/>
        <w:ind w:firstLine="482"/>
        <w:outlineLvl w:val="2"/>
        <w:rPr>
          <w:rFonts w:ascii="Times New Roman" w:hAnsi="Times New Roman" w:cs="Times New Roman"/>
          <w:b/>
          <w:sz w:val="24"/>
        </w:rPr>
      </w:pPr>
      <w:r>
        <w:rPr>
          <w:rFonts w:hint="eastAsia" w:ascii="Times New Roman" w:hAnsi="Times New Roman" w:cs="Times New Roman"/>
          <w:b/>
          <w:sz w:val="24"/>
        </w:rPr>
        <w:t>拟安排的项目负责人情况（仅限一人）（格式自拟）</w:t>
      </w:r>
    </w:p>
    <w:p>
      <w:pPr>
        <w:numPr>
          <w:ilvl w:val="0"/>
          <w:numId w:val="22"/>
        </w:numPr>
        <w:shd w:val="clear" w:color="auto" w:fill="auto"/>
        <w:spacing w:before="280" w:after="290" w:line="377" w:lineRule="auto"/>
        <w:ind w:firstLine="482"/>
        <w:outlineLvl w:val="2"/>
        <w:rPr>
          <w:rFonts w:ascii="Times New Roman" w:hAnsi="Times New Roman" w:cs="Times New Roman"/>
          <w:b/>
          <w:sz w:val="24"/>
        </w:rPr>
      </w:pPr>
      <w:r>
        <w:rPr>
          <w:rFonts w:hint="eastAsia" w:ascii="Times New Roman" w:hAnsi="Times New Roman" w:cs="Times New Roman"/>
          <w:b/>
          <w:sz w:val="24"/>
        </w:rPr>
        <w:t>项目团队成员（项目负责人除外）（格式自拟）</w:t>
      </w:r>
    </w:p>
    <w:p>
      <w:pPr>
        <w:numPr>
          <w:ilvl w:val="0"/>
          <w:numId w:val="22"/>
        </w:numPr>
        <w:shd w:val="clear" w:color="auto" w:fill="auto"/>
        <w:spacing w:before="280" w:after="290" w:line="377" w:lineRule="auto"/>
        <w:ind w:firstLine="482"/>
        <w:outlineLvl w:val="2"/>
        <w:rPr>
          <w:rFonts w:ascii="Times New Roman" w:hAnsi="Times New Roman" w:cs="Times New Roman"/>
          <w:b/>
          <w:sz w:val="24"/>
        </w:rPr>
      </w:pPr>
      <w:r>
        <w:rPr>
          <w:rFonts w:hint="eastAsia" w:ascii="Times New Roman" w:hAnsi="Times New Roman" w:cs="Times New Roman"/>
          <w:b/>
          <w:sz w:val="24"/>
        </w:rPr>
        <w:t>拟投入的服务资源（场地、工具、机器等）情况（格式自拟）</w:t>
      </w:r>
    </w:p>
    <w:p>
      <w:pPr>
        <w:numPr>
          <w:ilvl w:val="0"/>
          <w:numId w:val="22"/>
        </w:numPr>
        <w:shd w:val="clear" w:color="auto" w:fill="auto"/>
        <w:spacing w:before="280" w:after="290" w:line="377" w:lineRule="auto"/>
        <w:ind w:firstLine="482"/>
        <w:outlineLvl w:val="2"/>
        <w:rPr>
          <w:rFonts w:ascii="Times New Roman" w:hAnsi="Times New Roman" w:cs="Times New Roman"/>
          <w:b/>
          <w:sz w:val="24"/>
        </w:rPr>
      </w:pPr>
      <w:r>
        <w:rPr>
          <w:rFonts w:hint="eastAsia" w:ascii="Times New Roman" w:hAnsi="Times New Roman" w:cs="Times New Roman"/>
          <w:b/>
          <w:sz w:val="24"/>
        </w:rPr>
        <w:t>响应能力（格式自拟）</w:t>
      </w:r>
    </w:p>
    <w:p>
      <w:pPr>
        <w:numPr>
          <w:ilvl w:val="0"/>
          <w:numId w:val="22"/>
        </w:numPr>
        <w:shd w:val="clear" w:color="auto" w:fill="auto"/>
        <w:spacing w:before="280" w:after="290" w:line="377" w:lineRule="auto"/>
        <w:ind w:firstLine="482"/>
        <w:outlineLvl w:val="2"/>
        <w:rPr>
          <w:rFonts w:ascii="Times New Roman" w:hAnsi="Times New Roman" w:cs="Times New Roman"/>
          <w:b/>
          <w:sz w:val="24"/>
        </w:rPr>
      </w:pPr>
      <w:r>
        <w:rPr>
          <w:rFonts w:hint="eastAsia" w:ascii="Times New Roman" w:hAnsi="Times New Roman" w:cs="Times New Roman"/>
          <w:b/>
          <w:sz w:val="24"/>
        </w:rPr>
        <w:t>供应商认证情况（格式自拟）</w:t>
      </w:r>
    </w:p>
    <w:p>
      <w:pPr>
        <w:numPr>
          <w:ilvl w:val="0"/>
          <w:numId w:val="22"/>
        </w:numPr>
        <w:shd w:val="clear" w:color="auto" w:fill="auto"/>
        <w:spacing w:before="280" w:after="290" w:line="377" w:lineRule="auto"/>
        <w:ind w:firstLine="482"/>
        <w:outlineLvl w:val="2"/>
        <w:rPr>
          <w:rFonts w:ascii="Times New Roman" w:hAnsi="Times New Roman" w:cs="Times New Roman"/>
          <w:b/>
          <w:sz w:val="24"/>
        </w:rPr>
      </w:pPr>
      <w:r>
        <w:rPr>
          <w:rFonts w:hint="eastAsia" w:ascii="Times New Roman" w:hAnsi="Times New Roman" w:cs="Times New Roman"/>
          <w:b/>
          <w:sz w:val="24"/>
        </w:rPr>
        <w:t>供应商同类项目业绩情况（格式自拟）</w:t>
      </w:r>
    </w:p>
    <w:p>
      <w:pPr>
        <w:numPr>
          <w:ilvl w:val="0"/>
          <w:numId w:val="22"/>
        </w:numPr>
        <w:shd w:val="clear" w:color="auto" w:fill="auto"/>
        <w:spacing w:before="280" w:after="290" w:line="377" w:lineRule="auto"/>
        <w:ind w:firstLine="482"/>
        <w:outlineLvl w:val="2"/>
        <w:rPr>
          <w:rFonts w:ascii="Times New Roman" w:hAnsi="Times New Roman" w:cs="Times New Roman"/>
          <w:b/>
          <w:sz w:val="24"/>
        </w:rPr>
      </w:pPr>
      <w:r>
        <w:rPr>
          <w:rFonts w:hint="eastAsia" w:ascii="Times New Roman" w:hAnsi="Times New Roman" w:cs="Times New Roman"/>
          <w:b/>
          <w:sz w:val="24"/>
        </w:rPr>
        <w:t>用户评价（格式自拟）</w:t>
      </w:r>
    </w:p>
    <w:p>
      <w:pPr>
        <w:shd w:val="clear" w:color="auto" w:fill="auto"/>
        <w:tabs>
          <w:tab w:val="clear" w:pos="426"/>
        </w:tabs>
        <w:spacing w:line="240" w:lineRule="auto"/>
        <w:ind w:firstLine="422"/>
        <w:rPr>
          <w:rFonts w:ascii="Times New Roman" w:hAnsi="Times New Roman" w:cs="Times New Roman"/>
          <w:b/>
          <w:bCs/>
        </w:rPr>
      </w:pPr>
      <w:r>
        <w:rPr>
          <w:rFonts w:hint="eastAsia" w:ascii="Times New Roman" w:hAnsi="Times New Roman" w:cs="Times New Roman"/>
          <w:b/>
          <w:bCs/>
        </w:rPr>
        <w:t>备注：以上投标文件编制节点，请根据评审表的要求提交相应资料，格式自定。</w:t>
      </w:r>
    </w:p>
    <w:p>
      <w:pPr>
        <w:shd w:val="clear" w:color="auto" w:fill="auto"/>
        <w:tabs>
          <w:tab w:val="clear" w:pos="426"/>
        </w:tabs>
        <w:spacing w:line="240" w:lineRule="auto"/>
        <w:ind w:firstLine="422"/>
        <w:rPr>
          <w:rFonts w:ascii="Times New Roman" w:hAnsi="Times New Roman" w:cs="Times New Roman"/>
          <w:b/>
          <w:bCs/>
        </w:rPr>
      </w:pPr>
    </w:p>
    <w:p>
      <w:pPr>
        <w:shd w:val="clear" w:color="auto" w:fill="auto"/>
        <w:tabs>
          <w:tab w:val="clear" w:pos="426"/>
        </w:tabs>
        <w:spacing w:line="240" w:lineRule="auto"/>
        <w:ind w:firstLine="422"/>
        <w:rPr>
          <w:rFonts w:ascii="Times New Roman" w:hAnsi="Times New Roman" w:cs="Times New Roman"/>
          <w:b/>
          <w:bCs/>
        </w:rPr>
      </w:pPr>
    </w:p>
    <w:p>
      <w:pPr>
        <w:shd w:val="clear" w:color="auto" w:fill="auto"/>
        <w:tabs>
          <w:tab w:val="clear" w:pos="426"/>
        </w:tabs>
        <w:adjustRightInd/>
        <w:snapToGrid/>
        <w:spacing w:line="240" w:lineRule="auto"/>
        <w:ind w:firstLine="422"/>
        <w:jc w:val="left"/>
        <w:rPr>
          <w:rFonts w:ascii="Times New Roman" w:hAnsi="Times New Roman" w:cs="Times New Roman"/>
          <w:b/>
          <w:bCs/>
        </w:rPr>
      </w:pPr>
      <w:r>
        <w:rPr>
          <w:rFonts w:ascii="Times New Roman" w:hAnsi="Times New Roman" w:cs="Times New Roman"/>
          <w:b/>
          <w:bCs/>
        </w:rPr>
        <w:br w:type="page"/>
      </w:r>
    </w:p>
    <w:p>
      <w:pPr>
        <w:pStyle w:val="319"/>
        <w:shd w:val="clear" w:color="auto" w:fill="auto"/>
        <w:rPr>
          <w:rFonts w:ascii="Times New Roman" w:hAnsi="Times New Roman" w:cs="Times New Roman"/>
        </w:rPr>
      </w:pPr>
      <w:r>
        <w:rPr>
          <w:rFonts w:hint="eastAsia" w:ascii="Times New Roman" w:hAnsi="Times New Roman" w:cs="Times New Roman"/>
        </w:rPr>
        <w:t>优惠政策声明函等证明文件（可选）</w:t>
      </w:r>
    </w:p>
    <w:p>
      <w:pPr>
        <w:shd w:val="clear" w:color="auto" w:fill="auto"/>
        <w:tabs>
          <w:tab w:val="clear" w:pos="426"/>
        </w:tabs>
        <w:spacing w:line="240" w:lineRule="auto"/>
        <w:ind w:firstLine="420"/>
        <w:jc w:val="left"/>
        <w:rPr>
          <w:rFonts w:ascii="Times New Roman" w:hAnsi="Times New Roman" w:cs="Times New Roman"/>
          <w:szCs w:val="21"/>
        </w:rPr>
      </w:pPr>
    </w:p>
    <w:p>
      <w:pPr>
        <w:shd w:val="clear" w:color="auto" w:fill="auto"/>
        <w:tabs>
          <w:tab w:val="clear" w:pos="426"/>
        </w:tabs>
        <w:spacing w:line="240" w:lineRule="auto"/>
        <w:ind w:firstLine="420"/>
        <w:rPr>
          <w:rFonts w:ascii="Times New Roman" w:hAnsi="Times New Roman" w:cs="Times New Roman"/>
          <w:szCs w:val="21"/>
        </w:rPr>
      </w:pPr>
      <w:r>
        <w:rPr>
          <w:rFonts w:ascii="Times New Roman" w:hAnsi="Times New Roman" w:cs="Times New Roman"/>
          <w:szCs w:val="21"/>
        </w:rPr>
        <w:t>填写指引：</w:t>
      </w:r>
    </w:p>
    <w:p>
      <w:pPr>
        <w:shd w:val="clear" w:color="auto" w:fill="auto"/>
        <w:tabs>
          <w:tab w:val="clear" w:pos="426"/>
        </w:tabs>
        <w:spacing w:line="240" w:lineRule="auto"/>
        <w:ind w:left="-2" w:leftChars="-1" w:firstLine="420" w:firstLineChars="200"/>
        <w:rPr>
          <w:rFonts w:ascii="Times New Roman" w:hAnsi="Times New Roman" w:cs="Times New Roman"/>
          <w:bCs/>
          <w:szCs w:val="21"/>
        </w:rPr>
      </w:pPr>
      <w:r>
        <w:rPr>
          <w:rFonts w:ascii="Times New Roman" w:hAnsi="Times New Roman" w:cs="Times New Roman"/>
          <w:bCs/>
          <w:szCs w:val="21"/>
        </w:rPr>
        <w:t>1.该部分内容由供应商根据自身实际情况填写，不符合要求的供应商可以不填写或直接删除相应的声明函。供应商自行对声明内容的真实性负责；如提供虚假声明，将报送主管部门进行行政处罚。若无法确定是否为中小微企业，可查阅《关于印发中小企业划型标准规定的通知》（工信部联企业〔2011〕300号）或向深圳市中小企业服务局咨询。</w:t>
      </w:r>
      <w:r>
        <w:rPr>
          <w:rFonts w:hint="eastAsia"/>
          <w:szCs w:val="21"/>
        </w:rPr>
        <w:t>中小企业参加政府采购活动，应当按照国务院批准的《中小企业划型标准规定》（工信部联企业〔2011〕300 号）、《金融业企业划型标准规定》（银发〔2015〕309 号）和《财政部 工业和信息化部关于印发〈政府采购促进中小企业发展管理办法〉的通知》（财库〔2020〕46 号）的规定，出具《中小企业声明函》，《中小企业声明函》中相关企业所属行业应当与采购标的所属行业相一致。该部分内容填写需要参考的相关文件：(1)财政部《政府采购促进中小企业发展管理办法》（财库〔2020〕46号）；(2)《工业和信息化部、国家统计局、国家发展和改革委员会、财政部关于印发中小企业划型标准规定的通知》（工信部联企业〔2011〕300 号，以下简称300号文）。</w:t>
      </w:r>
      <w:r>
        <w:rPr>
          <w:rFonts w:ascii="Times New Roman" w:hAnsi="Times New Roman" w:cs="Times New Roman"/>
          <w:bCs/>
          <w:szCs w:val="21"/>
        </w:rPr>
        <w:t xml:space="preserve">  </w:t>
      </w:r>
    </w:p>
    <w:p>
      <w:pPr>
        <w:shd w:val="clear" w:color="auto" w:fill="auto"/>
        <w:tabs>
          <w:tab w:val="clear" w:pos="426"/>
        </w:tabs>
        <w:spacing w:line="240" w:lineRule="auto"/>
        <w:ind w:left="-2" w:leftChars="-1" w:firstLine="420" w:firstLineChars="200"/>
        <w:rPr>
          <w:rFonts w:ascii="Times New Roman" w:hAnsi="Times New Roman" w:cs="Times New Roman"/>
          <w:bCs/>
          <w:szCs w:val="21"/>
        </w:rPr>
      </w:pPr>
      <w:r>
        <w:rPr>
          <w:rFonts w:ascii="Times New Roman" w:hAnsi="Times New Roman" w:cs="Times New Roman"/>
          <w:bCs/>
          <w:szCs w:val="21"/>
        </w:rPr>
        <w:t>2.该部分内容填写需要参考的相关文件（</w:t>
      </w:r>
      <w:r>
        <w:rPr>
          <w:rStyle w:val="52"/>
          <w:rFonts w:ascii="Times New Roman" w:hAnsi="Times New Roman" w:cs="Times New Roman"/>
        </w:rPr>
        <w:t>-</w:t>
      </w:r>
      <w:r>
        <w:fldChar w:fldCharType="begin"/>
      </w:r>
      <w:r>
        <w:instrText xml:space="preserve"> HYPERLINK "http://www.szsszx.com/Files/Editor/file/202106041655230146.rar" </w:instrText>
      </w:r>
      <w:r>
        <w:fldChar w:fldCharType="separate"/>
      </w:r>
      <w:r>
        <w:rPr>
          <w:rStyle w:val="52"/>
          <w:rFonts w:ascii="Times New Roman" w:hAnsi="Times New Roman" w:cs="Times New Roman"/>
          <w:bCs/>
          <w:szCs w:val="21"/>
        </w:rPr>
        <w:t>点此下载</w:t>
      </w:r>
      <w:r>
        <w:rPr>
          <w:rStyle w:val="52"/>
          <w:rFonts w:ascii="Times New Roman" w:hAnsi="Times New Roman" w:cs="Times New Roman"/>
          <w:bCs/>
          <w:szCs w:val="21"/>
        </w:rPr>
        <w:fldChar w:fldCharType="end"/>
      </w:r>
      <w:r>
        <w:rPr>
          <w:rStyle w:val="52"/>
          <w:rFonts w:ascii="Times New Roman" w:hAnsi="Times New Roman" w:cs="Times New Roman"/>
        </w:rPr>
        <w:t>-</w:t>
      </w:r>
      <w:r>
        <w:rPr>
          <w:rFonts w:ascii="Times New Roman" w:hAnsi="Times New Roman" w:cs="Times New Roman"/>
          <w:bCs/>
          <w:szCs w:val="21"/>
        </w:rPr>
        <w:t>）：</w:t>
      </w:r>
    </w:p>
    <w:p>
      <w:pPr>
        <w:shd w:val="clear" w:color="auto" w:fill="auto"/>
        <w:tabs>
          <w:tab w:val="clear" w:pos="426"/>
        </w:tabs>
        <w:spacing w:line="240" w:lineRule="auto"/>
        <w:ind w:left="-2" w:leftChars="-1" w:firstLine="420" w:firstLineChars="200"/>
        <w:rPr>
          <w:rFonts w:ascii="Times New Roman" w:hAnsi="Times New Roman" w:cs="Times New Roman"/>
          <w:bCs/>
          <w:szCs w:val="21"/>
        </w:rPr>
      </w:pPr>
      <w:r>
        <w:rPr>
          <w:rFonts w:ascii="Times New Roman" w:hAnsi="Times New Roman" w:cs="Times New Roman"/>
          <w:bCs/>
          <w:szCs w:val="21"/>
        </w:rPr>
        <w:t>（1）《深圳市财政局关于落实有关政府采购优惠政策的意见》（深财购函〔2019〕868号）；</w:t>
      </w:r>
    </w:p>
    <w:p>
      <w:pPr>
        <w:shd w:val="clear" w:color="auto" w:fill="auto"/>
        <w:tabs>
          <w:tab w:val="clear" w:pos="426"/>
        </w:tabs>
        <w:spacing w:line="240" w:lineRule="auto"/>
        <w:ind w:left="-2" w:leftChars="-1" w:firstLine="420" w:firstLineChars="200"/>
        <w:rPr>
          <w:rFonts w:ascii="Times New Roman" w:hAnsi="Times New Roman" w:cs="Times New Roman"/>
          <w:bCs/>
          <w:szCs w:val="21"/>
        </w:rPr>
      </w:pPr>
      <w:r>
        <w:rPr>
          <w:rFonts w:ascii="Times New Roman" w:hAnsi="Times New Roman" w:cs="Times New Roman"/>
          <w:bCs/>
          <w:szCs w:val="21"/>
        </w:rPr>
        <w:t>（2）财政部《关于印发&lt;政府采购促进中小企业发展管理办法&gt;的通知》（财库〔2020〕46号）；</w:t>
      </w:r>
    </w:p>
    <w:p>
      <w:pPr>
        <w:shd w:val="clear" w:color="auto" w:fill="auto"/>
        <w:tabs>
          <w:tab w:val="clear" w:pos="426"/>
        </w:tabs>
        <w:spacing w:line="240" w:lineRule="auto"/>
        <w:ind w:left="-2" w:leftChars="-1" w:firstLine="420" w:firstLineChars="200"/>
        <w:rPr>
          <w:rFonts w:ascii="Times New Roman" w:hAnsi="Times New Roman" w:cs="Times New Roman"/>
          <w:bCs/>
          <w:szCs w:val="21"/>
        </w:rPr>
      </w:pPr>
      <w:r>
        <w:rPr>
          <w:rFonts w:ascii="Times New Roman" w:hAnsi="Times New Roman" w:cs="Times New Roman"/>
          <w:bCs/>
          <w:szCs w:val="21"/>
        </w:rPr>
        <w:t xml:space="preserve">（3）《工业和信息化部、国家统计局、国家发展和改革委员会、财政部关于印发中小企业划型标准规定的通知》（工信部联企业〔2011〕300号）。 </w:t>
      </w:r>
    </w:p>
    <w:p>
      <w:pPr>
        <w:shd w:val="clear" w:color="auto" w:fill="auto"/>
        <w:tabs>
          <w:tab w:val="clear" w:pos="426"/>
        </w:tabs>
        <w:spacing w:line="240" w:lineRule="auto"/>
        <w:ind w:left="-2" w:leftChars="-1" w:firstLine="420" w:firstLineChars="200"/>
        <w:rPr>
          <w:rFonts w:ascii="Times New Roman" w:hAnsi="Times New Roman" w:cs="Times New Roman"/>
          <w:bCs/>
          <w:szCs w:val="21"/>
        </w:rPr>
      </w:pPr>
      <w:r>
        <w:rPr>
          <w:rFonts w:ascii="Times New Roman" w:hAnsi="Times New Roman" w:cs="Times New Roman"/>
          <w:bCs/>
          <w:szCs w:val="21"/>
        </w:rPr>
        <w:t xml:space="preserve">3.请依照提供的格式和内容填写声明函，不要随意变更格式或增删内容；满足多项优惠政策的企业，不重复享受多项价格扣除政策。 </w:t>
      </w:r>
    </w:p>
    <w:p>
      <w:pPr>
        <w:shd w:val="clear" w:color="auto" w:fill="auto"/>
        <w:tabs>
          <w:tab w:val="clear" w:pos="426"/>
        </w:tabs>
        <w:spacing w:line="240" w:lineRule="auto"/>
        <w:ind w:left="-2" w:leftChars="-1" w:firstLine="420" w:firstLineChars="200"/>
        <w:rPr>
          <w:rFonts w:ascii="Times New Roman" w:hAnsi="Times New Roman" w:cs="Times New Roman"/>
          <w:bCs/>
          <w:szCs w:val="21"/>
        </w:rPr>
      </w:pPr>
      <w:r>
        <w:rPr>
          <w:rFonts w:ascii="Times New Roman" w:hAnsi="Times New Roman" w:cs="Times New Roman"/>
          <w:bCs/>
          <w:szCs w:val="21"/>
        </w:rPr>
        <w:t xml:space="preserve">4.声明函具体填写要求： </w:t>
      </w:r>
    </w:p>
    <w:p>
      <w:pPr>
        <w:shd w:val="clear" w:color="auto" w:fill="auto"/>
        <w:tabs>
          <w:tab w:val="clear" w:pos="426"/>
        </w:tabs>
        <w:spacing w:line="240" w:lineRule="auto"/>
        <w:ind w:left="-2" w:leftChars="-1" w:firstLine="420" w:firstLineChars="200"/>
        <w:rPr>
          <w:rFonts w:ascii="Times New Roman" w:hAnsi="Times New Roman" w:cs="Times New Roman"/>
          <w:bCs/>
          <w:szCs w:val="21"/>
        </w:rPr>
      </w:pPr>
      <w:r>
        <w:rPr>
          <w:rFonts w:ascii="Times New Roman" w:hAnsi="Times New Roman" w:cs="Times New Roman"/>
          <w:bCs/>
          <w:szCs w:val="21"/>
        </w:rPr>
        <w:t xml:space="preserve">（1）声明是中小企业须填写《中小企业声明函》的以下五项内容（填写位置的字体已加粗）： </w:t>
      </w:r>
    </w:p>
    <w:p>
      <w:pPr>
        <w:shd w:val="clear" w:color="auto" w:fill="auto"/>
        <w:tabs>
          <w:tab w:val="clear" w:pos="426"/>
        </w:tabs>
        <w:spacing w:line="240" w:lineRule="auto"/>
        <w:ind w:left="-2" w:leftChars="-1" w:firstLine="420" w:firstLineChars="200"/>
        <w:rPr>
          <w:rFonts w:ascii="Times New Roman" w:hAnsi="Times New Roman" w:cs="Times New Roman"/>
          <w:bCs/>
          <w:szCs w:val="21"/>
        </w:rPr>
      </w:pPr>
      <w:r>
        <w:rPr>
          <w:rFonts w:ascii="Times New Roman" w:hAnsi="Times New Roman" w:cs="Times New Roman"/>
          <w:bCs/>
          <w:szCs w:val="21"/>
        </w:rPr>
        <w:t xml:space="preserve">第一处，在下划线上如实填写中型或小型或微型； </w:t>
      </w:r>
    </w:p>
    <w:p>
      <w:pPr>
        <w:shd w:val="clear" w:color="auto" w:fill="auto"/>
        <w:tabs>
          <w:tab w:val="clear" w:pos="426"/>
        </w:tabs>
        <w:spacing w:line="240" w:lineRule="auto"/>
        <w:ind w:left="-2" w:leftChars="-1" w:firstLine="420" w:firstLineChars="200"/>
        <w:rPr>
          <w:rFonts w:ascii="Times New Roman" w:hAnsi="Times New Roman" w:cs="Times New Roman"/>
          <w:bCs/>
          <w:szCs w:val="21"/>
        </w:rPr>
      </w:pPr>
      <w:r>
        <w:rPr>
          <w:rFonts w:ascii="Times New Roman" w:hAnsi="Times New Roman" w:cs="Times New Roman"/>
          <w:bCs/>
          <w:szCs w:val="21"/>
        </w:rPr>
        <w:t xml:space="preserve">第二处，在下划线上如实填写中型或小型或微型； </w:t>
      </w:r>
    </w:p>
    <w:p>
      <w:pPr>
        <w:shd w:val="clear" w:color="auto" w:fill="auto"/>
        <w:tabs>
          <w:tab w:val="clear" w:pos="426"/>
        </w:tabs>
        <w:spacing w:line="240" w:lineRule="auto"/>
        <w:ind w:left="-2" w:leftChars="-1" w:firstLine="420" w:firstLineChars="200"/>
        <w:rPr>
          <w:rFonts w:ascii="Times New Roman" w:hAnsi="Times New Roman" w:cs="Times New Roman"/>
          <w:bCs/>
          <w:szCs w:val="21"/>
        </w:rPr>
      </w:pPr>
      <w:r>
        <w:rPr>
          <w:rFonts w:ascii="Times New Roman" w:hAnsi="Times New Roman" w:cs="Times New Roman"/>
          <w:bCs/>
          <w:szCs w:val="21"/>
        </w:rPr>
        <w:t xml:space="preserve">第三处，在“采购单位名称”下划线处填写本项目的实际采购单位名称（深圳市深水水务咨询有限公司不是本项目的采购单位，而是本项目的组织实施机构）； </w:t>
      </w:r>
    </w:p>
    <w:p>
      <w:pPr>
        <w:shd w:val="clear" w:color="auto" w:fill="auto"/>
        <w:tabs>
          <w:tab w:val="clear" w:pos="426"/>
        </w:tabs>
        <w:spacing w:line="240" w:lineRule="auto"/>
        <w:ind w:left="-2" w:leftChars="-1" w:firstLine="420" w:firstLineChars="200"/>
        <w:rPr>
          <w:rFonts w:ascii="Times New Roman" w:hAnsi="Times New Roman" w:cs="Times New Roman"/>
          <w:bCs/>
          <w:szCs w:val="21"/>
        </w:rPr>
      </w:pPr>
      <w:r>
        <w:rPr>
          <w:rFonts w:ascii="Times New Roman" w:hAnsi="Times New Roman" w:cs="Times New Roman"/>
          <w:bCs/>
          <w:szCs w:val="21"/>
        </w:rPr>
        <w:t xml:space="preserve">第四处，在“采购项目名称”下划线处填写本项目的实际项目名称（项目名称可在招标公告处查看）； </w:t>
      </w:r>
    </w:p>
    <w:p>
      <w:pPr>
        <w:shd w:val="clear" w:color="auto" w:fill="auto"/>
        <w:tabs>
          <w:tab w:val="clear" w:pos="426"/>
        </w:tabs>
        <w:spacing w:line="240" w:lineRule="auto"/>
        <w:ind w:left="-2" w:leftChars="-1" w:firstLine="420" w:firstLineChars="200"/>
        <w:rPr>
          <w:rFonts w:ascii="Times New Roman" w:hAnsi="Times New Roman" w:cs="Times New Roman"/>
          <w:bCs/>
          <w:szCs w:val="21"/>
        </w:rPr>
      </w:pPr>
      <w:r>
        <w:rPr>
          <w:rFonts w:ascii="Times New Roman" w:hAnsi="Times New Roman" w:cs="Times New Roman"/>
          <w:bCs/>
          <w:szCs w:val="21"/>
        </w:rPr>
        <w:t>第五处，在“□本企业制造的货物” 或“□提供其他</w:t>
      </w:r>
      <w:r>
        <w:rPr>
          <w:rFonts w:ascii="Times New Roman" w:hAnsi="Times New Roman" w:cs="Times New Roman"/>
          <w:bCs/>
          <w:szCs w:val="21"/>
          <w:u w:val="single"/>
        </w:rPr>
        <w:t>______</w:t>
      </w:r>
      <w:r>
        <w:rPr>
          <w:rFonts w:ascii="Times New Roman" w:hAnsi="Times New Roman" w:cs="Times New Roman"/>
          <w:bCs/>
          <w:szCs w:val="21"/>
        </w:rPr>
        <w:t>企业（请填写：中型、小型、微型）制造的货物”两处中选择一处打√；如选择在“□提供其他</w:t>
      </w:r>
      <w:r>
        <w:rPr>
          <w:rFonts w:ascii="Times New Roman" w:hAnsi="Times New Roman" w:cs="Times New Roman"/>
          <w:bCs/>
          <w:szCs w:val="21"/>
          <w:u w:val="single"/>
        </w:rPr>
        <w:t>______</w:t>
      </w:r>
      <w:r>
        <w:rPr>
          <w:rFonts w:ascii="Times New Roman" w:hAnsi="Times New Roman" w:cs="Times New Roman"/>
          <w:bCs/>
          <w:szCs w:val="21"/>
        </w:rPr>
        <w:t xml:space="preserve">企业（请填写：中型、小型、微型）制造的货物”一处打√，还须在此下划线处如实填写中型或小型或微型； </w:t>
      </w:r>
    </w:p>
    <w:p>
      <w:pPr>
        <w:shd w:val="clear" w:color="auto" w:fill="auto"/>
        <w:tabs>
          <w:tab w:val="clear" w:pos="426"/>
        </w:tabs>
        <w:spacing w:line="240" w:lineRule="auto"/>
        <w:ind w:left="-2" w:leftChars="-1" w:firstLine="420" w:firstLineChars="200"/>
        <w:rPr>
          <w:rFonts w:ascii="Times New Roman" w:hAnsi="Times New Roman" w:cs="Times New Roman"/>
          <w:bCs/>
          <w:szCs w:val="21"/>
        </w:rPr>
      </w:pPr>
      <w:r>
        <w:rPr>
          <w:rFonts w:ascii="Times New Roman" w:hAnsi="Times New Roman" w:cs="Times New Roman"/>
          <w:bCs/>
          <w:szCs w:val="21"/>
        </w:rPr>
        <w:t>同时请注意：“□本企业制造的货物” 、“□提供其他</w:t>
      </w:r>
      <w:r>
        <w:rPr>
          <w:rFonts w:ascii="Times New Roman" w:hAnsi="Times New Roman" w:cs="Times New Roman"/>
          <w:bCs/>
          <w:szCs w:val="21"/>
          <w:u w:val="single"/>
        </w:rPr>
        <w:t>______</w:t>
      </w:r>
      <w:r>
        <w:rPr>
          <w:rFonts w:ascii="Times New Roman" w:hAnsi="Times New Roman" w:cs="Times New Roman"/>
          <w:bCs/>
          <w:szCs w:val="21"/>
        </w:rPr>
        <w:t>企业（请填写：中型、小型、微型）制造的货物”中所称的货物是指单一产品采购项目中的货物，或者非单一产品采购项目中的核心产品（货物），不包括使用大型企业注册商标的货物；本项中的货物制造商应当在投标文件“分项报价清单”中明确列明。</w:t>
      </w:r>
    </w:p>
    <w:p>
      <w:pPr>
        <w:shd w:val="clear" w:color="auto" w:fill="auto"/>
        <w:spacing w:line="240" w:lineRule="auto"/>
        <w:ind w:firstLine="422" w:firstLineChars="200"/>
        <w:rPr>
          <w:rFonts w:ascii="Times New Roman" w:hAnsi="Times New Roman" w:cs="Times New Roman"/>
          <w:b/>
          <w:bCs/>
          <w:color w:val="FF0000"/>
        </w:rPr>
      </w:pPr>
      <w:r>
        <w:rPr>
          <w:rFonts w:ascii="Times New Roman" w:hAnsi="Times New Roman" w:cs="Times New Roman"/>
          <w:b/>
          <w:bCs/>
          <w:color w:val="FF0000"/>
        </w:rPr>
        <w:t>《中小企业声明函》中制造商、承接/承建企业所属行业应当与招标文件要求的行业相一致，供应商如有疑问，可根据《国民经济行业分类》（GB/T4754-2002），结合《关 于 印 发 中 小 企 业 划 型 标 准 规 定 的 通 知 》 （ 工 信 部 联 企 业〔2011〕300 号）进行判断。事业单位、社会组织等非企业主体不享受中小企业扶持政策，但事业单位、社会组织等非企业主体提供全部由中小企业制造的货物参加货物采购项目的除外</w:t>
      </w:r>
      <w:r>
        <w:rPr>
          <w:rFonts w:hint="eastAsia" w:ascii="Times New Roman" w:hAnsi="Times New Roman" w:cs="Times New Roman"/>
          <w:b/>
          <w:bCs/>
          <w:color w:val="FF0000"/>
        </w:rPr>
        <w:t>。</w:t>
      </w:r>
    </w:p>
    <w:p>
      <w:pPr>
        <w:shd w:val="clear" w:color="auto" w:fill="auto"/>
        <w:tabs>
          <w:tab w:val="clear" w:pos="426"/>
        </w:tabs>
        <w:spacing w:line="240" w:lineRule="auto"/>
        <w:ind w:left="-2" w:leftChars="-1" w:firstLine="420" w:firstLineChars="200"/>
        <w:rPr>
          <w:rFonts w:ascii="Times New Roman" w:hAnsi="Times New Roman" w:cs="Times New Roman"/>
          <w:bCs/>
          <w:szCs w:val="21"/>
        </w:rPr>
      </w:pPr>
      <w:r>
        <w:rPr>
          <w:rFonts w:ascii="Times New Roman" w:hAnsi="Times New Roman" w:cs="Times New Roman"/>
          <w:bCs/>
          <w:szCs w:val="21"/>
        </w:rPr>
        <w:t xml:space="preserve">（2）声明是残疾人福利性单位须填写《残疾人福利性单位声明函》的三项内容（填写位置的字体已加粗），具体参照以上《中小企业声明函》填写要求执行。 </w:t>
      </w:r>
    </w:p>
    <w:p>
      <w:pPr>
        <w:shd w:val="clear" w:color="auto" w:fill="auto"/>
        <w:tabs>
          <w:tab w:val="clear" w:pos="426"/>
        </w:tabs>
        <w:spacing w:line="240" w:lineRule="auto"/>
        <w:ind w:left="-2" w:leftChars="-1" w:firstLine="420" w:firstLineChars="200"/>
        <w:rPr>
          <w:rFonts w:ascii="Times New Roman" w:hAnsi="Times New Roman" w:cs="Times New Roman"/>
          <w:bCs/>
          <w:szCs w:val="21"/>
        </w:rPr>
      </w:pPr>
      <w:r>
        <w:rPr>
          <w:rFonts w:ascii="Times New Roman" w:hAnsi="Times New Roman" w:cs="Times New Roman"/>
          <w:bCs/>
          <w:szCs w:val="21"/>
        </w:rPr>
        <w:t xml:space="preserve">（3）声明是监狱企业须填写《监狱企业声明函》的三项内容（填写位置的字体已加粗），具体参照以上《中小企业声明函》填写要求执行。 </w:t>
      </w:r>
    </w:p>
    <w:p>
      <w:pPr>
        <w:shd w:val="clear" w:color="auto" w:fill="auto"/>
        <w:tabs>
          <w:tab w:val="clear" w:pos="426"/>
        </w:tabs>
        <w:spacing w:line="240" w:lineRule="auto"/>
        <w:ind w:left="-2" w:leftChars="-1" w:firstLine="420" w:firstLineChars="200"/>
        <w:rPr>
          <w:rFonts w:ascii="Times New Roman" w:hAnsi="Times New Roman" w:cs="Times New Roman"/>
          <w:bCs/>
          <w:szCs w:val="21"/>
        </w:rPr>
      </w:pPr>
      <w:r>
        <w:rPr>
          <w:rFonts w:ascii="Times New Roman" w:hAnsi="Times New Roman" w:cs="Times New Roman"/>
          <w:bCs/>
          <w:szCs w:val="21"/>
        </w:rPr>
        <w:t>5.声明函的有效性最终由评审委员会判定；如评审委员会判定声明函无效，相关供应商不享受价格扣除（但不作投标无效处理）。</w:t>
      </w:r>
      <w:r>
        <w:rPr>
          <w:rFonts w:ascii="Times New Roman" w:hAnsi="Times New Roman" w:cs="Times New Roman"/>
          <w:szCs w:val="21"/>
        </w:rPr>
        <w:br w:type="page"/>
      </w:r>
    </w:p>
    <w:p>
      <w:pPr>
        <w:shd w:val="clear" w:color="auto" w:fill="auto"/>
        <w:ind w:firstLine="420"/>
        <w:rPr>
          <w:rFonts w:ascii="Times New Roman" w:hAnsi="Times New Roman" w:cs="Times New Roman"/>
        </w:rPr>
      </w:pPr>
    </w:p>
    <w:p>
      <w:pPr>
        <w:shd w:val="clear" w:color="auto" w:fill="auto"/>
        <w:tabs>
          <w:tab w:val="clear" w:pos="426"/>
        </w:tabs>
        <w:spacing w:line="240" w:lineRule="auto"/>
        <w:ind w:firstLine="643"/>
        <w:jc w:val="center"/>
        <w:outlineLvl w:val="3"/>
        <w:rPr>
          <w:rFonts w:ascii="Times New Roman" w:hAnsi="Times New Roman" w:cs="Times New Roman"/>
          <w:b/>
          <w:sz w:val="32"/>
          <w:szCs w:val="32"/>
        </w:rPr>
      </w:pPr>
      <w:r>
        <w:rPr>
          <w:rFonts w:ascii="Times New Roman" w:hAnsi="Times New Roman" w:cs="Times New Roman"/>
          <w:b/>
          <w:sz w:val="32"/>
          <w:szCs w:val="32"/>
        </w:rPr>
        <w:t>（一）中小企业声明函（样表）</w:t>
      </w:r>
    </w:p>
    <w:p>
      <w:pPr>
        <w:shd w:val="clear" w:color="auto" w:fill="auto"/>
        <w:spacing w:line="240" w:lineRule="auto"/>
        <w:ind w:firstLine="420" w:firstLineChars="200"/>
        <w:jc w:val="left"/>
        <w:rPr>
          <w:rFonts w:ascii="Times New Roman" w:hAnsi="Times New Roman" w:cs="Times New Roman"/>
          <w:szCs w:val="21"/>
        </w:rPr>
      </w:pPr>
    </w:p>
    <w:p>
      <w:pPr>
        <w:shd w:val="clear" w:color="auto" w:fill="auto"/>
        <w:spacing w:line="240" w:lineRule="auto"/>
        <w:ind w:firstLine="420" w:firstLineChars="200"/>
        <w:jc w:val="left"/>
        <w:rPr>
          <w:rFonts w:ascii="Times New Roman" w:hAnsi="Times New Roman" w:cs="Times New Roman"/>
          <w:szCs w:val="21"/>
        </w:rPr>
      </w:pPr>
      <w:r>
        <w:rPr>
          <w:rFonts w:ascii="Times New Roman" w:hAnsi="Times New Roman" w:cs="Times New Roman"/>
          <w:szCs w:val="21"/>
        </w:rPr>
        <w:t>本公司郑重声明，根据《关于印发&lt;政府采购促进中小企业发展管理办法&gt;的通知》（财库〔2020〕46号）的规定，本公司（联合体）参加</w:t>
      </w:r>
      <w:r>
        <w:rPr>
          <w:rFonts w:hint="eastAsia" w:ascii="Times New Roman" w:hAnsi="Times New Roman" w:cs="Times New Roman"/>
          <w:szCs w:val="21"/>
          <w:u w:val="single"/>
        </w:rPr>
        <w:t xml:space="preserve"> </w:t>
      </w:r>
      <w:r>
        <w:rPr>
          <w:rFonts w:ascii="Times New Roman" w:hAnsi="Times New Roman" w:cs="Times New Roman"/>
          <w:szCs w:val="21"/>
          <w:u w:val="single"/>
        </w:rPr>
        <w:t xml:space="preserve">(采购单位名称) </w:t>
      </w:r>
      <w:r>
        <w:rPr>
          <w:rFonts w:ascii="Times New Roman" w:hAnsi="Times New Roman" w:cs="Times New Roman"/>
          <w:szCs w:val="21"/>
        </w:rPr>
        <w:t>的</w:t>
      </w:r>
      <w:r>
        <w:rPr>
          <w:rFonts w:ascii="Times New Roman" w:hAnsi="Times New Roman" w:cs="Times New Roman"/>
          <w:szCs w:val="21"/>
          <w:u w:val="single"/>
        </w:rPr>
        <w:t>（采购项目名称）</w:t>
      </w:r>
      <w:r>
        <w:rPr>
          <w:rFonts w:hint="eastAsia" w:ascii="Times New Roman" w:hAnsi="Times New Roman" w:cs="Times New Roman"/>
          <w:szCs w:val="21"/>
          <w:u w:val="single"/>
        </w:rPr>
        <w:t xml:space="preserve"> </w:t>
      </w:r>
      <w:r>
        <w:rPr>
          <w:rFonts w:ascii="Times New Roman" w:hAnsi="Times New Roman" w:cs="Times New Roman"/>
          <w:szCs w:val="21"/>
        </w:rPr>
        <w:t>采购活动，</w:t>
      </w:r>
      <w:r>
        <w:rPr>
          <w:rFonts w:ascii="Times New Roman" w:hAnsi="Times New Roman" w:cs="Times New Roman"/>
          <w:szCs w:val="21"/>
          <w:u w:val="single"/>
        </w:rPr>
        <w:t>________________________</w:t>
      </w:r>
      <w:r>
        <w:rPr>
          <w:rFonts w:ascii="Times New Roman" w:hAnsi="Times New Roman" w:cs="Times New Roman"/>
          <w:szCs w:val="21"/>
        </w:rPr>
        <w:t>（填写说明：货物类：提供的货物全部由符合政策要求的中小企业制造。服务类：服务全部由符合政策要求的中小企业承接。工程类：工程的施工单位全部为符合政策要求的中小企业。）相关企业（含联合体中的中小企业、签订分包意向协议的中小企业）的具体情况如下：</w:t>
      </w:r>
    </w:p>
    <w:p>
      <w:pPr>
        <w:shd w:val="clear" w:color="auto" w:fill="auto"/>
        <w:spacing w:line="240" w:lineRule="auto"/>
        <w:ind w:firstLine="420" w:firstLineChars="200"/>
        <w:jc w:val="left"/>
        <w:rPr>
          <w:rFonts w:ascii="Times New Roman" w:hAnsi="Times New Roman" w:cs="Times New Roman"/>
          <w:szCs w:val="21"/>
        </w:rPr>
      </w:pPr>
      <w:r>
        <w:rPr>
          <w:rFonts w:ascii="Times New Roman" w:hAnsi="Times New Roman" w:cs="Times New Roman"/>
          <w:szCs w:val="21"/>
        </w:rPr>
        <w:t>1.（标的名称），属于（采购文件中明确的所属行业）；承建（承接）企业为（企业名称），从业人员</w:t>
      </w:r>
      <w:r>
        <w:rPr>
          <w:rFonts w:ascii="Times New Roman" w:hAnsi="Times New Roman" w:cs="Times New Roman"/>
          <w:szCs w:val="21"/>
          <w:u w:val="single"/>
        </w:rPr>
        <w:t>____</w:t>
      </w:r>
      <w:r>
        <w:rPr>
          <w:rFonts w:ascii="Times New Roman" w:hAnsi="Times New Roman" w:cs="Times New Roman"/>
          <w:szCs w:val="21"/>
        </w:rPr>
        <w:t>人，营业收入为</w:t>
      </w:r>
      <w:r>
        <w:rPr>
          <w:rFonts w:ascii="Times New Roman" w:hAnsi="Times New Roman" w:cs="Times New Roman"/>
          <w:szCs w:val="21"/>
          <w:u w:val="single"/>
        </w:rPr>
        <w:t>____</w:t>
      </w:r>
      <w:r>
        <w:rPr>
          <w:rFonts w:ascii="Times New Roman" w:hAnsi="Times New Roman" w:cs="Times New Roman"/>
          <w:szCs w:val="21"/>
        </w:rPr>
        <w:t>万元，资产总额为</w:t>
      </w:r>
      <w:r>
        <w:rPr>
          <w:rFonts w:ascii="Times New Roman" w:hAnsi="Times New Roman" w:cs="Times New Roman"/>
          <w:szCs w:val="21"/>
          <w:u w:val="single"/>
        </w:rPr>
        <w:t>____</w:t>
      </w:r>
      <w:r>
        <w:rPr>
          <w:rFonts w:ascii="Times New Roman" w:hAnsi="Times New Roman" w:cs="Times New Roman"/>
          <w:szCs w:val="21"/>
        </w:rPr>
        <w:t>万元1，属于（中型企业、小型企业、微型企业）；</w:t>
      </w:r>
    </w:p>
    <w:p>
      <w:pPr>
        <w:shd w:val="clear" w:color="auto" w:fill="auto"/>
        <w:spacing w:line="240" w:lineRule="auto"/>
        <w:ind w:firstLine="420" w:firstLineChars="200"/>
        <w:jc w:val="left"/>
        <w:rPr>
          <w:rFonts w:ascii="Times New Roman" w:hAnsi="Times New Roman" w:cs="Times New Roman"/>
          <w:szCs w:val="21"/>
        </w:rPr>
      </w:pPr>
      <w:r>
        <w:rPr>
          <w:rFonts w:ascii="Times New Roman" w:hAnsi="Times New Roman" w:cs="Times New Roman"/>
          <w:szCs w:val="21"/>
        </w:rPr>
        <w:t>2.（标的名称），属于（采购文件中明确的所属行业）；承建（承接）企业为（企业名称），从业人员</w:t>
      </w:r>
      <w:r>
        <w:rPr>
          <w:rFonts w:ascii="Times New Roman" w:hAnsi="Times New Roman" w:cs="Times New Roman"/>
          <w:szCs w:val="21"/>
          <w:u w:val="single"/>
        </w:rPr>
        <w:t>____</w:t>
      </w:r>
      <w:r>
        <w:rPr>
          <w:rFonts w:ascii="Times New Roman" w:hAnsi="Times New Roman" w:cs="Times New Roman"/>
          <w:szCs w:val="21"/>
        </w:rPr>
        <w:t>人，营业收入为</w:t>
      </w:r>
      <w:r>
        <w:rPr>
          <w:rFonts w:ascii="Times New Roman" w:hAnsi="Times New Roman" w:cs="Times New Roman"/>
          <w:szCs w:val="21"/>
          <w:u w:val="single"/>
        </w:rPr>
        <w:t>____</w:t>
      </w:r>
      <w:r>
        <w:rPr>
          <w:rFonts w:ascii="Times New Roman" w:hAnsi="Times New Roman" w:cs="Times New Roman"/>
          <w:szCs w:val="21"/>
        </w:rPr>
        <w:t>万元，资产总额为</w:t>
      </w:r>
      <w:r>
        <w:rPr>
          <w:rFonts w:ascii="Times New Roman" w:hAnsi="Times New Roman" w:cs="Times New Roman"/>
          <w:szCs w:val="21"/>
          <w:u w:val="single"/>
        </w:rPr>
        <w:t>____</w:t>
      </w:r>
      <w:r>
        <w:rPr>
          <w:rFonts w:ascii="Times New Roman" w:hAnsi="Times New Roman" w:cs="Times New Roman"/>
          <w:szCs w:val="21"/>
        </w:rPr>
        <w:t>万元，属于（中型企业、小型企业、微型企业）；</w:t>
      </w:r>
    </w:p>
    <w:p>
      <w:pPr>
        <w:shd w:val="clear" w:color="auto" w:fill="auto"/>
        <w:spacing w:line="240" w:lineRule="auto"/>
        <w:ind w:firstLine="420" w:firstLineChars="200"/>
        <w:jc w:val="left"/>
        <w:rPr>
          <w:rFonts w:ascii="Times New Roman" w:hAnsi="Times New Roman" w:cs="Times New Roman"/>
          <w:szCs w:val="21"/>
        </w:rPr>
      </w:pPr>
      <w:r>
        <w:rPr>
          <w:rFonts w:ascii="Times New Roman" w:hAnsi="Times New Roman" w:cs="Times New Roman"/>
          <w:szCs w:val="21"/>
        </w:rPr>
        <w:t>……</w:t>
      </w:r>
    </w:p>
    <w:p>
      <w:pPr>
        <w:shd w:val="clear" w:color="auto" w:fill="auto"/>
        <w:spacing w:line="240" w:lineRule="auto"/>
        <w:ind w:firstLine="420" w:firstLineChars="200"/>
        <w:jc w:val="left"/>
        <w:rPr>
          <w:rFonts w:ascii="Times New Roman" w:hAnsi="Times New Roman" w:cs="Times New Roman"/>
          <w:szCs w:val="21"/>
        </w:rPr>
      </w:pPr>
      <w:r>
        <w:rPr>
          <w:rFonts w:ascii="Times New Roman" w:hAnsi="Times New Roman" w:cs="Times New Roman"/>
          <w:szCs w:val="21"/>
        </w:rPr>
        <w:t>以上企业，不属于大企业的分支机构，不存在控股股东为大企业的情形，也不存在与大企业的负责人为同一人的情形。</w:t>
      </w:r>
    </w:p>
    <w:p>
      <w:pPr>
        <w:shd w:val="clear" w:color="auto" w:fill="auto"/>
        <w:spacing w:line="240" w:lineRule="auto"/>
        <w:ind w:firstLine="420" w:firstLineChars="200"/>
        <w:jc w:val="left"/>
        <w:rPr>
          <w:rFonts w:ascii="Times New Roman" w:hAnsi="Times New Roman" w:cs="Times New Roman"/>
          <w:szCs w:val="21"/>
        </w:rPr>
      </w:pPr>
      <w:r>
        <w:rPr>
          <w:rFonts w:ascii="Times New Roman" w:hAnsi="Times New Roman" w:cs="Times New Roman"/>
          <w:szCs w:val="21"/>
        </w:rPr>
        <w:t>本企业对上述声明内容的真实性负责。如有虚假，将依法承担相应责任。</w:t>
      </w:r>
    </w:p>
    <w:p>
      <w:pPr>
        <w:shd w:val="clear" w:color="auto" w:fill="auto"/>
        <w:spacing w:line="240" w:lineRule="auto"/>
        <w:ind w:firstLine="420" w:firstLineChars="200"/>
        <w:jc w:val="left"/>
        <w:rPr>
          <w:rFonts w:ascii="Times New Roman" w:hAnsi="Times New Roman" w:cs="Times New Roman"/>
          <w:szCs w:val="21"/>
        </w:rPr>
      </w:pPr>
    </w:p>
    <w:p>
      <w:pPr>
        <w:shd w:val="clear" w:color="auto" w:fill="auto"/>
        <w:spacing w:line="240" w:lineRule="auto"/>
        <w:ind w:firstLine="420" w:firstLineChars="200"/>
        <w:jc w:val="left"/>
        <w:rPr>
          <w:rFonts w:ascii="Times New Roman" w:hAnsi="Times New Roman" w:cs="Times New Roman"/>
          <w:szCs w:val="21"/>
        </w:rPr>
      </w:pPr>
      <w:r>
        <w:rPr>
          <w:rFonts w:ascii="Times New Roman" w:hAnsi="Times New Roman" w:cs="Times New Roman"/>
          <w:szCs w:val="21"/>
        </w:rPr>
        <w:t>企业名称（盖章）：</w:t>
      </w:r>
    </w:p>
    <w:p>
      <w:pPr>
        <w:shd w:val="clear" w:color="auto" w:fill="auto"/>
        <w:spacing w:line="240" w:lineRule="auto"/>
        <w:ind w:firstLine="420" w:firstLineChars="200"/>
        <w:jc w:val="left"/>
        <w:rPr>
          <w:rFonts w:ascii="Times New Roman" w:hAnsi="Times New Roman" w:cs="Times New Roman"/>
          <w:szCs w:val="21"/>
        </w:rPr>
      </w:pPr>
      <w:r>
        <w:rPr>
          <w:rFonts w:ascii="Times New Roman" w:hAnsi="Times New Roman" w:cs="Times New Roman"/>
          <w:szCs w:val="21"/>
        </w:rPr>
        <w:t>日期：</w:t>
      </w:r>
    </w:p>
    <w:p>
      <w:pPr>
        <w:shd w:val="clear" w:color="auto" w:fill="auto"/>
        <w:spacing w:line="240" w:lineRule="auto"/>
        <w:ind w:firstLine="420" w:firstLineChars="200"/>
        <w:jc w:val="left"/>
        <w:rPr>
          <w:rFonts w:ascii="Times New Roman" w:hAnsi="Times New Roman" w:cs="Times New Roman"/>
          <w:szCs w:val="21"/>
        </w:rPr>
      </w:pPr>
    </w:p>
    <w:p>
      <w:pPr>
        <w:shd w:val="clear" w:color="auto" w:fill="auto"/>
        <w:spacing w:line="240" w:lineRule="auto"/>
        <w:ind w:firstLine="420" w:firstLineChars="200"/>
        <w:jc w:val="left"/>
        <w:rPr>
          <w:rFonts w:ascii="Times New Roman" w:hAnsi="Times New Roman" w:cs="Times New Roman"/>
          <w:szCs w:val="21"/>
        </w:rPr>
      </w:pPr>
      <w:r>
        <w:rPr>
          <w:rFonts w:ascii="Times New Roman" w:hAnsi="Times New Roman" w:cs="Times New Roman"/>
          <w:szCs w:val="21"/>
        </w:rPr>
        <w:t>备注：1、从业人员、营业收入、资产总额填报上一年度数据，无上一年度数据的新成立企业可不填报。</w:t>
      </w:r>
    </w:p>
    <w:p>
      <w:pPr>
        <w:shd w:val="clear" w:color="auto" w:fill="auto"/>
        <w:ind w:firstLine="420"/>
        <w:rPr>
          <w:rFonts w:ascii="Times New Roman" w:hAnsi="Times New Roman" w:cs="Times New Roman"/>
        </w:rPr>
      </w:pPr>
    </w:p>
    <w:p>
      <w:pPr>
        <w:shd w:val="clear" w:color="auto" w:fill="auto"/>
        <w:ind w:firstLine="420"/>
        <w:rPr>
          <w:rFonts w:ascii="Times New Roman" w:hAnsi="Times New Roman" w:cs="Times New Roman"/>
        </w:rPr>
      </w:pPr>
    </w:p>
    <w:p>
      <w:pPr>
        <w:shd w:val="clear" w:color="auto" w:fill="auto"/>
        <w:ind w:firstLine="420"/>
        <w:rPr>
          <w:rFonts w:ascii="Times New Roman" w:hAnsi="Times New Roman" w:cs="Times New Roman"/>
        </w:rPr>
      </w:pPr>
    </w:p>
    <w:p>
      <w:pPr>
        <w:shd w:val="clear" w:color="auto" w:fill="auto"/>
        <w:spacing w:line="240" w:lineRule="auto"/>
        <w:ind w:firstLine="643"/>
        <w:jc w:val="center"/>
        <w:outlineLvl w:val="3"/>
        <w:rPr>
          <w:rFonts w:ascii="Times New Roman" w:hAnsi="Times New Roman" w:cs="Times New Roman"/>
          <w:b/>
          <w:sz w:val="32"/>
          <w:szCs w:val="32"/>
        </w:rPr>
      </w:pPr>
      <w:r>
        <w:rPr>
          <w:rFonts w:ascii="Times New Roman" w:hAnsi="Times New Roman" w:cs="Times New Roman"/>
          <w:b/>
          <w:sz w:val="32"/>
          <w:szCs w:val="32"/>
        </w:rPr>
        <w:t>（二）残疾人福利性单位声明函（样表）</w:t>
      </w:r>
    </w:p>
    <w:p>
      <w:pPr>
        <w:shd w:val="clear" w:color="auto" w:fill="auto"/>
        <w:spacing w:line="240" w:lineRule="auto"/>
        <w:ind w:firstLine="420" w:firstLineChars="200"/>
        <w:rPr>
          <w:rFonts w:ascii="Times New Roman" w:hAnsi="Times New Roman" w:cs="Times New Roman"/>
          <w:szCs w:val="21"/>
        </w:rPr>
      </w:pPr>
    </w:p>
    <w:p>
      <w:pPr>
        <w:shd w:val="clear" w:color="auto" w:fill="auto"/>
        <w:spacing w:line="240" w:lineRule="auto"/>
        <w:ind w:firstLine="420" w:firstLineChars="200"/>
        <w:rPr>
          <w:rFonts w:ascii="Times New Roman" w:hAnsi="Times New Roman" w:cs="Times New Roman"/>
          <w:szCs w:val="21"/>
        </w:rPr>
      </w:pPr>
      <w:r>
        <w:rPr>
          <w:rFonts w:ascii="Times New Roman" w:hAnsi="Times New Roman" w:cs="Times New Roman"/>
          <w:szCs w:val="21"/>
        </w:rPr>
        <w:t>本单位郑重声明，根据《财政部民政部中国残疾人联合会关于促进残疾人就业政府采购政策的通知》（财库〔2017〕141</w:t>
      </w:r>
      <w:r>
        <w:rPr>
          <w:rFonts w:ascii="Times New Roman" w:hAnsi="Times New Roman" w:cs="Times New Roman"/>
          <w:szCs w:val="21"/>
          <w:u w:val="single"/>
        </w:rPr>
        <w:t>_</w:t>
      </w:r>
      <w:r>
        <w:rPr>
          <w:rFonts w:ascii="Times New Roman" w:hAnsi="Times New Roman" w:cs="Times New Roman"/>
          <w:szCs w:val="21"/>
        </w:rPr>
        <w:t>号）的规定，本单位为符合条件的残疾人福利性单位，且本单位参加</w:t>
      </w:r>
      <w:r>
        <w:rPr>
          <w:rFonts w:ascii="Times New Roman" w:hAnsi="Times New Roman" w:cs="Times New Roman"/>
          <w:szCs w:val="21"/>
          <w:u w:val="single"/>
        </w:rPr>
        <w:t>_（采购单位名称）_</w:t>
      </w:r>
      <w:r>
        <w:rPr>
          <w:rFonts w:ascii="Times New Roman" w:hAnsi="Times New Roman" w:cs="Times New Roman"/>
          <w:szCs w:val="21"/>
        </w:rPr>
        <w:t>单位的</w:t>
      </w:r>
      <w:r>
        <w:rPr>
          <w:rFonts w:ascii="Times New Roman" w:hAnsi="Times New Roman" w:cs="Times New Roman"/>
          <w:szCs w:val="21"/>
          <w:u w:val="single"/>
        </w:rPr>
        <w:t>_（采购项目名称）</w:t>
      </w:r>
      <w:r>
        <w:rPr>
          <w:rFonts w:ascii="Times New Roman" w:hAnsi="Times New Roman" w:cs="Times New Roman"/>
          <w:szCs w:val="21"/>
        </w:rPr>
        <w:t>项目采购活动，并提供:□本单位制造的货物;□由本单位承担的工程、提供服务;□提供其他残疾人福利性单位制造的货物（承诺人在□处打√）。本条所称货物是指单一产品采购项目中的货物，或者非单一产品采购项目中的核心产品（货物），不包括使用非残疾人福利性单位注册商标的货物。本单位对上述声明的真实性负责。如有虚假，将依法承担相应责任。</w:t>
      </w:r>
    </w:p>
    <w:p>
      <w:pPr>
        <w:shd w:val="clear" w:color="auto" w:fill="auto"/>
        <w:spacing w:line="240" w:lineRule="auto"/>
        <w:ind w:firstLine="420" w:firstLineChars="200"/>
        <w:jc w:val="right"/>
        <w:rPr>
          <w:rFonts w:ascii="Times New Roman" w:hAnsi="Times New Roman" w:cs="Times New Roman"/>
          <w:szCs w:val="21"/>
        </w:rPr>
      </w:pPr>
      <w:r>
        <w:rPr>
          <w:rFonts w:ascii="Times New Roman" w:hAnsi="Times New Roman" w:cs="Times New Roman"/>
          <w:szCs w:val="21"/>
        </w:rPr>
        <w:t>单位名称（盖章）：</w:t>
      </w:r>
      <w:r>
        <w:rPr>
          <w:rFonts w:ascii="Times New Roman" w:hAnsi="Times New Roman" w:cs="Times New Roman"/>
          <w:szCs w:val="21"/>
          <w:u w:val="single"/>
        </w:rPr>
        <w:t>__________________</w:t>
      </w:r>
    </w:p>
    <w:p>
      <w:pPr>
        <w:shd w:val="clear" w:color="auto" w:fill="auto"/>
        <w:spacing w:line="240" w:lineRule="auto"/>
        <w:ind w:firstLine="420" w:firstLineChars="200"/>
        <w:jc w:val="right"/>
        <w:rPr>
          <w:rFonts w:ascii="Times New Roman" w:hAnsi="Times New Roman" w:cs="Times New Roman"/>
          <w:szCs w:val="21"/>
        </w:rPr>
      </w:pPr>
      <w:r>
        <w:rPr>
          <w:rFonts w:ascii="Times New Roman" w:hAnsi="Times New Roman" w:cs="Times New Roman"/>
          <w:szCs w:val="21"/>
        </w:rPr>
        <w:t>日期：</w:t>
      </w:r>
      <w:r>
        <w:rPr>
          <w:rFonts w:ascii="Times New Roman" w:hAnsi="Times New Roman" w:cs="Times New Roman"/>
          <w:szCs w:val="21"/>
          <w:u w:val="single"/>
        </w:rPr>
        <w:t>_________________</w:t>
      </w:r>
    </w:p>
    <w:p>
      <w:pPr>
        <w:shd w:val="clear" w:color="auto" w:fill="auto"/>
        <w:spacing w:line="240" w:lineRule="auto"/>
        <w:ind w:firstLine="420" w:firstLineChars="200"/>
        <w:jc w:val="right"/>
        <w:rPr>
          <w:rFonts w:ascii="Times New Roman" w:hAnsi="Times New Roman" w:cs="Times New Roman"/>
          <w:szCs w:val="21"/>
        </w:rPr>
      </w:pPr>
    </w:p>
    <w:p>
      <w:pPr>
        <w:shd w:val="clear" w:color="auto" w:fill="auto"/>
        <w:spacing w:line="240" w:lineRule="auto"/>
        <w:ind w:firstLine="420" w:firstLineChars="200"/>
        <w:jc w:val="right"/>
        <w:rPr>
          <w:rFonts w:ascii="Times New Roman" w:hAnsi="Times New Roman" w:cs="Times New Roman"/>
          <w:szCs w:val="21"/>
        </w:rPr>
      </w:pPr>
    </w:p>
    <w:p>
      <w:pPr>
        <w:shd w:val="clear" w:color="auto" w:fill="auto"/>
        <w:spacing w:line="240" w:lineRule="auto"/>
        <w:ind w:firstLine="420" w:firstLineChars="200"/>
        <w:jc w:val="right"/>
        <w:rPr>
          <w:rFonts w:ascii="Times New Roman" w:hAnsi="Times New Roman" w:cs="Times New Roman"/>
          <w:szCs w:val="21"/>
        </w:rPr>
      </w:pPr>
    </w:p>
    <w:p>
      <w:pPr>
        <w:shd w:val="clear" w:color="auto" w:fill="auto"/>
        <w:spacing w:line="240" w:lineRule="auto"/>
        <w:ind w:firstLine="643" w:firstLineChars="200"/>
        <w:jc w:val="center"/>
        <w:rPr>
          <w:rFonts w:ascii="Times New Roman" w:hAnsi="Times New Roman" w:cs="Times New Roman"/>
          <w:b/>
          <w:sz w:val="32"/>
          <w:szCs w:val="32"/>
        </w:rPr>
      </w:pPr>
      <w:r>
        <w:rPr>
          <w:rFonts w:ascii="Times New Roman" w:hAnsi="Times New Roman" w:cs="Times New Roman"/>
          <w:b/>
          <w:sz w:val="32"/>
          <w:szCs w:val="32"/>
        </w:rPr>
        <w:br w:type="page"/>
      </w:r>
    </w:p>
    <w:p>
      <w:pPr>
        <w:shd w:val="clear" w:color="auto" w:fill="auto"/>
        <w:ind w:firstLine="420"/>
        <w:rPr>
          <w:rFonts w:ascii="Times New Roman" w:hAnsi="Times New Roman" w:cs="Times New Roman"/>
        </w:rPr>
      </w:pPr>
    </w:p>
    <w:p>
      <w:pPr>
        <w:shd w:val="clear" w:color="auto" w:fill="auto"/>
        <w:spacing w:line="240" w:lineRule="auto"/>
        <w:ind w:firstLine="643" w:firstLineChars="200"/>
        <w:jc w:val="center"/>
        <w:rPr>
          <w:rFonts w:ascii="Times New Roman" w:hAnsi="Times New Roman" w:cs="Times New Roman"/>
          <w:b/>
          <w:sz w:val="32"/>
          <w:szCs w:val="32"/>
        </w:rPr>
      </w:pPr>
      <w:r>
        <w:rPr>
          <w:rFonts w:ascii="Times New Roman" w:hAnsi="Times New Roman" w:cs="Times New Roman"/>
          <w:b/>
          <w:sz w:val="32"/>
          <w:szCs w:val="32"/>
        </w:rPr>
        <w:t>（三）省级以上监狱管理局、戒毒管理局（含新疆生产建设兵团）出具的属于监狱企业的证明文件（样表）</w:t>
      </w:r>
    </w:p>
    <w:p>
      <w:pPr>
        <w:shd w:val="clear" w:color="auto" w:fill="auto"/>
        <w:spacing w:line="240" w:lineRule="auto"/>
        <w:ind w:firstLine="420" w:firstLineChars="200"/>
        <w:rPr>
          <w:rFonts w:ascii="Times New Roman" w:hAnsi="Times New Roman" w:cs="Times New Roman"/>
          <w:szCs w:val="21"/>
        </w:rPr>
      </w:pPr>
    </w:p>
    <w:p>
      <w:pPr>
        <w:shd w:val="clear" w:color="auto" w:fill="auto"/>
        <w:spacing w:line="240" w:lineRule="auto"/>
        <w:ind w:firstLine="420" w:firstLineChars="200"/>
        <w:rPr>
          <w:rFonts w:ascii="Times New Roman" w:hAnsi="Times New Roman" w:cs="Times New Roman"/>
          <w:szCs w:val="21"/>
        </w:rPr>
      </w:pPr>
      <w:r>
        <w:rPr>
          <w:rFonts w:ascii="Times New Roman" w:hAnsi="Times New Roman" w:cs="Times New Roman"/>
          <w:szCs w:val="21"/>
        </w:rPr>
        <w:t>本单位郑重声明，根据《财政部司法部关于政府采购支持监狱企业发展有关问题的通知》（财库〔2014〕68号）的规定，本单位为符合条件的监狱企业，且本单位参加</w:t>
      </w:r>
      <w:r>
        <w:rPr>
          <w:rFonts w:ascii="Times New Roman" w:hAnsi="Times New Roman" w:cs="Times New Roman"/>
          <w:szCs w:val="21"/>
          <w:u w:val="single"/>
        </w:rPr>
        <w:t>_（采购单位名称）_</w:t>
      </w:r>
      <w:r>
        <w:rPr>
          <w:rFonts w:ascii="Times New Roman" w:hAnsi="Times New Roman" w:cs="Times New Roman"/>
          <w:szCs w:val="21"/>
        </w:rPr>
        <w:t>单位的</w:t>
      </w:r>
      <w:r>
        <w:rPr>
          <w:rFonts w:ascii="Times New Roman" w:hAnsi="Times New Roman" w:cs="Times New Roman"/>
          <w:szCs w:val="21"/>
          <w:u w:val="single"/>
        </w:rPr>
        <w:t>（采购项目名称）</w:t>
      </w:r>
      <w:r>
        <w:rPr>
          <w:rFonts w:ascii="Times New Roman" w:hAnsi="Times New Roman" w:cs="Times New Roman"/>
          <w:szCs w:val="21"/>
        </w:rPr>
        <w:t>项目采购活动，并提供:□本单位制造的货物;□由本单位承担的工程、提供服务;□提供其他监狱企业制造的货物（承诺人在□处打√）。本条所称货物是指单一产品采购项目中的货物，或者非单一产品采购项目中的核心产品（货物）。</w:t>
      </w:r>
    </w:p>
    <w:p>
      <w:pPr>
        <w:shd w:val="clear" w:color="auto" w:fill="auto"/>
        <w:spacing w:line="240" w:lineRule="auto"/>
        <w:ind w:firstLine="420" w:firstLineChars="200"/>
        <w:rPr>
          <w:rFonts w:ascii="Times New Roman" w:hAnsi="Times New Roman" w:cs="Times New Roman"/>
          <w:szCs w:val="21"/>
        </w:rPr>
      </w:pPr>
      <w:r>
        <w:rPr>
          <w:rFonts w:ascii="Times New Roman" w:hAnsi="Times New Roman" w:cs="Times New Roman"/>
          <w:szCs w:val="21"/>
        </w:rPr>
        <w:t>本单位对上述声明的真实性负责。如有虚假，将依法承担相应责任。</w:t>
      </w:r>
    </w:p>
    <w:p>
      <w:pPr>
        <w:shd w:val="clear" w:color="auto" w:fill="auto"/>
        <w:spacing w:line="240" w:lineRule="auto"/>
        <w:ind w:firstLine="420" w:firstLineChars="200"/>
        <w:rPr>
          <w:rFonts w:ascii="Times New Roman" w:hAnsi="Times New Roman" w:cs="Times New Roman"/>
          <w:szCs w:val="21"/>
        </w:rPr>
      </w:pPr>
      <w:r>
        <w:rPr>
          <w:rFonts w:ascii="Times New Roman" w:hAnsi="Times New Roman" w:cs="Times New Roman"/>
          <w:szCs w:val="21"/>
        </w:rPr>
        <w:t>附：省级以上监狱管理局、戒毒管理局（含新疆生产建设兵团）出具的监狱企业证明文件。</w:t>
      </w:r>
    </w:p>
    <w:p>
      <w:pPr>
        <w:shd w:val="clear" w:color="auto" w:fill="auto"/>
        <w:spacing w:line="240" w:lineRule="auto"/>
        <w:ind w:firstLine="420" w:firstLineChars="200"/>
        <w:jc w:val="right"/>
        <w:rPr>
          <w:rFonts w:ascii="Times New Roman" w:hAnsi="Times New Roman" w:cs="Times New Roman"/>
          <w:szCs w:val="21"/>
        </w:rPr>
      </w:pPr>
      <w:r>
        <w:rPr>
          <w:rFonts w:ascii="Times New Roman" w:hAnsi="Times New Roman" w:cs="Times New Roman"/>
          <w:szCs w:val="21"/>
        </w:rPr>
        <w:t>单位名称（盖章）：</w:t>
      </w:r>
      <w:r>
        <w:rPr>
          <w:rFonts w:ascii="Times New Roman" w:hAnsi="Times New Roman" w:cs="Times New Roman"/>
          <w:szCs w:val="21"/>
          <w:u w:val="single"/>
        </w:rPr>
        <w:t>__________________</w:t>
      </w:r>
    </w:p>
    <w:p>
      <w:pPr>
        <w:shd w:val="clear" w:color="auto" w:fill="auto"/>
        <w:spacing w:line="240" w:lineRule="auto"/>
        <w:ind w:firstLine="420" w:firstLineChars="200"/>
        <w:jc w:val="right"/>
        <w:rPr>
          <w:rFonts w:ascii="Times New Roman" w:hAnsi="Times New Roman" w:cs="Times New Roman"/>
          <w:szCs w:val="21"/>
        </w:rPr>
      </w:pPr>
      <w:r>
        <w:rPr>
          <w:rFonts w:ascii="Times New Roman" w:hAnsi="Times New Roman" w:cs="Times New Roman"/>
          <w:szCs w:val="21"/>
        </w:rPr>
        <w:t>日期：</w:t>
      </w:r>
      <w:r>
        <w:rPr>
          <w:rFonts w:ascii="Times New Roman" w:hAnsi="Times New Roman" w:cs="Times New Roman"/>
          <w:szCs w:val="21"/>
          <w:u w:val="single"/>
        </w:rPr>
        <w:t>_________________</w:t>
      </w:r>
    </w:p>
    <w:p>
      <w:pPr>
        <w:shd w:val="clear" w:color="auto" w:fill="auto"/>
        <w:ind w:firstLine="420"/>
        <w:rPr>
          <w:rFonts w:ascii="Times New Roman" w:hAnsi="Times New Roman" w:cs="Times New Roman"/>
        </w:rPr>
      </w:pPr>
    </w:p>
    <w:p>
      <w:pPr>
        <w:shd w:val="clear" w:color="auto" w:fill="auto"/>
        <w:ind w:firstLine="420"/>
        <w:rPr>
          <w:rFonts w:ascii="Times New Roman" w:hAnsi="Times New Roman" w:cs="Times New Roman"/>
        </w:rPr>
      </w:pPr>
    </w:p>
    <w:p>
      <w:pPr>
        <w:shd w:val="clear" w:color="auto" w:fill="auto"/>
        <w:ind w:firstLine="420"/>
        <w:rPr>
          <w:rFonts w:ascii="Times New Roman" w:hAnsi="Times New Roman" w:cs="Times New Roman"/>
        </w:rPr>
      </w:pPr>
    </w:p>
    <w:p>
      <w:pPr>
        <w:shd w:val="clear" w:color="auto" w:fill="auto"/>
        <w:spacing w:line="240" w:lineRule="auto"/>
        <w:ind w:firstLine="643" w:firstLineChars="200"/>
        <w:jc w:val="center"/>
        <w:rPr>
          <w:rFonts w:ascii="Times New Roman" w:hAnsi="Times New Roman" w:cs="Times New Roman"/>
          <w:b/>
          <w:sz w:val="32"/>
          <w:szCs w:val="32"/>
        </w:rPr>
      </w:pPr>
      <w:r>
        <w:rPr>
          <w:rFonts w:ascii="Times New Roman" w:hAnsi="Times New Roman" w:cs="Times New Roman"/>
          <w:b/>
          <w:sz w:val="32"/>
          <w:szCs w:val="32"/>
        </w:rPr>
        <w:t>（四）含有小型、微型企业的联合体声明函（样表）</w:t>
      </w:r>
    </w:p>
    <w:p>
      <w:pPr>
        <w:shd w:val="clear" w:color="auto" w:fill="auto"/>
        <w:spacing w:line="240" w:lineRule="auto"/>
        <w:ind w:firstLine="420" w:firstLineChars="200"/>
        <w:rPr>
          <w:rFonts w:ascii="Times New Roman" w:hAnsi="Times New Roman" w:cs="Times New Roman"/>
          <w:szCs w:val="21"/>
        </w:rPr>
      </w:pPr>
    </w:p>
    <w:p>
      <w:pPr>
        <w:shd w:val="clear" w:color="auto" w:fill="auto"/>
        <w:spacing w:line="240" w:lineRule="auto"/>
        <w:ind w:firstLine="420" w:firstLineChars="20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u w:val="single"/>
        </w:rPr>
        <w:t>___</w:t>
      </w:r>
      <w:r>
        <w:rPr>
          <w:rFonts w:ascii="Times New Roman" w:hAnsi="Times New Roman" w:cs="Times New Roman"/>
          <w:szCs w:val="21"/>
        </w:rPr>
        <w:t>（供应商名称、供应商名称）</w:t>
      </w:r>
      <w:r>
        <w:rPr>
          <w:rFonts w:ascii="Times New Roman" w:hAnsi="Times New Roman" w:cs="Times New Roman"/>
          <w:szCs w:val="21"/>
          <w:u w:val="single"/>
        </w:rPr>
        <w:t>____</w:t>
      </w:r>
      <w:r>
        <w:rPr>
          <w:rFonts w:ascii="Times New Roman" w:hAnsi="Times New Roman" w:cs="Times New Roman"/>
          <w:szCs w:val="21"/>
        </w:rPr>
        <w:t>共同组成联合体（详见联合体协议）。根据《工业和信息化部、国家统计局、国家发展和改革委员会、财政部关于印发中小企业划型标准规定的通知》（工信部联企业〔2011〕300</w:t>
      </w:r>
      <w:r>
        <w:rPr>
          <w:rFonts w:ascii="Times New Roman" w:hAnsi="Times New Roman" w:cs="Times New Roman"/>
          <w:szCs w:val="21"/>
          <w:u w:val="single"/>
        </w:rPr>
        <w:t>_</w:t>
      </w:r>
      <w:r>
        <w:rPr>
          <w:rFonts w:ascii="Times New Roman" w:hAnsi="Times New Roman" w:cs="Times New Roman"/>
          <w:szCs w:val="21"/>
        </w:rPr>
        <w:t>号）规定的划分标准，本联合体中：□</w:t>
      </w:r>
      <w:r>
        <w:rPr>
          <w:rFonts w:ascii="Times New Roman" w:hAnsi="Times New Roman" w:cs="Times New Roman"/>
          <w:szCs w:val="21"/>
          <w:u w:val="single"/>
        </w:rPr>
        <w:t>______</w:t>
      </w:r>
      <w:r>
        <w:rPr>
          <w:rFonts w:ascii="Times New Roman" w:hAnsi="Times New Roman" w:cs="Times New Roman"/>
          <w:szCs w:val="21"/>
        </w:rPr>
        <w:t>单位为</w:t>
      </w:r>
      <w:r>
        <w:rPr>
          <w:rFonts w:ascii="Times New Roman" w:hAnsi="Times New Roman" w:cs="Times New Roman"/>
          <w:szCs w:val="21"/>
          <w:u w:val="single"/>
        </w:rPr>
        <w:t>______</w:t>
      </w:r>
      <w:r>
        <w:rPr>
          <w:rFonts w:ascii="Times New Roman" w:hAnsi="Times New Roman" w:cs="Times New Roman"/>
          <w:szCs w:val="21"/>
        </w:rPr>
        <w:t>（请填写：中型、小型、微型）企业，</w:t>
      </w:r>
      <w:r>
        <w:rPr>
          <w:rFonts w:ascii="Times New Roman" w:hAnsi="Times New Roman" w:cs="Times New Roman"/>
          <w:szCs w:val="21"/>
          <w:u w:val="single"/>
        </w:rPr>
        <w:t>______</w:t>
      </w:r>
      <w:r>
        <w:rPr>
          <w:rFonts w:ascii="Times New Roman" w:hAnsi="Times New Roman" w:cs="Times New Roman"/>
          <w:szCs w:val="21"/>
        </w:rPr>
        <w:t>单位为</w:t>
      </w:r>
      <w:r>
        <w:rPr>
          <w:rFonts w:ascii="Times New Roman" w:hAnsi="Times New Roman" w:cs="Times New Roman"/>
          <w:szCs w:val="21"/>
          <w:u w:val="single"/>
        </w:rPr>
        <w:t>______</w:t>
      </w:r>
      <w:r>
        <w:rPr>
          <w:rFonts w:ascii="Times New Roman" w:hAnsi="Times New Roman" w:cs="Times New Roman"/>
          <w:szCs w:val="21"/>
        </w:rPr>
        <w:t>（请填写：中型、小型、微型）企业；□联合体各方均为小微企业（承诺人在□处打√）。</w:t>
      </w:r>
    </w:p>
    <w:p>
      <w:pPr>
        <w:shd w:val="clear" w:color="auto" w:fill="auto"/>
        <w:spacing w:line="240" w:lineRule="auto"/>
        <w:ind w:firstLine="420" w:firstLineChars="200"/>
        <w:rPr>
          <w:rFonts w:ascii="Times New Roman" w:hAnsi="Times New Roman" w:cs="Times New Roman"/>
          <w:szCs w:val="21"/>
        </w:rPr>
      </w:pPr>
      <w:r>
        <w:rPr>
          <w:rFonts w:ascii="Times New Roman" w:hAnsi="Times New Roman" w:cs="Times New Roman"/>
          <w:szCs w:val="21"/>
        </w:rPr>
        <w:t>2.本联合体参加</w:t>
      </w:r>
      <w:r>
        <w:rPr>
          <w:rFonts w:ascii="Times New Roman" w:hAnsi="Times New Roman" w:cs="Times New Roman"/>
          <w:szCs w:val="21"/>
          <w:u w:val="single"/>
        </w:rPr>
        <w:t>_（采购单位名称</w:t>
      </w:r>
      <w:r>
        <w:rPr>
          <w:rFonts w:ascii="Times New Roman" w:hAnsi="Times New Roman" w:cs="Times New Roman"/>
          <w:szCs w:val="21"/>
        </w:rPr>
        <w:t>）</w:t>
      </w:r>
      <w:r>
        <w:rPr>
          <w:rFonts w:ascii="Times New Roman" w:hAnsi="Times New Roman" w:cs="Times New Roman"/>
          <w:szCs w:val="21"/>
          <w:u w:val="single"/>
        </w:rPr>
        <w:t>_</w:t>
      </w:r>
      <w:r>
        <w:rPr>
          <w:rFonts w:ascii="Times New Roman" w:hAnsi="Times New Roman" w:cs="Times New Roman"/>
          <w:szCs w:val="21"/>
        </w:rPr>
        <w:t>单位的</w:t>
      </w:r>
      <w:r>
        <w:rPr>
          <w:rFonts w:ascii="Times New Roman" w:hAnsi="Times New Roman" w:cs="Times New Roman"/>
          <w:szCs w:val="21"/>
          <w:u w:val="single"/>
        </w:rPr>
        <w:t>_（采购项目名称）_</w:t>
      </w:r>
      <w:r>
        <w:rPr>
          <w:rFonts w:ascii="Times New Roman" w:hAnsi="Times New Roman" w:cs="Times New Roman"/>
          <w:szCs w:val="21"/>
        </w:rPr>
        <w:t>项目采购活动，其中，小型、微型企业协议合同金额占到联合体协议总金额比例为</w:t>
      </w:r>
      <w:r>
        <w:rPr>
          <w:rFonts w:ascii="Times New Roman" w:hAnsi="Times New Roman" w:cs="Times New Roman"/>
          <w:szCs w:val="21"/>
          <w:u w:val="single"/>
        </w:rPr>
        <w:t>_____</w:t>
      </w:r>
      <w:r>
        <w:rPr>
          <w:rFonts w:ascii="Times New Roman" w:hAnsi="Times New Roman" w:cs="Times New Roman"/>
          <w:szCs w:val="21"/>
        </w:rPr>
        <w:t>%（该合同金额为：□小微企业制造的货物，□小微企业承担的工程、提供服务，□提供其他小微企业制造的货物；不包括使用大型企业注册商标的货物；请承诺人在□处打√），符合《政府采购促进中小企业发展暂行办法》(财库〔2011〕181</w:t>
      </w:r>
      <w:r>
        <w:rPr>
          <w:rFonts w:ascii="Times New Roman" w:hAnsi="Times New Roman" w:cs="Times New Roman"/>
          <w:szCs w:val="21"/>
          <w:u w:val="single"/>
        </w:rPr>
        <w:t>_</w:t>
      </w:r>
      <w:r>
        <w:rPr>
          <w:rFonts w:ascii="Times New Roman" w:hAnsi="Times New Roman" w:cs="Times New Roman"/>
          <w:szCs w:val="21"/>
        </w:rPr>
        <w:t>号)第六条规定的优惠政策。本联合体对上述声明的真实性负责。如有虚假，将依法承担相应责任。</w:t>
      </w:r>
    </w:p>
    <w:p>
      <w:pPr>
        <w:shd w:val="clear" w:color="auto" w:fill="auto"/>
        <w:spacing w:line="240" w:lineRule="auto"/>
        <w:ind w:left="424" w:leftChars="202" w:firstLine="420"/>
        <w:jc w:val="left"/>
        <w:rPr>
          <w:rFonts w:ascii="Times New Roman" w:hAnsi="Times New Roman" w:cs="Times New Roman"/>
          <w:szCs w:val="21"/>
        </w:rPr>
      </w:pPr>
      <w:r>
        <w:rPr>
          <w:rFonts w:ascii="Times New Roman" w:hAnsi="Times New Roman" w:cs="Times New Roman"/>
          <w:szCs w:val="21"/>
        </w:rPr>
        <w:t>企业1名称（盖章）：</w:t>
      </w:r>
      <w:r>
        <w:rPr>
          <w:rFonts w:ascii="Times New Roman" w:hAnsi="Times New Roman" w:cs="Times New Roman"/>
          <w:szCs w:val="21"/>
          <w:u w:val="single"/>
        </w:rPr>
        <w:t>_______________________</w:t>
      </w:r>
      <w:r>
        <w:rPr>
          <w:rFonts w:ascii="Times New Roman" w:hAnsi="Times New Roman" w:cs="Times New Roman"/>
          <w:szCs w:val="21"/>
        </w:rPr>
        <w:t xml:space="preserve"> </w:t>
      </w:r>
    </w:p>
    <w:p>
      <w:pPr>
        <w:shd w:val="clear" w:color="auto" w:fill="auto"/>
        <w:spacing w:line="240" w:lineRule="auto"/>
        <w:ind w:left="424" w:leftChars="202" w:firstLine="420"/>
        <w:jc w:val="left"/>
        <w:rPr>
          <w:rFonts w:ascii="Times New Roman" w:hAnsi="Times New Roman" w:cs="Times New Roman"/>
          <w:szCs w:val="21"/>
        </w:rPr>
      </w:pPr>
      <w:r>
        <w:rPr>
          <w:rFonts w:ascii="Times New Roman" w:hAnsi="Times New Roman" w:cs="Times New Roman"/>
          <w:szCs w:val="21"/>
        </w:rPr>
        <w:t>日期：</w:t>
      </w:r>
      <w:r>
        <w:rPr>
          <w:rFonts w:ascii="Times New Roman" w:hAnsi="Times New Roman" w:cs="Times New Roman"/>
          <w:szCs w:val="21"/>
          <w:u w:val="single"/>
        </w:rPr>
        <w:t>_____________________________________</w:t>
      </w:r>
      <w:r>
        <w:rPr>
          <w:rFonts w:ascii="Times New Roman" w:hAnsi="Times New Roman" w:cs="Times New Roman"/>
          <w:szCs w:val="21"/>
        </w:rPr>
        <w:t xml:space="preserve"> </w:t>
      </w:r>
    </w:p>
    <w:p>
      <w:pPr>
        <w:shd w:val="clear" w:color="auto" w:fill="auto"/>
        <w:spacing w:line="240" w:lineRule="auto"/>
        <w:ind w:left="424" w:leftChars="202" w:firstLine="420"/>
        <w:jc w:val="left"/>
        <w:rPr>
          <w:rFonts w:ascii="Times New Roman" w:hAnsi="Times New Roman" w:cs="Times New Roman"/>
          <w:szCs w:val="21"/>
        </w:rPr>
      </w:pPr>
      <w:r>
        <w:rPr>
          <w:rFonts w:ascii="Times New Roman" w:hAnsi="Times New Roman" w:cs="Times New Roman"/>
          <w:szCs w:val="21"/>
        </w:rPr>
        <w:t>企业2名称（盖章）：</w:t>
      </w:r>
      <w:r>
        <w:rPr>
          <w:rFonts w:ascii="Times New Roman" w:hAnsi="Times New Roman" w:cs="Times New Roman"/>
          <w:szCs w:val="21"/>
          <w:u w:val="single"/>
        </w:rPr>
        <w:t>_______________________</w:t>
      </w:r>
    </w:p>
    <w:p>
      <w:pPr>
        <w:shd w:val="clear" w:color="auto" w:fill="auto"/>
        <w:tabs>
          <w:tab w:val="clear" w:pos="426"/>
        </w:tabs>
        <w:spacing w:line="240" w:lineRule="auto"/>
        <w:ind w:left="424" w:leftChars="202" w:firstLine="420"/>
        <w:rPr>
          <w:rFonts w:ascii="Times New Roman" w:hAnsi="Times New Roman" w:cs="Times New Roman"/>
          <w:szCs w:val="21"/>
        </w:rPr>
      </w:pPr>
      <w:r>
        <w:rPr>
          <w:rFonts w:ascii="Times New Roman" w:hAnsi="Times New Roman" w:cs="Times New Roman"/>
          <w:szCs w:val="21"/>
        </w:rPr>
        <w:t>日期：</w:t>
      </w:r>
      <w:r>
        <w:rPr>
          <w:rFonts w:ascii="Times New Roman" w:hAnsi="Times New Roman" w:cs="Times New Roman"/>
          <w:szCs w:val="21"/>
          <w:u w:val="single"/>
        </w:rPr>
        <w:t>_____________________________________</w:t>
      </w:r>
    </w:p>
    <w:p>
      <w:pPr>
        <w:shd w:val="clear" w:color="auto" w:fill="auto"/>
        <w:tabs>
          <w:tab w:val="clear" w:pos="426"/>
        </w:tabs>
        <w:spacing w:line="240" w:lineRule="auto"/>
        <w:ind w:left="424" w:leftChars="202" w:firstLine="420"/>
        <w:rPr>
          <w:rFonts w:ascii="Times New Roman" w:hAnsi="Times New Roman" w:cs="Times New Roman"/>
          <w:bCs/>
          <w:szCs w:val="21"/>
        </w:rPr>
      </w:pPr>
      <w:r>
        <w:rPr>
          <w:rFonts w:ascii="Times New Roman" w:hAnsi="Times New Roman" w:cs="Times New Roman"/>
          <w:bCs/>
          <w:szCs w:val="21"/>
        </w:rPr>
        <w:t>……</w:t>
      </w:r>
    </w:p>
    <w:p>
      <w:pPr>
        <w:numPr>
          <w:ilvl w:val="0"/>
          <w:numId w:val="22"/>
        </w:numPr>
        <w:shd w:val="clear" w:color="auto" w:fill="auto"/>
        <w:spacing w:before="280" w:after="290" w:line="377" w:lineRule="auto"/>
        <w:ind w:firstLine="482"/>
        <w:outlineLvl w:val="2"/>
        <w:rPr>
          <w:rFonts w:ascii="Times New Roman" w:hAnsi="Times New Roman" w:cs="Times New Roman"/>
          <w:b/>
          <w:sz w:val="24"/>
        </w:rPr>
      </w:pPr>
      <w:r>
        <w:rPr>
          <w:rFonts w:ascii="Times New Roman" w:hAnsi="Times New Roman" w:cs="Times New Roman"/>
          <w:b/>
          <w:sz w:val="24"/>
        </w:rPr>
        <w:br w:type="page"/>
      </w:r>
      <w:r>
        <w:rPr>
          <w:rFonts w:ascii="Times New Roman" w:hAnsi="Times New Roman" w:cs="Times New Roman"/>
          <w:b/>
          <w:sz w:val="24"/>
        </w:rPr>
        <w:t>招标代理服务费承诺书</w:t>
      </w:r>
    </w:p>
    <w:p>
      <w:pPr>
        <w:widowControl w:val="0"/>
        <w:shd w:val="clear" w:color="auto" w:fill="auto"/>
        <w:tabs>
          <w:tab w:val="clear" w:pos="426"/>
        </w:tabs>
        <w:spacing w:line="300" w:lineRule="auto"/>
        <w:ind w:firstLine="640"/>
        <w:jc w:val="center"/>
        <w:rPr>
          <w:rFonts w:ascii="Times New Roman" w:hAnsi="Times New Roman" w:cs="Times New Roman"/>
          <w:bCs/>
          <w:kern w:val="2"/>
          <w:sz w:val="32"/>
          <w:szCs w:val="32"/>
        </w:rPr>
      </w:pPr>
      <w:r>
        <w:rPr>
          <w:rFonts w:ascii="Times New Roman" w:hAnsi="Times New Roman" w:cs="Times New Roman"/>
          <w:bCs/>
          <w:kern w:val="2"/>
          <w:sz w:val="32"/>
          <w:szCs w:val="32"/>
        </w:rPr>
        <w:t>招标代理服务费承诺书</w:t>
      </w:r>
    </w:p>
    <w:p>
      <w:pPr>
        <w:shd w:val="clear" w:color="auto" w:fill="auto"/>
        <w:tabs>
          <w:tab w:val="clear" w:pos="426"/>
        </w:tabs>
        <w:ind w:firstLine="422"/>
        <w:rPr>
          <w:rFonts w:ascii="Times New Roman" w:hAnsi="Times New Roman" w:cs="Times New Roman"/>
          <w:b/>
        </w:rPr>
      </w:pPr>
    </w:p>
    <w:p>
      <w:pPr>
        <w:shd w:val="clear" w:color="auto" w:fill="auto"/>
        <w:tabs>
          <w:tab w:val="clear" w:pos="426"/>
        </w:tabs>
        <w:ind w:firstLine="422"/>
        <w:rPr>
          <w:rFonts w:ascii="Times New Roman" w:hAnsi="Times New Roman" w:cs="Times New Roman"/>
          <w:b/>
        </w:rPr>
      </w:pPr>
      <w:r>
        <w:rPr>
          <w:rFonts w:ascii="Times New Roman" w:hAnsi="Times New Roman" w:cs="Times New Roman"/>
          <w:b/>
        </w:rPr>
        <w:t>深圳市深水水务咨询有限公司：</w:t>
      </w:r>
    </w:p>
    <w:p>
      <w:pPr>
        <w:shd w:val="clear" w:color="auto" w:fill="auto"/>
        <w:tabs>
          <w:tab w:val="clear" w:pos="426"/>
        </w:tabs>
        <w:ind w:firstLine="420" w:firstLineChars="200"/>
        <w:rPr>
          <w:rFonts w:ascii="Times New Roman" w:hAnsi="Times New Roman" w:cs="Times New Roman"/>
          <w:szCs w:val="21"/>
        </w:rPr>
      </w:pPr>
      <w:r>
        <w:rPr>
          <w:rFonts w:ascii="Times New Roman" w:hAnsi="Times New Roman" w:cs="Times New Roman"/>
        </w:rPr>
        <w:t>本公司</w:t>
      </w:r>
      <w:r>
        <w:rPr>
          <w:rFonts w:ascii="Times New Roman" w:hAnsi="Times New Roman" w:cs="Times New Roman"/>
          <w:u w:val="single"/>
        </w:rPr>
        <w:t>__(投标人名称)__</w:t>
      </w:r>
      <w:r>
        <w:rPr>
          <w:rFonts w:ascii="Times New Roman" w:hAnsi="Times New Roman" w:cs="Times New Roman"/>
        </w:rPr>
        <w:t>在参加</w:t>
      </w:r>
      <w:r>
        <w:rPr>
          <w:rFonts w:ascii="Times New Roman" w:hAnsi="Times New Roman" w:cs="Times New Roman"/>
          <w:u w:val="single"/>
        </w:rPr>
        <w:t>_</w:t>
      </w:r>
      <w:r>
        <w:rPr>
          <w:rFonts w:ascii="Times New Roman" w:hAnsi="Times New Roman" w:cs="Times New Roman"/>
          <w:b/>
          <w:u w:val="single"/>
        </w:rPr>
        <w:t>_</w:t>
      </w:r>
      <w:r>
        <w:rPr>
          <w:rFonts w:ascii="Times New Roman" w:hAnsi="Times New Roman" w:cs="Times New Roman"/>
          <w:u w:val="single"/>
        </w:rPr>
        <w:t>（项目名称）_</w:t>
      </w:r>
      <w:r>
        <w:rPr>
          <w:rFonts w:ascii="Times New Roman" w:hAnsi="Times New Roman" w:cs="Times New Roman"/>
          <w:b/>
          <w:u w:val="single"/>
        </w:rPr>
        <w:t>_</w:t>
      </w:r>
      <w:r>
        <w:rPr>
          <w:rFonts w:ascii="Times New Roman" w:hAnsi="Times New Roman" w:cs="Times New Roman"/>
        </w:rPr>
        <w:t>(招标项目编号：</w:t>
      </w:r>
      <w:r>
        <w:rPr>
          <w:rFonts w:ascii="Times New Roman" w:hAnsi="Times New Roman" w:cs="Times New Roman"/>
          <w:u w:val="single"/>
        </w:rPr>
        <w:t>__（招标项目编号）__</w:t>
      </w:r>
      <w:r>
        <w:rPr>
          <w:rFonts w:ascii="Times New Roman" w:hAnsi="Times New Roman" w:cs="Times New Roman"/>
        </w:rPr>
        <w:t>)的招标中如获中标</w:t>
      </w:r>
      <w:r>
        <w:rPr>
          <w:rFonts w:ascii="Times New Roman" w:hAnsi="Times New Roman" w:cs="Times New Roman"/>
          <w:szCs w:val="21"/>
        </w:rPr>
        <w:t>，我公司保证按照招标文件</w:t>
      </w:r>
      <w:r>
        <w:rPr>
          <w:rFonts w:ascii="Times New Roman" w:hAnsi="Times New Roman" w:cs="Times New Roman"/>
        </w:rPr>
        <w:t>的</w:t>
      </w:r>
      <w:r>
        <w:rPr>
          <w:rFonts w:ascii="Times New Roman" w:hAnsi="Times New Roman" w:cs="Times New Roman"/>
          <w:szCs w:val="21"/>
        </w:rPr>
        <w:t>规定缴纳“招标代理服务费”后，凭领取人身份证复印件并加盖公章领取《中标通知书》。如采用电汇或银行转账，我</w:t>
      </w:r>
      <w:r>
        <w:rPr>
          <w:rFonts w:ascii="Times New Roman" w:hAnsi="Times New Roman" w:cs="Times New Roman"/>
        </w:rPr>
        <w:t>公</w:t>
      </w:r>
      <w:r>
        <w:rPr>
          <w:rFonts w:ascii="Times New Roman" w:hAnsi="Times New Roman" w:cs="Times New Roman"/>
          <w:szCs w:val="21"/>
        </w:rPr>
        <w:t>司将同时递交招标代理服务费缴费凭证复印件并加盖公章。</w:t>
      </w:r>
    </w:p>
    <w:p>
      <w:pPr>
        <w:shd w:val="clear" w:color="auto" w:fill="auto"/>
        <w:tabs>
          <w:tab w:val="clear" w:pos="426"/>
        </w:tabs>
        <w:ind w:firstLine="420" w:firstLineChars="200"/>
        <w:rPr>
          <w:rFonts w:ascii="Times New Roman" w:hAnsi="Times New Roman" w:cs="Times New Roman"/>
        </w:rPr>
      </w:pPr>
      <w:r>
        <w:rPr>
          <w:rFonts w:ascii="Times New Roman" w:hAnsi="Times New Roman" w:cs="Times New Roman"/>
        </w:rPr>
        <w:t>我公司郑重承诺：在项目招投标过程中，如我公司违反上款承诺或者因我公司自身原因导致项目废标或者重新招标的，若我公司未缴纳招标代理服务费的，将在收到贵公司缴费通知之日起三个工作日内依据招标文件的规定正常缴纳招标代理服务费，若我公司已经缴纳招标代理服务费的，将放弃要求贵公司退还招标代理服务费的权力，并愿承担由此引起的一切法律责任。</w:t>
      </w:r>
    </w:p>
    <w:p>
      <w:pPr>
        <w:shd w:val="clear" w:color="auto" w:fill="auto"/>
        <w:tabs>
          <w:tab w:val="clear" w:pos="426"/>
        </w:tabs>
        <w:ind w:firstLine="420" w:firstLineChars="200"/>
        <w:rPr>
          <w:rFonts w:ascii="Times New Roman" w:hAnsi="Times New Roman" w:cs="Times New Roman"/>
        </w:rPr>
      </w:pPr>
      <w:r>
        <w:rPr>
          <w:rFonts w:ascii="Times New Roman" w:hAnsi="Times New Roman" w:cs="Times New Roman"/>
        </w:rPr>
        <w:t>特此承诺!</w:t>
      </w:r>
    </w:p>
    <w:p>
      <w:pPr>
        <w:shd w:val="clear" w:color="auto" w:fill="auto"/>
        <w:tabs>
          <w:tab w:val="clear" w:pos="426"/>
        </w:tabs>
        <w:ind w:firstLine="420" w:firstLineChars="200"/>
        <w:rPr>
          <w:rFonts w:ascii="Times New Roman" w:hAnsi="Times New Roman" w:cs="Times New Roman"/>
        </w:rPr>
      </w:pPr>
    </w:p>
    <w:p>
      <w:pPr>
        <w:shd w:val="clear" w:color="auto" w:fill="auto"/>
        <w:tabs>
          <w:tab w:val="clear" w:pos="426"/>
        </w:tabs>
        <w:ind w:firstLine="420" w:firstLineChars="200"/>
        <w:rPr>
          <w:rFonts w:ascii="Times New Roman" w:hAnsi="Times New Roman" w:cs="Times New Roman"/>
          <w:u w:val="single"/>
        </w:rPr>
      </w:pPr>
      <w:r>
        <w:rPr>
          <w:rFonts w:ascii="Times New Roman" w:hAnsi="Times New Roman" w:cs="Times New Roman"/>
        </w:rPr>
        <w:t>单位名称：</w:t>
      </w:r>
      <w:r>
        <w:rPr>
          <w:rFonts w:ascii="Times New Roman" w:hAnsi="Times New Roman" w:cs="Times New Roman"/>
          <w:u w:val="single"/>
        </w:rPr>
        <w:t>_____________________________________________________________</w:t>
      </w:r>
    </w:p>
    <w:p>
      <w:pPr>
        <w:shd w:val="clear" w:color="auto" w:fill="auto"/>
        <w:tabs>
          <w:tab w:val="clear" w:pos="426"/>
        </w:tabs>
        <w:ind w:firstLine="420" w:firstLineChars="200"/>
        <w:rPr>
          <w:rFonts w:ascii="Times New Roman" w:hAnsi="Times New Roman" w:cs="Times New Roman"/>
          <w:u w:val="single"/>
        </w:rPr>
      </w:pPr>
      <w:r>
        <w:rPr>
          <w:rFonts w:ascii="Times New Roman" w:hAnsi="Times New Roman" w:cs="Times New Roman"/>
        </w:rPr>
        <w:t>法定代表人或投标人授权代表（签名或盖章）：</w:t>
      </w:r>
      <w:r>
        <w:rPr>
          <w:rFonts w:ascii="Times New Roman" w:hAnsi="Times New Roman" w:cs="Times New Roman"/>
          <w:u w:val="single"/>
        </w:rPr>
        <w:t>_____________________________</w:t>
      </w:r>
    </w:p>
    <w:p>
      <w:pPr>
        <w:shd w:val="clear" w:color="auto" w:fill="auto"/>
        <w:tabs>
          <w:tab w:val="clear" w:pos="426"/>
        </w:tabs>
        <w:ind w:firstLine="420" w:firstLineChars="200"/>
        <w:rPr>
          <w:rFonts w:ascii="Times New Roman" w:hAnsi="Times New Roman" w:cs="Times New Roman"/>
          <w:u w:val="single"/>
        </w:rPr>
      </w:pPr>
      <w:r>
        <w:rPr>
          <w:rFonts w:ascii="Times New Roman" w:hAnsi="Times New Roman" w:cs="Times New Roman"/>
        </w:rPr>
        <w:t>单位地址：</w:t>
      </w:r>
      <w:r>
        <w:rPr>
          <w:rFonts w:ascii="Times New Roman" w:hAnsi="Times New Roman" w:cs="Times New Roman"/>
          <w:u w:val="single"/>
        </w:rPr>
        <w:t>_____________________________________________________________</w:t>
      </w:r>
    </w:p>
    <w:p>
      <w:pPr>
        <w:shd w:val="clear" w:color="auto" w:fill="auto"/>
        <w:tabs>
          <w:tab w:val="clear" w:pos="426"/>
        </w:tabs>
        <w:ind w:firstLine="420" w:firstLineChars="200"/>
        <w:rPr>
          <w:rFonts w:ascii="Times New Roman" w:hAnsi="Times New Roman" w:cs="Times New Roman"/>
          <w:u w:val="single"/>
        </w:rPr>
      </w:pPr>
      <w:r>
        <w:rPr>
          <w:rFonts w:ascii="Times New Roman" w:hAnsi="Times New Roman" w:cs="Times New Roman"/>
        </w:rPr>
        <w:t>单位公章：</w:t>
      </w:r>
      <w:r>
        <w:rPr>
          <w:rFonts w:ascii="Times New Roman" w:hAnsi="Times New Roman" w:cs="Times New Roman"/>
          <w:u w:val="single"/>
        </w:rPr>
        <w:t>_____________________________________________________________</w:t>
      </w:r>
    </w:p>
    <w:p>
      <w:pPr>
        <w:shd w:val="clear" w:color="auto" w:fill="auto"/>
        <w:tabs>
          <w:tab w:val="clear" w:pos="426"/>
        </w:tabs>
        <w:ind w:firstLine="420" w:firstLineChars="200"/>
        <w:rPr>
          <w:rFonts w:ascii="Times New Roman" w:hAnsi="Times New Roman" w:cs="Times New Roman"/>
          <w:u w:val="single"/>
        </w:rPr>
      </w:pPr>
      <w:r>
        <w:rPr>
          <w:rFonts w:ascii="Times New Roman" w:hAnsi="Times New Roman" w:cs="Times New Roman"/>
        </w:rPr>
        <w:t>邮政编码：</w:t>
      </w:r>
      <w:r>
        <w:rPr>
          <w:rFonts w:ascii="Times New Roman" w:hAnsi="Times New Roman" w:cs="Times New Roman"/>
          <w:u w:val="single"/>
        </w:rPr>
        <w:t>_____________________________</w:t>
      </w:r>
      <w:r>
        <w:rPr>
          <w:rFonts w:ascii="Times New Roman" w:hAnsi="Times New Roman" w:cs="Times New Roman"/>
        </w:rPr>
        <w:t>日期：</w:t>
      </w:r>
      <w:r>
        <w:rPr>
          <w:rFonts w:ascii="Times New Roman" w:hAnsi="Times New Roman" w:cs="Times New Roman"/>
          <w:u w:val="single"/>
        </w:rPr>
        <w:t>__________________________</w:t>
      </w:r>
    </w:p>
    <w:p>
      <w:pPr>
        <w:shd w:val="clear" w:color="auto" w:fill="auto"/>
        <w:tabs>
          <w:tab w:val="clear" w:pos="426"/>
        </w:tabs>
        <w:ind w:firstLine="420" w:firstLineChars="200"/>
        <w:rPr>
          <w:rFonts w:ascii="Times New Roman" w:hAnsi="Times New Roman" w:cs="Times New Roman"/>
          <w:u w:val="single"/>
        </w:rPr>
      </w:pPr>
      <w:r>
        <w:rPr>
          <w:rFonts w:ascii="Times New Roman" w:hAnsi="Times New Roman" w:cs="Times New Roman"/>
        </w:rPr>
        <w:t>联系电话：</w:t>
      </w:r>
      <w:r>
        <w:rPr>
          <w:rFonts w:ascii="Times New Roman" w:hAnsi="Times New Roman" w:cs="Times New Roman"/>
          <w:u w:val="single"/>
        </w:rPr>
        <w:t>_____________________________________________________________</w:t>
      </w:r>
    </w:p>
    <w:p>
      <w:pPr>
        <w:shd w:val="clear" w:color="auto" w:fill="auto"/>
        <w:tabs>
          <w:tab w:val="clear" w:pos="426"/>
        </w:tabs>
        <w:spacing w:line="520" w:lineRule="exact"/>
        <w:ind w:left="424" w:leftChars="202" w:firstLine="420"/>
        <w:rPr>
          <w:rFonts w:ascii="Times New Roman" w:hAnsi="Times New Roman" w:cs="Times New Roman"/>
          <w:u w:val="single"/>
        </w:rPr>
      </w:pPr>
    </w:p>
    <w:p>
      <w:pPr>
        <w:shd w:val="clear" w:color="auto" w:fill="auto"/>
        <w:tabs>
          <w:tab w:val="clear" w:pos="426"/>
        </w:tabs>
        <w:spacing w:line="520" w:lineRule="exact"/>
        <w:ind w:left="424" w:leftChars="202" w:firstLine="420"/>
        <w:rPr>
          <w:rFonts w:ascii="Times New Roman" w:hAnsi="Times New Roman" w:cs="Times New Roman"/>
        </w:rPr>
      </w:pPr>
    </w:p>
    <w:p>
      <w:pPr>
        <w:shd w:val="clear" w:color="auto" w:fill="auto"/>
        <w:tabs>
          <w:tab w:val="clear" w:pos="426"/>
        </w:tabs>
        <w:ind w:firstLine="422"/>
        <w:rPr>
          <w:rFonts w:ascii="Times New Roman" w:hAnsi="Times New Roman" w:cs="Times New Roman"/>
          <w:b/>
          <w:szCs w:val="21"/>
        </w:rPr>
      </w:pPr>
      <w:r>
        <w:rPr>
          <w:rFonts w:ascii="Times New Roman" w:hAnsi="Times New Roman" w:cs="Times New Roman"/>
          <w:b/>
        </w:rPr>
        <w:br w:type="page"/>
      </w:r>
    </w:p>
    <w:p>
      <w:pPr>
        <w:widowControl w:val="0"/>
        <w:shd w:val="clear" w:color="auto" w:fill="auto"/>
        <w:tabs>
          <w:tab w:val="clear" w:pos="426"/>
        </w:tabs>
        <w:spacing w:line="300" w:lineRule="auto"/>
        <w:ind w:firstLine="640"/>
        <w:jc w:val="center"/>
        <w:rPr>
          <w:rFonts w:ascii="Times New Roman" w:hAnsi="Times New Roman" w:cs="Times New Roman"/>
          <w:bCs/>
          <w:kern w:val="2"/>
          <w:sz w:val="32"/>
          <w:szCs w:val="32"/>
        </w:rPr>
      </w:pPr>
    </w:p>
    <w:p>
      <w:pPr>
        <w:widowControl w:val="0"/>
        <w:shd w:val="clear" w:color="auto" w:fill="auto"/>
        <w:tabs>
          <w:tab w:val="clear" w:pos="426"/>
        </w:tabs>
        <w:spacing w:line="300" w:lineRule="auto"/>
        <w:ind w:firstLine="640"/>
        <w:jc w:val="center"/>
        <w:rPr>
          <w:rFonts w:ascii="Times New Roman" w:hAnsi="Times New Roman" w:cs="Times New Roman"/>
          <w:bCs/>
          <w:kern w:val="2"/>
          <w:sz w:val="32"/>
          <w:szCs w:val="32"/>
        </w:rPr>
      </w:pPr>
      <w:r>
        <w:rPr>
          <w:rFonts w:ascii="Times New Roman" w:hAnsi="Times New Roman" w:cs="Times New Roman"/>
          <w:bCs/>
          <w:kern w:val="2"/>
          <w:sz w:val="32"/>
          <w:szCs w:val="32"/>
        </w:rPr>
        <w:t>招标代理服务费发票开具须知</w:t>
      </w:r>
    </w:p>
    <w:tbl>
      <w:tblPr>
        <w:tblStyle w:val="4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9"/>
        <w:gridCol w:w="7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59" w:type="dxa"/>
            <w:vAlign w:val="center"/>
          </w:tcPr>
          <w:p>
            <w:pPr>
              <w:shd w:val="clear" w:color="auto" w:fill="auto"/>
              <w:tabs>
                <w:tab w:val="clear" w:pos="426"/>
              </w:tabs>
              <w:spacing w:line="520" w:lineRule="exact"/>
              <w:ind w:firstLine="422"/>
              <w:rPr>
                <w:rFonts w:ascii="Times New Roman" w:hAnsi="Times New Roman" w:cs="Times New Roman"/>
                <w:b/>
              </w:rPr>
            </w:pPr>
            <w:r>
              <w:rPr>
                <w:rFonts w:ascii="Times New Roman" w:hAnsi="Times New Roman" w:cs="Times New Roman"/>
                <w:b/>
              </w:rPr>
              <w:t>发票类型</w:t>
            </w:r>
          </w:p>
        </w:tc>
        <w:tc>
          <w:tcPr>
            <w:tcW w:w="7363" w:type="dxa"/>
            <w:vAlign w:val="center"/>
          </w:tcPr>
          <w:p>
            <w:pPr>
              <w:shd w:val="clear" w:color="auto" w:fill="auto"/>
              <w:tabs>
                <w:tab w:val="clear" w:pos="426"/>
              </w:tabs>
              <w:spacing w:line="520" w:lineRule="exact"/>
              <w:ind w:firstLine="420" w:firstLineChars="200"/>
              <w:rPr>
                <w:rFonts w:ascii="Times New Roman" w:hAnsi="Times New Roman" w:cs="Times New Roman"/>
              </w:rPr>
            </w:pPr>
            <w:r>
              <w:rPr>
                <w:rFonts w:ascii="Times New Roman" w:hAnsi="Times New Roman" w:cs="Times New Roman"/>
              </w:rPr>
              <w:t>□增值税普通发票          □增值税专用发票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8522" w:type="dxa"/>
            <w:gridSpan w:val="2"/>
            <w:vAlign w:val="center"/>
          </w:tcPr>
          <w:p>
            <w:pPr>
              <w:shd w:val="clear" w:color="auto" w:fill="auto"/>
              <w:tabs>
                <w:tab w:val="clear" w:pos="426"/>
              </w:tabs>
              <w:spacing w:line="520" w:lineRule="exact"/>
              <w:ind w:firstLine="420"/>
              <w:rPr>
                <w:rFonts w:ascii="Times New Roman" w:hAnsi="Times New Roman" w:cs="Times New Roman"/>
              </w:rPr>
            </w:pPr>
            <w:r>
              <w:rPr>
                <w:rFonts w:ascii="Times New Roman" w:hAnsi="Times New Roman" w:cs="Times New Roman"/>
              </w:rPr>
              <w:t>如选择增值税专用发票，需提供以下材料，投标时密封于开标信封中：</w:t>
            </w:r>
          </w:p>
          <w:p>
            <w:pPr>
              <w:shd w:val="clear" w:color="auto" w:fill="auto"/>
              <w:tabs>
                <w:tab w:val="clear" w:pos="426"/>
              </w:tabs>
              <w:spacing w:line="520" w:lineRule="exact"/>
              <w:ind w:firstLine="420"/>
              <w:rPr>
                <w:rFonts w:ascii="Times New Roman" w:hAnsi="Times New Roman" w:cs="Times New Roman"/>
              </w:rPr>
            </w:pPr>
            <w:r>
              <w:rPr>
                <w:rFonts w:ascii="Times New Roman" w:hAnsi="Times New Roman" w:cs="Times New Roman"/>
              </w:rPr>
              <w:t xml:space="preserve">1.营业执照、一般纳税人资格认定税务通知书或其他可证明具有该项资格证明文件的复印件，加盖单位公章； </w:t>
            </w:r>
          </w:p>
          <w:p>
            <w:pPr>
              <w:shd w:val="clear" w:color="auto" w:fill="auto"/>
              <w:tabs>
                <w:tab w:val="clear" w:pos="426"/>
              </w:tabs>
              <w:spacing w:line="520" w:lineRule="exact"/>
              <w:ind w:firstLine="420"/>
              <w:rPr>
                <w:rFonts w:ascii="Times New Roman" w:hAnsi="Times New Roman" w:cs="Times New Roman"/>
              </w:rPr>
            </w:pPr>
            <w:r>
              <w:rPr>
                <w:rFonts w:ascii="Times New Roman" w:hAnsi="Times New Roman" w:cs="Times New Roman"/>
              </w:rPr>
              <w:t>2.客户的开票资料（单位名称、纳税人识别号、地址、电话、开户行全称及账号），加盖单位公章。</w:t>
            </w:r>
          </w:p>
        </w:tc>
      </w:tr>
    </w:tbl>
    <w:p>
      <w:pPr>
        <w:shd w:val="clear" w:color="auto" w:fill="auto"/>
        <w:tabs>
          <w:tab w:val="clear" w:pos="426"/>
        </w:tabs>
        <w:ind w:firstLine="1687"/>
        <w:rPr>
          <w:rFonts w:ascii="Times New Roman" w:hAnsi="Times New Roman" w:cs="Times New Roman"/>
          <w:b/>
          <w:szCs w:val="21"/>
        </w:rPr>
      </w:pPr>
      <w:r>
        <w:rPr>
          <w:rFonts w:ascii="Times New Roman" w:hAnsi="Times New Roman" w:cs="Times New Roman"/>
          <w:b/>
          <w:sz w:val="84"/>
          <w:szCs w:val="84"/>
          <w:u w:val="dashedHeavy"/>
        </w:rPr>
        <w:t xml:space="preserve">                      </w:t>
      </w:r>
      <w:r>
        <w:rPr>
          <w:rFonts w:ascii="Times New Roman" w:hAnsi="Times New Roman" w:cs="Times New Roman"/>
          <w:b/>
          <w:szCs w:val="21"/>
        </w:rPr>
        <w:t xml:space="preserve"> </w:t>
      </w:r>
    </w:p>
    <w:p>
      <w:pPr>
        <w:shd w:val="clear" w:color="auto" w:fill="auto"/>
        <w:tabs>
          <w:tab w:val="clear" w:pos="426"/>
        </w:tabs>
        <w:ind w:firstLine="422"/>
        <w:rPr>
          <w:rFonts w:ascii="Times New Roman" w:hAnsi="Times New Roman" w:cs="Times New Roman"/>
          <w:b/>
          <w:szCs w:val="21"/>
        </w:rPr>
      </w:pPr>
    </w:p>
    <w:p>
      <w:pPr>
        <w:shd w:val="clear" w:color="auto" w:fill="auto"/>
        <w:tabs>
          <w:tab w:val="clear" w:pos="426"/>
        </w:tabs>
        <w:ind w:firstLine="422"/>
        <w:jc w:val="center"/>
        <w:rPr>
          <w:rFonts w:ascii="Times New Roman" w:hAnsi="Times New Roman" w:cs="Times New Roman"/>
          <w:b/>
          <w:szCs w:val="21"/>
        </w:rPr>
      </w:pPr>
      <w:r>
        <w:rPr>
          <w:rFonts w:ascii="Times New Roman" w:hAnsi="Times New Roman" w:cs="Times New Roman"/>
          <w:b/>
          <w:szCs w:val="21"/>
        </w:rPr>
        <w:t>附：缴纳招标代理服务费账号：</w:t>
      </w:r>
    </w:p>
    <w:tbl>
      <w:tblPr>
        <w:tblStyle w:val="44"/>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43"/>
        <w:gridCol w:w="55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2943" w:type="dxa"/>
            <w:vAlign w:val="center"/>
          </w:tcPr>
          <w:p>
            <w:pPr>
              <w:shd w:val="clear" w:color="auto" w:fill="auto"/>
              <w:tabs>
                <w:tab w:val="clear" w:pos="426"/>
              </w:tabs>
              <w:spacing w:line="240" w:lineRule="auto"/>
              <w:ind w:firstLine="422"/>
              <w:jc w:val="center"/>
              <w:rPr>
                <w:rFonts w:ascii="Times New Roman" w:hAnsi="Times New Roman" w:cs="Times New Roman"/>
                <w:b/>
                <w:szCs w:val="21"/>
              </w:rPr>
            </w:pPr>
            <w:r>
              <w:rPr>
                <w:rFonts w:ascii="Times New Roman" w:hAnsi="Times New Roman" w:cs="Times New Roman"/>
                <w:b/>
                <w:szCs w:val="21"/>
              </w:rPr>
              <w:t>收款人名称</w:t>
            </w:r>
          </w:p>
        </w:tc>
        <w:tc>
          <w:tcPr>
            <w:tcW w:w="5579" w:type="dxa"/>
            <w:vAlign w:val="center"/>
          </w:tcPr>
          <w:p>
            <w:pPr>
              <w:shd w:val="clear" w:color="auto" w:fill="auto"/>
              <w:tabs>
                <w:tab w:val="clear" w:pos="426"/>
              </w:tabs>
              <w:spacing w:line="240" w:lineRule="auto"/>
              <w:ind w:firstLine="420"/>
              <w:jc w:val="center"/>
              <w:rPr>
                <w:rFonts w:ascii="Times New Roman" w:hAnsi="Times New Roman" w:cs="Times New Roman"/>
                <w:szCs w:val="21"/>
              </w:rPr>
            </w:pPr>
            <w:r>
              <w:rPr>
                <w:rFonts w:ascii="Times New Roman" w:hAnsi="Times New Roman" w:cs="Times New Roman"/>
                <w:szCs w:val="21"/>
              </w:rPr>
              <w:t>深圳市深水水务咨询有限公司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2943" w:type="dxa"/>
            <w:vAlign w:val="center"/>
          </w:tcPr>
          <w:p>
            <w:pPr>
              <w:shd w:val="clear" w:color="auto" w:fill="auto"/>
              <w:tabs>
                <w:tab w:val="clear" w:pos="426"/>
              </w:tabs>
              <w:spacing w:line="240" w:lineRule="auto"/>
              <w:ind w:firstLine="422"/>
              <w:jc w:val="center"/>
              <w:rPr>
                <w:rFonts w:ascii="Times New Roman" w:hAnsi="Times New Roman" w:cs="Times New Roman"/>
                <w:b/>
                <w:szCs w:val="21"/>
              </w:rPr>
            </w:pPr>
            <w:r>
              <w:rPr>
                <w:rFonts w:ascii="Times New Roman" w:hAnsi="Times New Roman" w:cs="Times New Roman"/>
                <w:b/>
                <w:szCs w:val="21"/>
              </w:rPr>
              <w:t>开户银行</w:t>
            </w:r>
          </w:p>
        </w:tc>
        <w:tc>
          <w:tcPr>
            <w:tcW w:w="5579" w:type="dxa"/>
            <w:vAlign w:val="center"/>
          </w:tcPr>
          <w:p>
            <w:pPr>
              <w:shd w:val="clear" w:color="auto" w:fill="auto"/>
              <w:tabs>
                <w:tab w:val="clear" w:pos="426"/>
              </w:tabs>
              <w:spacing w:line="240" w:lineRule="auto"/>
              <w:ind w:firstLine="420"/>
              <w:jc w:val="center"/>
              <w:rPr>
                <w:rFonts w:ascii="Times New Roman" w:hAnsi="Times New Roman" w:cs="Times New Roman"/>
                <w:b/>
                <w:szCs w:val="21"/>
              </w:rPr>
            </w:pPr>
            <w:r>
              <w:rPr>
                <w:rFonts w:ascii="Times New Roman" w:hAnsi="Times New Roman" w:cs="Times New Roman"/>
              </w:rPr>
              <w:t>交通银行深圳金叶支行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2943" w:type="dxa"/>
            <w:vAlign w:val="center"/>
          </w:tcPr>
          <w:p>
            <w:pPr>
              <w:shd w:val="clear" w:color="auto" w:fill="auto"/>
              <w:tabs>
                <w:tab w:val="clear" w:pos="426"/>
              </w:tabs>
              <w:spacing w:line="240" w:lineRule="auto"/>
              <w:ind w:firstLine="422"/>
              <w:jc w:val="center"/>
              <w:rPr>
                <w:rFonts w:ascii="Times New Roman" w:hAnsi="Times New Roman" w:cs="Times New Roman"/>
                <w:b/>
                <w:szCs w:val="21"/>
              </w:rPr>
            </w:pPr>
            <w:r>
              <w:rPr>
                <w:rFonts w:ascii="Times New Roman" w:hAnsi="Times New Roman" w:cs="Times New Roman"/>
                <w:b/>
                <w:szCs w:val="21"/>
              </w:rPr>
              <w:t>账    号</w:t>
            </w:r>
          </w:p>
        </w:tc>
        <w:tc>
          <w:tcPr>
            <w:tcW w:w="5579" w:type="dxa"/>
            <w:vAlign w:val="center"/>
          </w:tcPr>
          <w:p>
            <w:pPr>
              <w:shd w:val="clear" w:color="auto" w:fill="auto"/>
              <w:tabs>
                <w:tab w:val="clear" w:pos="426"/>
              </w:tabs>
              <w:spacing w:line="240" w:lineRule="auto"/>
              <w:ind w:firstLine="420"/>
              <w:jc w:val="center"/>
              <w:rPr>
                <w:rFonts w:ascii="Times New Roman" w:hAnsi="Times New Roman" w:cs="Times New Roman"/>
                <w:b/>
                <w:szCs w:val="21"/>
              </w:rPr>
            </w:pPr>
            <w:r>
              <w:rPr>
                <w:rFonts w:ascii="Times New Roman" w:hAnsi="Times New Roman" w:cs="Times New Roman"/>
              </w:rPr>
              <w:t>443899991010003343618</w:t>
            </w:r>
          </w:p>
        </w:tc>
      </w:tr>
    </w:tbl>
    <w:p>
      <w:pPr>
        <w:shd w:val="clear" w:color="auto" w:fill="auto"/>
        <w:tabs>
          <w:tab w:val="clear" w:pos="426"/>
        </w:tabs>
        <w:ind w:firstLine="480"/>
        <w:rPr>
          <w:rFonts w:ascii="Times New Roman" w:hAnsi="Times New Roman" w:cs="Times New Roman"/>
          <w:bCs/>
          <w:sz w:val="24"/>
        </w:rPr>
      </w:pPr>
    </w:p>
    <w:p>
      <w:pPr>
        <w:shd w:val="clear" w:color="auto" w:fill="auto"/>
        <w:ind w:firstLine="420"/>
        <w:rPr>
          <w:rFonts w:ascii="Times New Roman" w:hAnsi="Times New Roman" w:cs="Times New Roman"/>
        </w:rPr>
      </w:pPr>
    </w:p>
    <w:p>
      <w:pPr>
        <w:shd w:val="clear" w:color="auto" w:fill="auto"/>
        <w:tabs>
          <w:tab w:val="clear" w:pos="426"/>
        </w:tabs>
        <w:spacing w:line="240" w:lineRule="auto"/>
        <w:ind w:firstLine="420"/>
        <w:rPr>
          <w:rFonts w:ascii="Times New Roman" w:hAnsi="Times New Roman" w:cs="Times New Roman"/>
          <w:szCs w:val="21"/>
        </w:rPr>
      </w:pPr>
    </w:p>
    <w:p>
      <w:pPr>
        <w:numPr>
          <w:ilvl w:val="0"/>
          <w:numId w:val="22"/>
        </w:numPr>
        <w:shd w:val="clear" w:color="auto" w:fill="auto"/>
        <w:spacing w:before="280" w:after="290" w:line="377" w:lineRule="auto"/>
        <w:ind w:firstLine="482"/>
        <w:outlineLvl w:val="2"/>
        <w:rPr>
          <w:rFonts w:ascii="Times New Roman" w:hAnsi="Times New Roman" w:cs="Times New Roman"/>
          <w:b/>
          <w:sz w:val="24"/>
        </w:rPr>
      </w:pPr>
      <w:r>
        <w:rPr>
          <w:rFonts w:ascii="Times New Roman" w:hAnsi="Times New Roman" w:cs="Times New Roman"/>
          <w:b/>
          <w:sz w:val="24"/>
        </w:rPr>
        <w:br w:type="page"/>
      </w:r>
      <w:r>
        <w:rPr>
          <w:rFonts w:ascii="Times New Roman" w:hAnsi="Times New Roman" w:cs="Times New Roman"/>
          <w:b/>
          <w:sz w:val="24"/>
        </w:rPr>
        <w:t>政府采购违法行为风险知悉确认书</w:t>
      </w:r>
    </w:p>
    <w:p>
      <w:pPr>
        <w:widowControl w:val="0"/>
        <w:shd w:val="clear" w:color="auto" w:fill="auto"/>
        <w:tabs>
          <w:tab w:val="clear" w:pos="426"/>
        </w:tabs>
        <w:adjustRightInd/>
        <w:snapToGrid/>
        <w:spacing w:line="300" w:lineRule="auto"/>
        <w:ind w:firstLine="640"/>
        <w:jc w:val="center"/>
        <w:rPr>
          <w:rFonts w:cs="Times New Roman"/>
          <w:bCs/>
          <w:kern w:val="2"/>
          <w:sz w:val="32"/>
          <w:szCs w:val="32"/>
        </w:rPr>
      </w:pPr>
      <w:r>
        <w:rPr>
          <w:rFonts w:hint="eastAsia" w:cs="Times New Roman"/>
          <w:bCs/>
          <w:kern w:val="2"/>
          <w:sz w:val="32"/>
          <w:szCs w:val="32"/>
        </w:rPr>
        <w:t>政府采购违法行为风险知悉确认书</w:t>
      </w:r>
    </w:p>
    <w:p>
      <w:pPr>
        <w:widowControl w:val="0"/>
        <w:shd w:val="clear" w:color="auto" w:fill="auto"/>
        <w:spacing w:line="579" w:lineRule="exact"/>
        <w:ind w:firstLine="420" w:firstLineChars="200"/>
        <w:rPr>
          <w:rFonts w:cs="仿宋_GB2312"/>
        </w:rPr>
      </w:pPr>
      <w:r>
        <w:rPr>
          <w:rFonts w:hint="eastAsia" w:cs="仿宋_GB2312"/>
          <w:kern w:val="2"/>
        </w:rPr>
        <w:t>本公司在投标前已充分知悉以下情形为参与政府采购活动时的重大风险事项，并承诺已对下述风险提示事项重点排查，做到严谨、诚信、依法依规参与政府采购活动。</w:t>
      </w:r>
    </w:p>
    <w:p>
      <w:pPr>
        <w:widowControl w:val="0"/>
        <w:shd w:val="clear" w:color="auto" w:fill="auto"/>
        <w:spacing w:line="579" w:lineRule="exact"/>
        <w:ind w:firstLine="422" w:firstLineChars="200"/>
        <w:rPr>
          <w:rFonts w:cs="仿宋_GB2312"/>
          <w:kern w:val="2"/>
        </w:rPr>
      </w:pPr>
      <w:r>
        <w:rPr>
          <w:rFonts w:hint="eastAsia" w:cs="仿宋_GB2312"/>
          <w:b/>
          <w:bCs/>
          <w:kern w:val="2"/>
        </w:rPr>
        <w:t>一、本公司已充分知悉“隐瞒真实情况，提供虚假资料”的法定情形，相关情形包括但不限于</w:t>
      </w:r>
      <w:r>
        <w:rPr>
          <w:rFonts w:hint="eastAsia" w:cs="仿宋_GB2312"/>
          <w:kern w:val="2"/>
        </w:rPr>
        <w:t>：</w:t>
      </w:r>
    </w:p>
    <w:p>
      <w:pPr>
        <w:widowControl w:val="0"/>
        <w:shd w:val="clear" w:color="auto" w:fill="auto"/>
        <w:spacing w:line="579" w:lineRule="exact"/>
        <w:ind w:firstLine="420" w:firstLineChars="200"/>
        <w:rPr>
          <w:rFonts w:cs="仿宋_GB2312"/>
          <w:kern w:val="2"/>
        </w:rPr>
      </w:pPr>
      <w:r>
        <w:rPr>
          <w:rFonts w:hint="eastAsia" w:cs="仿宋_GB2312"/>
          <w:kern w:val="2"/>
        </w:rPr>
        <w:t>（一）通过转让或者租借等方式从其他单位获取资格或者资质证书投标的。</w:t>
      </w:r>
    </w:p>
    <w:p>
      <w:pPr>
        <w:widowControl w:val="0"/>
        <w:shd w:val="clear" w:color="auto" w:fill="auto"/>
        <w:spacing w:line="579" w:lineRule="exact"/>
        <w:ind w:firstLine="420" w:firstLineChars="200"/>
        <w:rPr>
          <w:rFonts w:cs="仿宋_GB2312"/>
          <w:kern w:val="2"/>
        </w:rPr>
      </w:pPr>
      <w:r>
        <w:rPr>
          <w:rFonts w:hint="eastAsia" w:cs="仿宋_GB2312"/>
          <w:kern w:val="2"/>
        </w:rPr>
        <w:t>（二）由其他单位或者其他单位负责人在投标供应商编制的投标文件上加盖印章或者签字的。</w:t>
      </w:r>
    </w:p>
    <w:p>
      <w:pPr>
        <w:widowControl w:val="0"/>
        <w:shd w:val="clear" w:color="auto" w:fill="auto"/>
        <w:spacing w:line="579" w:lineRule="exact"/>
        <w:ind w:firstLine="420" w:firstLineChars="200"/>
        <w:rPr>
          <w:rFonts w:cs="仿宋_GB2312"/>
          <w:kern w:val="2"/>
        </w:rPr>
      </w:pPr>
      <w:r>
        <w:rPr>
          <w:rFonts w:hint="eastAsia" w:cs="仿宋_GB2312"/>
          <w:kern w:val="2"/>
        </w:rPr>
        <w:t>（三）项目负责人或者主要技术人员不是本单位人员的。</w:t>
      </w:r>
    </w:p>
    <w:p>
      <w:pPr>
        <w:widowControl w:val="0"/>
        <w:shd w:val="clear" w:color="auto" w:fill="auto"/>
        <w:spacing w:line="579" w:lineRule="exact"/>
        <w:ind w:firstLine="420" w:firstLineChars="200"/>
        <w:rPr>
          <w:rFonts w:cs="仿宋_GB2312"/>
          <w:kern w:val="2"/>
        </w:rPr>
      </w:pPr>
      <w:r>
        <w:rPr>
          <w:rFonts w:hint="eastAsia" w:cs="仿宋_GB2312"/>
          <w:kern w:val="2"/>
        </w:rPr>
        <w:t>（四）投标保证金不是从投标供应商基本账户转出的。</w:t>
      </w:r>
    </w:p>
    <w:p>
      <w:pPr>
        <w:widowControl w:val="0"/>
        <w:shd w:val="clear" w:color="auto" w:fill="auto"/>
        <w:spacing w:line="579" w:lineRule="exact"/>
        <w:ind w:firstLine="420" w:firstLineChars="200"/>
        <w:rPr>
          <w:rFonts w:cs="仿宋_GB2312"/>
          <w:kern w:val="2"/>
        </w:rPr>
      </w:pPr>
      <w:r>
        <w:rPr>
          <w:rFonts w:hint="eastAsia" w:cs="仿宋_GB2312"/>
          <w:kern w:val="2"/>
        </w:rPr>
        <w:t>（五）其他隐瞒真实情况、提供虚假资料的行为。</w:t>
      </w:r>
    </w:p>
    <w:p>
      <w:pPr>
        <w:widowControl w:val="0"/>
        <w:shd w:val="clear" w:color="auto" w:fill="auto"/>
        <w:spacing w:line="579" w:lineRule="exact"/>
        <w:ind w:firstLine="422" w:firstLineChars="200"/>
        <w:rPr>
          <w:rFonts w:cs="仿宋_GB2312"/>
          <w:kern w:val="2"/>
        </w:rPr>
      </w:pPr>
      <w:r>
        <w:rPr>
          <w:rFonts w:hint="eastAsia" w:cs="仿宋_GB2312"/>
          <w:b/>
          <w:bCs/>
          <w:kern w:val="2"/>
        </w:rPr>
        <w:t>二、本公司已充分知悉“与其他采购参加人串通投标”的法定情形，相关情形包括但不限于：</w:t>
      </w:r>
    </w:p>
    <w:p>
      <w:pPr>
        <w:widowControl w:val="0"/>
        <w:shd w:val="clear" w:color="auto" w:fill="auto"/>
        <w:spacing w:line="579" w:lineRule="exact"/>
        <w:ind w:firstLine="420" w:firstLineChars="200"/>
        <w:rPr>
          <w:rFonts w:cs="仿宋_GB2312"/>
          <w:kern w:val="2"/>
        </w:rPr>
      </w:pPr>
      <w:r>
        <w:rPr>
          <w:rFonts w:hint="eastAsia" w:cs="仿宋_GB2312"/>
          <w:kern w:val="2"/>
        </w:rPr>
        <w:t xml:space="preserve">（一）投标供应商之间相互约定给予未中标的供应商利益补偿。 </w:t>
      </w:r>
    </w:p>
    <w:p>
      <w:pPr>
        <w:widowControl w:val="0"/>
        <w:shd w:val="clear" w:color="auto" w:fill="auto"/>
        <w:spacing w:line="579" w:lineRule="exact"/>
        <w:ind w:firstLine="420" w:firstLineChars="200"/>
        <w:rPr>
          <w:rFonts w:cs="仿宋_GB2312"/>
          <w:kern w:val="2"/>
        </w:rPr>
      </w:pPr>
      <w:r>
        <w:rPr>
          <w:rFonts w:hint="eastAsia" w:cs="仿宋_GB2312"/>
          <w:kern w:val="2"/>
        </w:rPr>
        <w:t>（二）不同投标供应商的法定代表人、主要经营负责人、项目投标授权代表人、项目负责人、主要技术人员为同一人、属同一单位或者在同一单位缴纳社会保险。</w:t>
      </w:r>
    </w:p>
    <w:p>
      <w:pPr>
        <w:widowControl w:val="0"/>
        <w:shd w:val="clear" w:color="auto" w:fill="auto"/>
        <w:spacing w:line="579" w:lineRule="exact"/>
        <w:ind w:firstLine="420" w:firstLineChars="200"/>
        <w:rPr>
          <w:rFonts w:cs="仿宋_GB2312"/>
          <w:kern w:val="2"/>
        </w:rPr>
      </w:pPr>
      <w:r>
        <w:rPr>
          <w:rFonts w:hint="eastAsia" w:cs="仿宋_GB2312"/>
          <w:kern w:val="2"/>
        </w:rPr>
        <w:t>（三）不同投标供应商的投标文件由同一单位或者同一人编制，或者由同一人分阶段参与编制的。</w:t>
      </w:r>
    </w:p>
    <w:p>
      <w:pPr>
        <w:widowControl w:val="0"/>
        <w:shd w:val="clear" w:color="auto" w:fill="auto"/>
        <w:spacing w:line="579" w:lineRule="exact"/>
        <w:ind w:firstLine="420" w:firstLineChars="200"/>
        <w:rPr>
          <w:rFonts w:cs="仿宋_GB2312"/>
          <w:kern w:val="2"/>
        </w:rPr>
      </w:pPr>
      <w:r>
        <w:rPr>
          <w:rFonts w:hint="eastAsia" w:cs="仿宋_GB2312"/>
          <w:kern w:val="2"/>
        </w:rPr>
        <w:t>（四）不同投标供应商的投标文件或部分投标文件相互混装。</w:t>
      </w:r>
    </w:p>
    <w:p>
      <w:pPr>
        <w:widowControl w:val="0"/>
        <w:shd w:val="clear" w:color="auto" w:fill="auto"/>
        <w:spacing w:line="579" w:lineRule="exact"/>
        <w:ind w:firstLine="420" w:firstLineChars="200"/>
        <w:rPr>
          <w:rFonts w:cs="仿宋_GB2312"/>
          <w:kern w:val="2"/>
        </w:rPr>
      </w:pPr>
      <w:r>
        <w:rPr>
          <w:rFonts w:hint="eastAsia" w:cs="仿宋_GB2312"/>
          <w:kern w:val="2"/>
        </w:rPr>
        <w:t>（五）不同投标供应商的投标文件内容存在非正常一致。</w:t>
      </w:r>
    </w:p>
    <w:p>
      <w:pPr>
        <w:widowControl w:val="0"/>
        <w:shd w:val="clear" w:color="auto" w:fill="auto"/>
        <w:spacing w:line="579" w:lineRule="exact"/>
        <w:ind w:firstLine="420" w:firstLineChars="200"/>
        <w:rPr>
          <w:rFonts w:cs="仿宋_GB2312"/>
          <w:kern w:val="2"/>
        </w:rPr>
      </w:pPr>
      <w:r>
        <w:rPr>
          <w:rFonts w:hint="eastAsia" w:cs="仿宋_GB2312"/>
          <w:kern w:val="2"/>
        </w:rPr>
        <w:t>（六）由同一单位工作人员为两家以上（含两家）供应商进行同一项投标活动的。</w:t>
      </w:r>
    </w:p>
    <w:p>
      <w:pPr>
        <w:widowControl w:val="0"/>
        <w:shd w:val="clear" w:color="auto" w:fill="auto"/>
        <w:spacing w:line="579" w:lineRule="exact"/>
        <w:ind w:firstLine="420" w:firstLineChars="200"/>
        <w:rPr>
          <w:rFonts w:cs="仿宋_GB2312"/>
          <w:kern w:val="2"/>
        </w:rPr>
      </w:pPr>
      <w:r>
        <w:rPr>
          <w:rFonts w:hint="eastAsia" w:cs="仿宋_GB2312"/>
          <w:kern w:val="2"/>
        </w:rPr>
        <w:t>（七）不同投标人的投标报价呈规律性差异。</w:t>
      </w:r>
    </w:p>
    <w:p>
      <w:pPr>
        <w:widowControl w:val="0"/>
        <w:shd w:val="clear" w:color="auto" w:fill="auto"/>
        <w:spacing w:line="579" w:lineRule="exact"/>
        <w:ind w:firstLine="420" w:firstLineChars="200"/>
        <w:rPr>
          <w:rFonts w:cs="仿宋_GB2312"/>
          <w:kern w:val="2"/>
        </w:rPr>
      </w:pPr>
      <w:r>
        <w:rPr>
          <w:rFonts w:hint="eastAsia" w:cs="仿宋_GB2312"/>
          <w:kern w:val="2"/>
        </w:rPr>
        <w:t>（八）不同投标人的投标保证金从同一单位或者个人的账户转出。</w:t>
      </w:r>
    </w:p>
    <w:p>
      <w:pPr>
        <w:widowControl w:val="0"/>
        <w:shd w:val="clear" w:color="auto" w:fill="auto"/>
        <w:spacing w:line="579" w:lineRule="exact"/>
        <w:ind w:firstLine="420" w:firstLineChars="200"/>
        <w:rPr>
          <w:rFonts w:cs="仿宋_GB2312"/>
          <w:kern w:val="2"/>
        </w:rPr>
      </w:pPr>
      <w:r>
        <w:rPr>
          <w:rFonts w:hint="eastAsia" w:cs="仿宋_GB2312"/>
          <w:kern w:val="2"/>
        </w:rPr>
        <w:t>（九）主管部门依照法律、法规认定的其他情形。</w:t>
      </w:r>
    </w:p>
    <w:p>
      <w:pPr>
        <w:widowControl w:val="0"/>
        <w:shd w:val="clear" w:color="auto" w:fill="auto"/>
        <w:spacing w:line="579" w:lineRule="exact"/>
        <w:ind w:firstLine="422" w:firstLineChars="200"/>
        <w:rPr>
          <w:rFonts w:cs="仿宋_GB2312"/>
          <w:b/>
          <w:bCs/>
          <w:kern w:val="2"/>
        </w:rPr>
      </w:pPr>
      <w:r>
        <w:rPr>
          <w:rFonts w:hint="eastAsia" w:cs="仿宋_GB2312"/>
          <w:b/>
          <w:bCs/>
          <w:kern w:val="2"/>
        </w:rPr>
        <w:t>三、本公司已充分知悉下列情形所对应的法律风险，并在投标前已对相关风险事项进行排查。</w:t>
      </w:r>
    </w:p>
    <w:p>
      <w:pPr>
        <w:widowControl w:val="0"/>
        <w:shd w:val="clear" w:color="auto" w:fill="auto"/>
        <w:spacing w:line="579" w:lineRule="exact"/>
        <w:ind w:firstLine="420" w:firstLineChars="200"/>
        <w:rPr>
          <w:rFonts w:cs="仿宋_GB2312"/>
          <w:b/>
          <w:bCs/>
          <w:kern w:val="2"/>
        </w:rPr>
      </w:pPr>
      <w:r>
        <w:rPr>
          <w:rFonts w:hint="eastAsia" w:cs="仿宋_GB2312"/>
          <w:kern w:val="2"/>
        </w:rPr>
        <w:t>（一）对于</w:t>
      </w:r>
      <w:r>
        <w:rPr>
          <w:rFonts w:hint="eastAsia"/>
          <w:kern w:val="2"/>
        </w:rPr>
        <w:t>从</w:t>
      </w:r>
      <w:r>
        <w:rPr>
          <w:rFonts w:hint="eastAsia" w:cs="仿宋_GB2312"/>
          <w:kern w:val="2"/>
        </w:rPr>
        <w:t>其他主体</w:t>
      </w:r>
      <w:r>
        <w:rPr>
          <w:rFonts w:hint="eastAsia"/>
          <w:kern w:val="2"/>
        </w:rPr>
        <w:t>获取</w:t>
      </w:r>
      <w:r>
        <w:rPr>
          <w:rFonts w:hint="eastAsia" w:cs="仿宋_GB2312"/>
          <w:kern w:val="2"/>
        </w:rPr>
        <w:t>的投标资料，供应商应审慎核查，确保投标资料的真实性。</w:t>
      </w:r>
      <w:r>
        <w:rPr>
          <w:rFonts w:hint="eastAsia" w:cs="仿宋_GB2312"/>
          <w:b/>
          <w:bCs/>
          <w:kern w:val="2"/>
        </w:rPr>
        <w:t>如主管部门查实投标文件中存在虚假资料的，无论相关资料是否由第三方或本公司员工提供，均不影响主管部门对供应商存在“隐瞒真实情况，提供虚假资料”违法行为的认定。</w:t>
      </w:r>
    </w:p>
    <w:p>
      <w:pPr>
        <w:widowControl w:val="0"/>
        <w:shd w:val="clear" w:color="auto" w:fill="auto"/>
        <w:spacing w:line="579" w:lineRule="exact"/>
        <w:ind w:firstLine="420" w:firstLineChars="200"/>
        <w:rPr>
          <w:rFonts w:cs="仿宋_GB2312"/>
          <w:kern w:val="2"/>
        </w:rPr>
      </w:pPr>
      <w:r>
        <w:rPr>
          <w:rFonts w:hint="eastAsia" w:cs="仿宋_GB2312"/>
          <w:kern w:val="2"/>
        </w:rPr>
        <w:t>（二）对于涉及国家机关出具的公文、证件、证明材料等文件，一旦涉嫌虚假，经查实，主管部门将依法从严处理，并移送有关部门追究法律责任；涉嫌犯罪的，主管部门将一并移送司法机关追究法律责任。</w:t>
      </w:r>
    </w:p>
    <w:p>
      <w:pPr>
        <w:widowControl w:val="0"/>
        <w:shd w:val="clear" w:color="auto" w:fill="auto"/>
        <w:spacing w:line="579" w:lineRule="exact"/>
        <w:ind w:firstLine="420" w:firstLineChars="200"/>
        <w:rPr>
          <w:rFonts w:cs="仿宋_GB2312"/>
          <w:kern w:val="2"/>
        </w:rPr>
      </w:pPr>
      <w:r>
        <w:rPr>
          <w:rFonts w:hint="eastAsia" w:cs="仿宋_GB2312"/>
          <w:kern w:val="2"/>
        </w:rPr>
        <w:t xml:space="preserve">（三）对于涉及安全生产、特种作业、抢险救灾、防疫等政府采购项目，供应商实施提供虚假资料、串通投标等违法行为的，主管部门将依法从严处理。 </w:t>
      </w:r>
    </w:p>
    <w:p>
      <w:pPr>
        <w:widowControl w:val="0"/>
        <w:shd w:val="clear" w:color="auto" w:fill="auto"/>
        <w:spacing w:line="579" w:lineRule="exact"/>
        <w:ind w:firstLine="420" w:firstLineChars="200"/>
        <w:rPr>
          <w:rFonts w:cs="仿宋_GB2312"/>
          <w:kern w:val="2"/>
        </w:rPr>
      </w:pPr>
      <w:r>
        <w:rPr>
          <w:rFonts w:hint="eastAsia" w:cs="仿宋_GB2312"/>
          <w:kern w:val="2"/>
        </w:rPr>
        <w:t>（四）供应商应严格规范项目授权代表、员工参与招标投标的行为，加强对投标文件的审核。项目授权代表、员工</w:t>
      </w:r>
      <w:r>
        <w:rPr>
          <w:rFonts w:hint="eastAsia"/>
          <w:kern w:val="2"/>
        </w:rPr>
        <w:t>编制、上传</w:t>
      </w:r>
      <w:r>
        <w:rPr>
          <w:rFonts w:hint="eastAsia" w:cs="仿宋_GB2312"/>
          <w:kern w:val="2"/>
        </w:rPr>
        <w:t>投标文件</w:t>
      </w:r>
      <w:r>
        <w:rPr>
          <w:rFonts w:hint="eastAsia"/>
          <w:kern w:val="2"/>
        </w:rPr>
        <w:t>等行为</w:t>
      </w:r>
      <w:r>
        <w:rPr>
          <w:rFonts w:hint="eastAsia" w:cs="仿宋_GB2312"/>
          <w:kern w:val="2"/>
        </w:rPr>
        <w:t>违反政府采购法律法规或招标文件要求的，投标供应商应当依法承担相应法律责任。</w:t>
      </w:r>
    </w:p>
    <w:p>
      <w:pPr>
        <w:widowControl w:val="0"/>
        <w:shd w:val="clear" w:color="auto" w:fill="auto"/>
        <w:spacing w:line="579" w:lineRule="exact"/>
        <w:ind w:firstLine="420" w:firstLineChars="200"/>
        <w:rPr>
          <w:rFonts w:cs="仿宋_GB2312"/>
          <w:kern w:val="2"/>
        </w:rPr>
      </w:pPr>
      <w:r>
        <w:rPr>
          <w:rFonts w:hint="eastAsia" w:cs="仿宋_GB2312"/>
          <w:kern w:val="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widowControl w:val="0"/>
        <w:shd w:val="clear" w:color="auto" w:fill="auto"/>
        <w:spacing w:line="579" w:lineRule="exact"/>
        <w:ind w:firstLine="420" w:firstLineChars="200"/>
        <w:rPr>
          <w:rFonts w:cs="仿宋_GB2312"/>
          <w:kern w:val="2"/>
        </w:rPr>
      </w:pPr>
      <w:r>
        <w:rPr>
          <w:rFonts w:hint="eastAsia" w:cs="仿宋_GB2312"/>
          <w:kern w:val="2"/>
        </w:rPr>
        <w:t>（六）单位负责人为同一人或者存在直接控股、管理关系的不同供应商，不得参加同一合同项下的政府采购活动。相关情形</w:t>
      </w:r>
      <w:r>
        <w:rPr>
          <w:rFonts w:hint="eastAsia"/>
          <w:kern w:val="2"/>
        </w:rPr>
        <w:t>如</w:t>
      </w:r>
      <w:r>
        <w:rPr>
          <w:rFonts w:hint="eastAsia" w:cs="仿宋_GB2312"/>
          <w:kern w:val="2"/>
        </w:rPr>
        <w:t>查实，依法作投标无效处理；涉嫌串通投标等违法行为的，主管部门将依法调查处理。</w:t>
      </w:r>
    </w:p>
    <w:p>
      <w:pPr>
        <w:widowControl w:val="0"/>
        <w:shd w:val="clear" w:color="auto" w:fill="auto"/>
        <w:spacing w:line="579" w:lineRule="exact"/>
        <w:ind w:firstLine="422" w:firstLineChars="200"/>
        <w:rPr>
          <w:rFonts w:cs="仿宋_GB2312"/>
          <w:b/>
          <w:bCs/>
          <w:kern w:val="2"/>
        </w:rPr>
      </w:pPr>
      <w:r>
        <w:rPr>
          <w:rFonts w:hint="eastAsia" w:cs="仿宋_GB2312"/>
          <w:b/>
          <w:bCs/>
          <w:kern w:val="2"/>
        </w:rPr>
        <w:t>四、本公司已充分知悉政府采购违法、违规行为的法律后果。</w:t>
      </w:r>
      <w:r>
        <w:rPr>
          <w:rFonts w:hint="eastAsia" w:cs="仿宋_GB2312"/>
          <w:kern w:val="2"/>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widowControl w:val="0"/>
        <w:shd w:val="clear" w:color="auto" w:fill="auto"/>
        <w:spacing w:line="579" w:lineRule="exact"/>
        <w:ind w:firstLine="420" w:firstLineChars="200"/>
        <w:rPr>
          <w:rFonts w:cs="仿宋_GB2312"/>
          <w:kern w:val="2"/>
        </w:rPr>
      </w:pPr>
      <w:r>
        <w:rPr>
          <w:rFonts w:hint="eastAsia" w:cs="仿宋_GB2312"/>
          <w:kern w:val="2"/>
        </w:rPr>
        <w:t>以下文字请投标供应商抄写并确认：“本公司已仔细阅读《政府采购违法行为风险知悉确认书》，充分知悉违法行为的法律后果，并承诺将严谨、诚信、依法依规参与政府采购活动”。</w:t>
      </w:r>
    </w:p>
    <w:p>
      <w:pPr>
        <w:widowControl w:val="0"/>
        <w:shd w:val="clear" w:color="auto" w:fill="auto"/>
        <w:spacing w:line="579" w:lineRule="exact"/>
        <w:ind w:firstLine="420"/>
        <w:rPr>
          <w:rFonts w:cs="仿宋_GB2312"/>
          <w:kern w:val="2"/>
        </w:rPr>
      </w:pPr>
      <w:r>
        <w:rPr>
          <w:rFonts w:hint="eastAsia" w:cs="仿宋_GB2312"/>
          <w:kern w:val="2"/>
          <w:u w:val="single"/>
        </w:rPr>
        <w:t xml:space="preserve">                                                    </w:t>
      </w:r>
    </w:p>
    <w:p>
      <w:pPr>
        <w:widowControl w:val="0"/>
        <w:shd w:val="clear" w:color="auto" w:fill="auto"/>
        <w:spacing w:line="579" w:lineRule="exact"/>
        <w:ind w:firstLine="420"/>
        <w:rPr>
          <w:rFonts w:cs="仿宋_GB2312"/>
          <w:kern w:val="2"/>
          <w:u w:val="single"/>
        </w:rPr>
      </w:pPr>
      <w:r>
        <w:rPr>
          <w:rFonts w:hint="eastAsia" w:cs="仿宋_GB2312"/>
          <w:kern w:val="2"/>
          <w:u w:val="single"/>
        </w:rPr>
        <w:t xml:space="preserve">                                                    </w:t>
      </w:r>
    </w:p>
    <w:p>
      <w:pPr>
        <w:widowControl w:val="0"/>
        <w:shd w:val="clear" w:color="auto" w:fill="auto"/>
        <w:spacing w:line="579" w:lineRule="exact"/>
        <w:ind w:firstLine="420"/>
        <w:rPr>
          <w:rFonts w:cs="仿宋_GB2312"/>
          <w:kern w:val="2"/>
        </w:rPr>
      </w:pPr>
      <w:r>
        <w:rPr>
          <w:rFonts w:hint="eastAsia" w:cs="仿宋_GB2312"/>
          <w:kern w:val="2"/>
          <w:u w:val="single"/>
        </w:rPr>
        <w:t xml:space="preserve">                                                    </w:t>
      </w:r>
    </w:p>
    <w:p>
      <w:pPr>
        <w:widowControl w:val="0"/>
        <w:shd w:val="clear" w:color="auto" w:fill="auto"/>
        <w:spacing w:line="579" w:lineRule="exact"/>
        <w:ind w:firstLine="420"/>
        <w:rPr>
          <w:rFonts w:cs="仿宋_GB2312"/>
          <w:kern w:val="2"/>
        </w:rPr>
      </w:pPr>
      <w:r>
        <w:rPr>
          <w:rFonts w:hint="eastAsia" w:cs="仿宋_GB2312"/>
          <w:kern w:val="2"/>
          <w:u w:val="single"/>
        </w:rPr>
        <w:t xml:space="preserve">                                                    </w:t>
      </w:r>
    </w:p>
    <w:p>
      <w:pPr>
        <w:widowControl w:val="0"/>
        <w:shd w:val="clear" w:color="auto" w:fill="auto"/>
        <w:spacing w:line="579" w:lineRule="exact"/>
        <w:ind w:firstLine="420"/>
        <w:rPr>
          <w:rFonts w:cs="仿宋_GB2312"/>
          <w:kern w:val="2"/>
        </w:rPr>
      </w:pPr>
    </w:p>
    <w:p>
      <w:pPr>
        <w:widowControl w:val="0"/>
        <w:shd w:val="clear" w:color="auto" w:fill="auto"/>
        <w:spacing w:line="579" w:lineRule="exact"/>
        <w:ind w:firstLine="420"/>
        <w:rPr>
          <w:rFonts w:cs="仿宋_GB2312"/>
          <w:kern w:val="2"/>
        </w:rPr>
      </w:pPr>
      <w:r>
        <w:rPr>
          <w:rFonts w:hint="eastAsia" w:cs="仿宋_GB2312"/>
          <w:kern w:val="2"/>
        </w:rPr>
        <w:t xml:space="preserve">                    负责人/投标授权代表签名：</w:t>
      </w:r>
    </w:p>
    <w:p>
      <w:pPr>
        <w:widowControl w:val="0"/>
        <w:shd w:val="clear" w:color="auto" w:fill="auto"/>
        <w:spacing w:line="579" w:lineRule="exact"/>
        <w:ind w:firstLine="2100" w:firstLineChars="1000"/>
        <w:rPr>
          <w:rFonts w:cs="仿宋_GB2312"/>
          <w:kern w:val="2"/>
        </w:rPr>
      </w:pPr>
      <w:r>
        <w:rPr>
          <w:rFonts w:hint="eastAsia" w:cs="仿宋_GB2312"/>
          <w:kern w:val="2"/>
        </w:rPr>
        <w:t>知悉人（公章）：</w:t>
      </w:r>
    </w:p>
    <w:p>
      <w:pPr>
        <w:widowControl w:val="0"/>
        <w:shd w:val="clear" w:color="auto" w:fill="auto"/>
        <w:spacing w:line="579" w:lineRule="exact"/>
        <w:ind w:firstLine="420"/>
        <w:rPr>
          <w:kern w:val="2"/>
        </w:rPr>
      </w:pPr>
      <w:r>
        <w:rPr>
          <w:rFonts w:hint="eastAsia" w:cs="仿宋_GB2312"/>
          <w:kern w:val="2"/>
        </w:rPr>
        <w:t xml:space="preserve">                    日期：</w:t>
      </w:r>
    </w:p>
    <w:p>
      <w:pPr>
        <w:widowControl w:val="0"/>
        <w:shd w:val="clear" w:color="auto" w:fill="auto"/>
        <w:ind w:firstLine="422"/>
        <w:rPr>
          <w:b/>
          <w:bCs/>
          <w:kern w:val="2"/>
        </w:rPr>
      </w:pPr>
      <w:r>
        <w:rPr>
          <w:rFonts w:hint="eastAsia"/>
          <w:b/>
          <w:bCs/>
          <w:kern w:val="2"/>
        </w:rPr>
        <w:t>注：本确认书不作资格符合性考察。</w:t>
      </w:r>
    </w:p>
    <w:p>
      <w:pPr>
        <w:numPr>
          <w:ilvl w:val="0"/>
          <w:numId w:val="22"/>
        </w:numPr>
        <w:shd w:val="clear" w:color="auto" w:fill="auto"/>
        <w:spacing w:before="280" w:after="290" w:line="377" w:lineRule="auto"/>
        <w:ind w:firstLine="482"/>
        <w:outlineLvl w:val="2"/>
        <w:rPr>
          <w:rFonts w:ascii="Times New Roman" w:hAnsi="Times New Roman" w:cs="Times New Roman"/>
          <w:b/>
          <w:sz w:val="24"/>
        </w:rPr>
      </w:pPr>
      <w:r>
        <w:rPr>
          <w:rFonts w:ascii="Times New Roman" w:hAnsi="Times New Roman" w:cs="Times New Roman"/>
          <w:b/>
          <w:bCs/>
          <w:sz w:val="24"/>
        </w:rPr>
        <w:br w:type="page"/>
      </w:r>
      <w:r>
        <w:rPr>
          <w:rFonts w:ascii="Times New Roman" w:hAnsi="Times New Roman" w:cs="Times New Roman"/>
          <w:b/>
          <w:sz w:val="24"/>
        </w:rPr>
        <w:t>招标文件要求的其他内容及投标人认为需要加以说明的其他内容</w:t>
      </w:r>
    </w:p>
    <w:p>
      <w:pPr>
        <w:widowControl w:val="0"/>
        <w:shd w:val="clear" w:color="auto" w:fill="auto"/>
        <w:tabs>
          <w:tab w:val="clear" w:pos="426"/>
        </w:tabs>
        <w:spacing w:line="300" w:lineRule="auto"/>
        <w:ind w:firstLine="420" w:firstLineChars="200"/>
        <w:rPr>
          <w:rFonts w:ascii="Times New Roman" w:hAnsi="Times New Roman" w:cs="Times New Roman"/>
          <w:bCs/>
          <w:kern w:val="2"/>
          <w:szCs w:val="21"/>
        </w:rPr>
      </w:pPr>
      <w:r>
        <w:rPr>
          <w:rFonts w:ascii="Times New Roman" w:hAnsi="Times New Roman" w:cs="Times New Roman"/>
          <w:kern w:val="2"/>
          <w:szCs w:val="21"/>
        </w:rPr>
        <w:t>提供招标公告和评标信息中关于投标人的其他相关证明文件（如评标信息中涉及的各种证件（身份证除外）、设备发票等，未涉及的可以不提供）</w:t>
      </w:r>
    </w:p>
    <w:p>
      <w:pPr>
        <w:shd w:val="clear" w:color="auto" w:fill="auto"/>
        <w:tabs>
          <w:tab w:val="clear" w:pos="426"/>
        </w:tabs>
        <w:ind w:firstLine="420"/>
        <w:rPr>
          <w:rFonts w:ascii="Times New Roman" w:hAnsi="Times New Roman" w:cs="Times New Roman"/>
          <w:bCs/>
          <w:szCs w:val="21"/>
        </w:rPr>
      </w:pPr>
    </w:p>
    <w:p>
      <w:pPr>
        <w:shd w:val="clear" w:color="auto" w:fill="auto"/>
        <w:tabs>
          <w:tab w:val="clear" w:pos="426"/>
        </w:tabs>
        <w:ind w:firstLine="420"/>
        <w:rPr>
          <w:rFonts w:ascii="Times New Roman" w:hAnsi="Times New Roman" w:cs="Times New Roman"/>
          <w:bCs/>
          <w:szCs w:val="21"/>
        </w:rPr>
      </w:pPr>
    </w:p>
    <w:p>
      <w:pPr>
        <w:shd w:val="clear" w:color="auto" w:fill="auto"/>
        <w:ind w:firstLine="420"/>
        <w:rPr>
          <w:rFonts w:ascii="Times New Roman" w:hAnsi="Times New Roman" w:cs="Times New Roman"/>
        </w:rPr>
      </w:pPr>
    </w:p>
    <w:p>
      <w:pPr>
        <w:shd w:val="clear" w:color="auto" w:fill="auto"/>
        <w:ind w:firstLine="420"/>
        <w:rPr>
          <w:rFonts w:ascii="Times New Roman" w:hAnsi="Times New Roman" w:cs="Times New Roman"/>
        </w:rPr>
      </w:pPr>
    </w:p>
    <w:p>
      <w:pPr>
        <w:shd w:val="clear" w:color="auto" w:fill="auto"/>
        <w:tabs>
          <w:tab w:val="right" w:leader="dot" w:pos="8820"/>
          <w:tab w:val="right" w:leader="dot" w:pos="9240"/>
          <w:tab w:val="clear" w:pos="426"/>
        </w:tabs>
        <w:ind w:firstLine="560"/>
        <w:rPr>
          <w:rFonts w:ascii="Times New Roman" w:hAnsi="Times New Roman" w:cs="Times New Roman"/>
          <w:smallCaps/>
          <w:sz w:val="28"/>
        </w:rPr>
      </w:pPr>
    </w:p>
    <w:p>
      <w:pPr>
        <w:shd w:val="clear" w:color="auto" w:fill="auto"/>
        <w:tabs>
          <w:tab w:val="right" w:leader="dot" w:pos="8820"/>
          <w:tab w:val="right" w:leader="dot" w:pos="9240"/>
          <w:tab w:val="clear" w:pos="426"/>
        </w:tabs>
        <w:ind w:firstLine="560"/>
        <w:rPr>
          <w:rFonts w:ascii="Times New Roman" w:hAnsi="Times New Roman" w:cs="Times New Roman"/>
          <w:smallCaps/>
          <w:sz w:val="28"/>
        </w:rPr>
      </w:pPr>
    </w:p>
    <w:p>
      <w:pPr>
        <w:shd w:val="clear" w:color="auto" w:fill="auto"/>
        <w:tabs>
          <w:tab w:val="right" w:leader="dot" w:pos="8820"/>
          <w:tab w:val="right" w:leader="dot" w:pos="9240"/>
          <w:tab w:val="clear" w:pos="426"/>
        </w:tabs>
        <w:ind w:firstLine="560"/>
        <w:rPr>
          <w:rFonts w:ascii="Times New Roman" w:hAnsi="Times New Roman" w:cs="Times New Roman"/>
          <w:smallCaps/>
          <w:sz w:val="28"/>
        </w:rPr>
        <w:sectPr>
          <w:headerReference r:id="rId7" w:type="first"/>
          <w:footerReference r:id="rId9" w:type="first"/>
          <w:headerReference r:id="rId6" w:type="default"/>
          <w:footerReference r:id="rId8" w:type="default"/>
          <w:pgSz w:w="11906" w:h="16838"/>
          <w:pgMar w:top="1134" w:right="1700" w:bottom="1134" w:left="1418" w:header="851" w:footer="992" w:gutter="0"/>
          <w:cols w:space="425" w:num="1"/>
          <w:titlePg/>
          <w:docGrid w:linePitch="462" w:charSpace="0"/>
        </w:sectPr>
      </w:pPr>
    </w:p>
    <w:p>
      <w:pPr>
        <w:pStyle w:val="301"/>
        <w:pageBreakBefore/>
        <w:shd w:val="clear" w:color="auto" w:fill="auto"/>
        <w:ind w:firstLine="723"/>
        <w:rPr>
          <w:rFonts w:ascii="Times New Roman" w:hAnsi="Times New Roman"/>
        </w:rPr>
      </w:pPr>
      <w:bookmarkStart w:id="40" w:name="_Toc41557708"/>
      <w:bookmarkStart w:id="41" w:name="_Toc169101014"/>
      <w:r>
        <w:rPr>
          <w:rFonts w:ascii="Times New Roman" w:hAnsi="Times New Roman"/>
        </w:rPr>
        <w:t>第二册  通用条款</w:t>
      </w:r>
      <w:bookmarkEnd w:id="40"/>
      <w:r>
        <w:rPr>
          <w:rFonts w:ascii="Times New Roman" w:hAnsi="Times New Roman"/>
        </w:rPr>
        <w:t>（通用）</w:t>
      </w:r>
      <w:bookmarkEnd w:id="41"/>
    </w:p>
    <w:p>
      <w:pPr>
        <w:shd w:val="clear" w:color="auto" w:fill="auto"/>
        <w:ind w:firstLine="422"/>
        <w:jc w:val="center"/>
        <w:rPr>
          <w:rFonts w:ascii="Times New Roman" w:hAnsi="Times New Roman" w:cs="Times New Roman"/>
          <w:b/>
        </w:rPr>
      </w:pPr>
      <w:r>
        <w:rPr>
          <w:rFonts w:ascii="Times New Roman" w:hAnsi="Times New Roman" w:cs="Times New Roman"/>
          <w:b/>
        </w:rPr>
        <w:t>（投标人须知）</w:t>
      </w:r>
    </w:p>
    <w:p>
      <w:pPr>
        <w:shd w:val="clear" w:color="auto" w:fill="auto"/>
        <w:ind w:firstLine="422"/>
        <w:jc w:val="center"/>
        <w:rPr>
          <w:rFonts w:ascii="Times New Roman" w:hAnsi="Times New Roman" w:cs="Times New Roman"/>
          <w:b/>
        </w:rPr>
      </w:pPr>
    </w:p>
    <w:p>
      <w:pPr>
        <w:pStyle w:val="309"/>
        <w:shd w:val="clear" w:color="auto" w:fill="auto"/>
        <w:ind w:firstLine="562"/>
        <w:rPr>
          <w:rFonts w:ascii="Times New Roman" w:hAnsi="Times New Roman"/>
        </w:rPr>
      </w:pPr>
      <w:bookmarkStart w:id="42" w:name="_Toc41557709"/>
      <w:bookmarkStart w:id="43" w:name="_Toc169101015"/>
      <w:r>
        <w:rPr>
          <w:rFonts w:ascii="Times New Roman" w:hAnsi="Times New Roman"/>
        </w:rPr>
        <w:t>第一章 总则</w:t>
      </w:r>
      <w:bookmarkEnd w:id="42"/>
      <w:bookmarkEnd w:id="43"/>
    </w:p>
    <w:p>
      <w:pPr>
        <w:pStyle w:val="326"/>
        <w:shd w:val="clear" w:color="auto" w:fill="auto"/>
        <w:ind w:firstLine="482"/>
        <w:rPr>
          <w:rFonts w:ascii="Times New Roman" w:hAnsi="Times New Roman" w:cs="Times New Roman"/>
        </w:rPr>
      </w:pPr>
      <w:r>
        <w:rPr>
          <w:rFonts w:ascii="Times New Roman" w:hAnsi="Times New Roman" w:cs="Times New Roman"/>
        </w:rPr>
        <w:t>通用条款说明</w:t>
      </w:r>
    </w:p>
    <w:p>
      <w:pPr>
        <w:pStyle w:val="328"/>
        <w:rPr>
          <w:rFonts w:ascii="Times New Roman" w:hAnsi="Times New Roman"/>
        </w:rPr>
      </w:pPr>
      <w:r>
        <w:rPr>
          <w:rFonts w:ascii="Times New Roman" w:hAnsi="Times New Roman"/>
        </w:rPr>
        <w:t>采购代理机构发出招标文件通用条款版本，列出深圳市政府采购项目进行招标采购所适用的通用条款内容。如有需要，采购代理机构可以对这些条款增加附录或补充内容。</w:t>
      </w:r>
    </w:p>
    <w:p>
      <w:pPr>
        <w:pStyle w:val="326"/>
        <w:shd w:val="clear" w:color="auto" w:fill="auto"/>
        <w:ind w:firstLine="482"/>
        <w:rPr>
          <w:rFonts w:ascii="Times New Roman" w:hAnsi="Times New Roman" w:cs="Times New Roman"/>
        </w:rPr>
      </w:pPr>
      <w:r>
        <w:rPr>
          <w:rFonts w:ascii="Times New Roman" w:hAnsi="Times New Roman" w:cs="Times New Roman"/>
        </w:rPr>
        <w:t>招标说明</w:t>
      </w:r>
    </w:p>
    <w:p>
      <w:pPr>
        <w:pStyle w:val="328"/>
        <w:rPr>
          <w:rFonts w:ascii="Times New Roman" w:hAnsi="Times New Roman"/>
        </w:rPr>
      </w:pPr>
      <w:r>
        <w:rPr>
          <w:rFonts w:ascii="Times New Roman" w:hAnsi="Times New Roman"/>
        </w:rPr>
        <w:t>本项目按照《深圳经济特区政府采购条例》《深圳经济特区政府采购条例实施细则》《深圳网上政府采购管理暂行办法》及《深圳市政府采购评标定标分离管理暂行办法》的规定，并参考有关法规、政策、规章、规定通过招标择优选定供应商。本招标文件适用于采购公告中所述项目的政府采购。</w:t>
      </w:r>
    </w:p>
    <w:p>
      <w:pPr>
        <w:pStyle w:val="328"/>
        <w:rPr>
          <w:rFonts w:ascii="Times New Roman" w:hAnsi="Times New Roman"/>
        </w:rPr>
      </w:pPr>
      <w:r>
        <w:rPr>
          <w:rFonts w:ascii="Times New Roman" w:hAnsi="Times New Roman"/>
        </w:rPr>
        <w:t>本招标文件的解释权归属深圳市深水水务咨询有限公司。</w:t>
      </w:r>
    </w:p>
    <w:p>
      <w:pPr>
        <w:pStyle w:val="326"/>
        <w:shd w:val="clear" w:color="auto" w:fill="auto"/>
        <w:ind w:firstLine="482"/>
        <w:rPr>
          <w:rFonts w:ascii="Times New Roman" w:hAnsi="Times New Roman" w:cs="Times New Roman"/>
        </w:rPr>
      </w:pPr>
      <w:r>
        <w:rPr>
          <w:rFonts w:ascii="Times New Roman" w:hAnsi="Times New Roman" w:cs="Times New Roman"/>
        </w:rPr>
        <w:t>定义</w:t>
      </w:r>
    </w:p>
    <w:p>
      <w:pPr>
        <w:pStyle w:val="328"/>
        <w:rPr>
          <w:rFonts w:ascii="Times New Roman" w:hAnsi="Times New Roman"/>
        </w:rPr>
      </w:pPr>
      <w:r>
        <w:rPr>
          <w:rFonts w:ascii="Times New Roman" w:hAnsi="Times New Roman"/>
        </w:rPr>
        <w:t>招标文件中下列术语应解释为：</w:t>
      </w:r>
    </w:p>
    <w:p>
      <w:pPr>
        <w:pStyle w:val="328"/>
        <w:rPr>
          <w:rFonts w:ascii="Times New Roman" w:hAnsi="Times New Roman"/>
        </w:rPr>
      </w:pPr>
      <w:r>
        <w:rPr>
          <w:rFonts w:ascii="Times New Roman" w:hAnsi="Times New Roman"/>
        </w:rPr>
        <w:t>“采购代理机构”系指政府设立的负责本级财政性资金的集中采购和招标组织工作的专门机构；本项目系指深圳市深水水务咨询有限公司；</w:t>
      </w:r>
    </w:p>
    <w:p>
      <w:pPr>
        <w:pStyle w:val="328"/>
        <w:rPr>
          <w:rFonts w:ascii="Times New Roman" w:hAnsi="Times New Roman"/>
        </w:rPr>
      </w:pPr>
      <w:r>
        <w:rPr>
          <w:rFonts w:ascii="Times New Roman" w:hAnsi="Times New Roman"/>
        </w:rPr>
        <w:t xml:space="preserve">“采购人”或“采购单位”：系指利用财政性资金依法进行政府采购的国家机关、事业单位、团体组织； </w:t>
      </w:r>
    </w:p>
    <w:p>
      <w:pPr>
        <w:pStyle w:val="328"/>
        <w:rPr>
          <w:rFonts w:ascii="Times New Roman" w:hAnsi="Times New Roman"/>
        </w:rPr>
      </w:pPr>
      <w:r>
        <w:rPr>
          <w:rFonts w:ascii="Times New Roman" w:hAnsi="Times New Roman"/>
        </w:rPr>
        <w:t>“投标人”或“投标方”，即供应商，是指参加投标竞争并愿意按照招标文件要求向采购人提供货物、工程或者服务的依法成立的法人、其他组织或者自然人；</w:t>
      </w:r>
    </w:p>
    <w:p>
      <w:pPr>
        <w:pStyle w:val="328"/>
        <w:rPr>
          <w:rFonts w:ascii="Times New Roman" w:hAnsi="Times New Roman"/>
        </w:rPr>
      </w:pPr>
      <w:r>
        <w:rPr>
          <w:rFonts w:ascii="Times New Roman" w:hAnsi="Times New Roman"/>
        </w:rPr>
        <w:t>“评标委员会”和“谈判小组”是依据《深圳经济特区政府采购条例》及《深圳经济特区政府采购条例实施细则》有关规定组建的专门负责本次招标其评标（谈判）工作的临时性机构；</w:t>
      </w:r>
    </w:p>
    <w:p>
      <w:pPr>
        <w:pStyle w:val="328"/>
        <w:rPr>
          <w:rFonts w:ascii="Times New Roman" w:hAnsi="Times New Roman"/>
        </w:rPr>
      </w:pPr>
      <w:r>
        <w:rPr>
          <w:rFonts w:ascii="Times New Roman" w:hAnsi="Times New Roman"/>
        </w:rPr>
        <w:t>“日期”指公历日；</w:t>
      </w:r>
    </w:p>
    <w:p>
      <w:pPr>
        <w:pStyle w:val="328"/>
        <w:rPr>
          <w:rFonts w:ascii="Times New Roman" w:hAnsi="Times New Roman"/>
        </w:rPr>
      </w:pPr>
      <w:r>
        <w:rPr>
          <w:rFonts w:ascii="Times New Roman" w:hAnsi="Times New Roman"/>
        </w:rPr>
        <w:t>“合同”指由本次招标所产生的合同或合约文件；</w:t>
      </w:r>
    </w:p>
    <w:p>
      <w:pPr>
        <w:pStyle w:val="328"/>
        <w:rPr>
          <w:rFonts w:ascii="Times New Roman" w:hAnsi="Times New Roman"/>
        </w:rPr>
      </w:pPr>
      <w:r>
        <w:rPr>
          <w:rFonts w:ascii="Times New Roman" w:hAnsi="Times New Roman"/>
        </w:rPr>
        <w:t>招标文件中的标题或题名仅起引导作用，而不应视为对招标文件内容的理解和解释。</w:t>
      </w:r>
    </w:p>
    <w:p>
      <w:pPr>
        <w:pStyle w:val="326"/>
        <w:shd w:val="clear" w:color="auto" w:fill="auto"/>
        <w:ind w:firstLine="482"/>
        <w:rPr>
          <w:rFonts w:ascii="Times New Roman" w:hAnsi="Times New Roman" w:cs="Times New Roman"/>
        </w:rPr>
      </w:pPr>
      <w:r>
        <w:rPr>
          <w:rFonts w:ascii="Times New Roman" w:hAnsi="Times New Roman" w:cs="Times New Roman"/>
        </w:rPr>
        <w:t>政府采购供应商责任</w:t>
      </w:r>
    </w:p>
    <w:p>
      <w:pPr>
        <w:pStyle w:val="328"/>
        <w:rPr>
          <w:rFonts w:ascii="Times New Roman" w:hAnsi="Times New Roman"/>
        </w:rPr>
      </w:pPr>
      <w:r>
        <w:rPr>
          <w:rFonts w:ascii="Times New Roman" w:hAnsi="Times New Roman"/>
        </w:rPr>
        <w:t>欢迎诚信、有实力和有社会责任心的供应商参与政府采购事业。</w:t>
      </w:r>
    </w:p>
    <w:p>
      <w:pPr>
        <w:pStyle w:val="328"/>
        <w:rPr>
          <w:rFonts w:ascii="Times New Roman" w:hAnsi="Times New Roman"/>
        </w:rPr>
      </w:pPr>
      <w:r>
        <w:rPr>
          <w:rFonts w:ascii="Times New Roman" w:hAnsi="Times New Roman"/>
        </w:rPr>
        <w:t>供应商在政府采购项目投标过程中应诚实守信，不弄虚作假，不隐瞒真实情况，不围标串标，不恶意质疑投诉。如违反上述要求，经核实后，供应商的投标将作废，没收投标保证金，将该供应商列入不良记录名单并在网上曝光，同时提请政府采购监督管理部门给予一定年限内禁止参加政府采购活动的处罚或其他处罚。</w:t>
      </w:r>
    </w:p>
    <w:p>
      <w:pPr>
        <w:pStyle w:val="326"/>
        <w:shd w:val="clear" w:color="auto" w:fill="auto"/>
        <w:ind w:firstLine="482"/>
        <w:rPr>
          <w:rFonts w:ascii="Times New Roman" w:hAnsi="Times New Roman" w:cs="Times New Roman"/>
        </w:rPr>
      </w:pPr>
      <w:r>
        <w:rPr>
          <w:rFonts w:ascii="Times New Roman" w:hAnsi="Times New Roman" w:cs="Times New Roman"/>
        </w:rPr>
        <w:t>合格的投标人</w:t>
      </w:r>
    </w:p>
    <w:p>
      <w:pPr>
        <w:pStyle w:val="328"/>
        <w:rPr>
          <w:rFonts w:ascii="Times New Roman" w:hAnsi="Times New Roman"/>
        </w:rPr>
      </w:pPr>
      <w:r>
        <w:rPr>
          <w:rFonts w:ascii="Times New Roman" w:hAnsi="Times New Roman"/>
        </w:rPr>
        <w:t>投标人是响应招标并且符合招标文件规定资格条件和参加投标竞争的法人、其他组织或者自然人。</w:t>
      </w:r>
    </w:p>
    <w:p>
      <w:pPr>
        <w:pStyle w:val="328"/>
        <w:rPr>
          <w:rFonts w:ascii="Times New Roman" w:hAnsi="Times New Roman"/>
        </w:rPr>
      </w:pPr>
      <w:r>
        <w:rPr>
          <w:rFonts w:ascii="Times New Roman" w:hAnsi="Times New Roman"/>
        </w:rPr>
        <w:t>合格的投标人</w:t>
      </w:r>
    </w:p>
    <w:p>
      <w:pPr>
        <w:pStyle w:val="329"/>
        <w:rPr>
          <w:rFonts w:ascii="Times New Roman" w:hAnsi="Times New Roman"/>
        </w:rPr>
      </w:pPr>
      <w:r>
        <w:rPr>
          <w:rFonts w:ascii="Times New Roman" w:hAnsi="Times New Roman"/>
        </w:rPr>
        <w:t>具有独立承担民事责任的能力。</w:t>
      </w:r>
    </w:p>
    <w:p>
      <w:pPr>
        <w:pStyle w:val="329"/>
        <w:rPr>
          <w:rFonts w:ascii="Times New Roman" w:hAnsi="Times New Roman"/>
        </w:rPr>
      </w:pPr>
      <w:r>
        <w:rPr>
          <w:rFonts w:ascii="Times New Roman" w:hAnsi="Times New Roman"/>
        </w:rPr>
        <w:t>具有良好的商业信誉和健全的财务会计制度。</w:t>
      </w:r>
    </w:p>
    <w:p>
      <w:pPr>
        <w:pStyle w:val="329"/>
        <w:rPr>
          <w:rFonts w:ascii="Times New Roman" w:hAnsi="Times New Roman"/>
        </w:rPr>
      </w:pPr>
      <w:r>
        <w:rPr>
          <w:rFonts w:ascii="Times New Roman" w:hAnsi="Times New Roman"/>
        </w:rPr>
        <w:t>具有履行合同所必需的设备和专业技术能力。</w:t>
      </w:r>
    </w:p>
    <w:p>
      <w:pPr>
        <w:pStyle w:val="329"/>
        <w:rPr>
          <w:rFonts w:ascii="Times New Roman" w:hAnsi="Times New Roman"/>
        </w:rPr>
      </w:pPr>
      <w:r>
        <w:rPr>
          <w:rFonts w:ascii="Times New Roman" w:hAnsi="Times New Roman"/>
        </w:rPr>
        <w:t>有依法缴纳税收和社会保障资金的良好记录。</w:t>
      </w:r>
    </w:p>
    <w:p>
      <w:pPr>
        <w:pStyle w:val="329"/>
        <w:rPr>
          <w:rFonts w:ascii="Times New Roman" w:hAnsi="Times New Roman"/>
        </w:rPr>
      </w:pPr>
      <w:r>
        <w:rPr>
          <w:rFonts w:ascii="Times New Roman" w:hAnsi="Times New Roman"/>
        </w:rPr>
        <w:t>参加政府采购活动前三年内，在经营活动中没有重大违法记录。</w:t>
      </w:r>
    </w:p>
    <w:p>
      <w:pPr>
        <w:pStyle w:val="329"/>
        <w:rPr>
          <w:rFonts w:ascii="Times New Roman" w:hAnsi="Times New Roman"/>
        </w:rPr>
      </w:pPr>
      <w:r>
        <w:rPr>
          <w:rFonts w:ascii="Times New Roman" w:hAnsi="Times New Roman"/>
        </w:rPr>
        <w:t>法律、行政法规规定的其他条件。</w:t>
      </w:r>
    </w:p>
    <w:p>
      <w:pPr>
        <w:pStyle w:val="329"/>
        <w:rPr>
          <w:rFonts w:ascii="Times New Roman" w:hAnsi="Times New Roman"/>
        </w:rPr>
      </w:pPr>
      <w:r>
        <w:rPr>
          <w:rFonts w:ascii="Times New Roman" w:hAnsi="Times New Roman"/>
        </w:rPr>
        <w:t>只有在法律上和财务上独立、合法运作并独立于采购人和政府采购代理机构的供货商才能参加投标。</w:t>
      </w:r>
    </w:p>
    <w:p>
      <w:pPr>
        <w:pStyle w:val="329"/>
        <w:rPr>
          <w:rFonts w:ascii="Times New Roman" w:hAnsi="Times New Roman"/>
        </w:rPr>
      </w:pPr>
      <w:r>
        <w:rPr>
          <w:rFonts w:ascii="Times New Roman" w:hAnsi="Times New Roman"/>
        </w:rPr>
        <w:t>法定代表人或单位负责人为同一人或者存在直接控股、管理关系的不同单位不得同时参与同一个项目（包组）的竞争。</w:t>
      </w:r>
    </w:p>
    <w:p>
      <w:pPr>
        <w:pStyle w:val="329"/>
        <w:rPr>
          <w:rFonts w:ascii="Times New Roman" w:hAnsi="Times New Roman"/>
        </w:rPr>
      </w:pPr>
      <w:r>
        <w:rPr>
          <w:rFonts w:ascii="Times New Roman" w:hAnsi="Times New Roman"/>
        </w:rPr>
        <w:t>符合第一章采购公告“投标人资格要求”的条款。</w:t>
      </w:r>
    </w:p>
    <w:p>
      <w:pPr>
        <w:pStyle w:val="328"/>
        <w:rPr>
          <w:rFonts w:ascii="Times New Roman" w:hAnsi="Times New Roman"/>
        </w:rPr>
      </w:pPr>
      <w:r>
        <w:rPr>
          <w:rFonts w:ascii="Times New Roman" w:hAnsi="Times New Roman"/>
        </w:rPr>
        <w:t>中标人是指经法定程序确定并授予合同的投标人。</w:t>
      </w:r>
    </w:p>
    <w:p>
      <w:pPr>
        <w:pStyle w:val="326"/>
        <w:shd w:val="clear" w:color="auto" w:fill="auto"/>
        <w:ind w:firstLine="482"/>
        <w:rPr>
          <w:rFonts w:ascii="Times New Roman" w:hAnsi="Times New Roman" w:cs="Times New Roman"/>
        </w:rPr>
      </w:pPr>
      <w:r>
        <w:rPr>
          <w:rFonts w:ascii="Times New Roman" w:hAnsi="Times New Roman" w:cs="Times New Roman"/>
        </w:rPr>
        <w:t>联合体投标</w:t>
      </w:r>
    </w:p>
    <w:p>
      <w:pPr>
        <w:pStyle w:val="328"/>
        <w:rPr>
          <w:rFonts w:ascii="Times New Roman" w:hAnsi="Times New Roman"/>
        </w:rPr>
      </w:pPr>
      <w:r>
        <w:rPr>
          <w:rFonts w:ascii="Times New Roman" w:hAnsi="Times New Roman"/>
        </w:rPr>
        <w:t>以下有关联合体投标的条款仅适用于允许投标人组成联合体投标的项目。</w:t>
      </w:r>
    </w:p>
    <w:p>
      <w:pPr>
        <w:pStyle w:val="328"/>
        <w:rPr>
          <w:rFonts w:ascii="Times New Roman" w:hAnsi="Times New Roman"/>
        </w:rPr>
      </w:pPr>
      <w:r>
        <w:rPr>
          <w:rFonts w:ascii="Times New Roman" w:hAnsi="Times New Roman"/>
        </w:rPr>
        <w:t>由两个或两个以上的自然人、法人或者其他组织可以组成一个联合体，以一个供应商的身份共同投标时，应符合以下原则：</w:t>
      </w:r>
    </w:p>
    <w:p>
      <w:pPr>
        <w:pStyle w:val="329"/>
        <w:rPr>
          <w:rFonts w:ascii="Times New Roman" w:hAnsi="Times New Roman"/>
        </w:rPr>
      </w:pPr>
      <w:r>
        <w:rPr>
          <w:rFonts w:ascii="Times New Roman" w:hAnsi="Times New Roman"/>
        </w:rPr>
        <w:t>投标联合体应满足采购公告有关投标人资格要求中对联合体的要求；</w:t>
      </w:r>
    </w:p>
    <w:p>
      <w:pPr>
        <w:pStyle w:val="329"/>
        <w:rPr>
          <w:rFonts w:ascii="Times New Roman" w:hAnsi="Times New Roman"/>
        </w:rPr>
      </w:pPr>
      <w:r>
        <w:rPr>
          <w:rFonts w:ascii="Times New Roman" w:hAnsi="Times New Roman"/>
        </w:rPr>
        <w:t>对于采购公告中所要求投标人应具有的某一资质，若联合体各方均具有，则将以联合体各方中最低的资质等级作为联合体在这一资质条件上的资质等级；联合体各方的不同资质可优势互补。</w:t>
      </w:r>
    </w:p>
    <w:p>
      <w:pPr>
        <w:pStyle w:val="329"/>
        <w:rPr>
          <w:rFonts w:ascii="Times New Roman" w:hAnsi="Times New Roman"/>
        </w:rPr>
      </w:pPr>
      <w:r>
        <w:rPr>
          <w:rFonts w:ascii="Times New Roman" w:hAnsi="Times New Roman"/>
        </w:rPr>
        <w:t>投标人的投标文件及中标后签署的合同协议对联合体各方均具法律约束力；</w:t>
      </w:r>
    </w:p>
    <w:p>
      <w:pPr>
        <w:pStyle w:val="329"/>
        <w:rPr>
          <w:rFonts w:ascii="Times New Roman" w:hAnsi="Times New Roman"/>
        </w:rPr>
      </w:pPr>
      <w:r>
        <w:rPr>
          <w:rFonts w:ascii="Times New Roman" w:hAnsi="Times New Roman"/>
        </w:rPr>
        <w:t>联合体各方应当签订共同投标协议，明确约定各方拟承担的工作和责任，并将该共同投标协议随投标文件一并递交给政府采购代理机构；</w:t>
      </w:r>
    </w:p>
    <w:p>
      <w:pPr>
        <w:pStyle w:val="329"/>
        <w:rPr>
          <w:rFonts w:ascii="Times New Roman" w:hAnsi="Times New Roman"/>
        </w:rPr>
      </w:pPr>
      <w:r>
        <w:rPr>
          <w:rFonts w:ascii="Times New Roman" w:hAnsi="Times New Roman"/>
        </w:rPr>
        <w:t>联合体的各方应当共同推荐一联合体投标授权代表人，由联合体各方提交一份授权书，证明其有资格代表联合体各方签署投标文件，该授权书作为投标文件的组成部分一并提交给政府采购代理机构；</w:t>
      </w:r>
    </w:p>
    <w:p>
      <w:pPr>
        <w:pStyle w:val="329"/>
        <w:rPr>
          <w:rFonts w:ascii="Times New Roman" w:hAnsi="Times New Roman"/>
        </w:rPr>
      </w:pPr>
      <w:r>
        <w:rPr>
          <w:rFonts w:ascii="Times New Roman" w:hAnsi="Times New Roman"/>
        </w:rPr>
        <w:t>参加联合体的各方不得再以自己的名义单独投标，不得同时参加两个或两个以上的联合体投标、不得以分包商或其它形式参与投标，出现上述情况者，其投标和与此有关联合体、总包单位的投标将被拒绝；</w:t>
      </w:r>
    </w:p>
    <w:p>
      <w:pPr>
        <w:pStyle w:val="329"/>
        <w:rPr>
          <w:rFonts w:ascii="Times New Roman" w:hAnsi="Times New Roman"/>
        </w:rPr>
      </w:pPr>
      <w:r>
        <w:rPr>
          <w:rFonts w:ascii="Times New Roman" w:hAnsi="Times New Roman"/>
        </w:rPr>
        <w:t>除非另有规定或说明，本须知中“投标人”一词亦指联合体各方。</w:t>
      </w:r>
    </w:p>
    <w:p>
      <w:pPr>
        <w:pStyle w:val="326"/>
        <w:shd w:val="clear" w:color="auto" w:fill="auto"/>
        <w:ind w:firstLine="482"/>
        <w:rPr>
          <w:rFonts w:ascii="Times New Roman" w:hAnsi="Times New Roman" w:cs="Times New Roman"/>
        </w:rPr>
      </w:pPr>
      <w:r>
        <w:rPr>
          <w:rFonts w:ascii="Times New Roman" w:hAnsi="Times New Roman" w:cs="Times New Roman"/>
        </w:rPr>
        <w:t>合格的服务和货物</w:t>
      </w:r>
    </w:p>
    <w:p>
      <w:pPr>
        <w:pStyle w:val="328"/>
        <w:rPr>
          <w:rFonts w:ascii="Times New Roman" w:hAnsi="Times New Roman"/>
        </w:rPr>
      </w:pPr>
      <w:r>
        <w:rPr>
          <w:rFonts w:ascii="Times New Roman" w:hAnsi="Times New Roman"/>
        </w:rPr>
        <w:t>“服务” 是指投标人按招标文件规定完成的全部服务内容，其中包括完成服务所需的货物，及须承担的技术支持、培训和其它伴随服务。</w:t>
      </w:r>
    </w:p>
    <w:p>
      <w:pPr>
        <w:pStyle w:val="328"/>
        <w:rPr>
          <w:rFonts w:ascii="Times New Roman" w:hAnsi="Times New Roman"/>
        </w:rPr>
      </w:pPr>
      <w:r>
        <w:rPr>
          <w:rFonts w:ascii="Times New Roman" w:hAnsi="Times New Roman"/>
        </w:rPr>
        <w:t>“货物”是指投标人制造或组织符合招标文件要求的货物等。投标的货物必须是其合法生产、合法来源的符合国家有关标准要求的货物，并满足招标文件规定的规格、参数、质量、价格、有效期、售后服务等要求。</w:t>
      </w:r>
    </w:p>
    <w:p>
      <w:pPr>
        <w:pStyle w:val="328"/>
        <w:rPr>
          <w:rFonts w:ascii="Times New Roman" w:hAnsi="Times New Roman"/>
        </w:rPr>
      </w:pPr>
      <w:r>
        <w:rPr>
          <w:rFonts w:ascii="Times New Roman" w:hAnsi="Times New Roman"/>
        </w:rPr>
        <w:t>投标人提供的所有服务，其质量、技术等特征必须符合国家、行业现行法律、法规的相关标准和用户需求。</w:t>
      </w:r>
    </w:p>
    <w:p>
      <w:pPr>
        <w:pStyle w:val="328"/>
        <w:rPr>
          <w:rFonts w:ascii="Times New Roman" w:hAnsi="Times New Roman"/>
        </w:rPr>
      </w:pPr>
      <w:r>
        <w:rPr>
          <w:rFonts w:ascii="Times New Roman" w:hAnsi="Times New Roman"/>
        </w:rPr>
        <w:t>采购人有权拒绝接受任何不合格的服务，由此产生的费用及相关后果均由供应商自行承担。</w:t>
      </w:r>
    </w:p>
    <w:p>
      <w:pPr>
        <w:pStyle w:val="328"/>
        <w:rPr>
          <w:rFonts w:ascii="Times New Roman" w:hAnsi="Times New Roman"/>
        </w:rPr>
      </w:pPr>
      <w:r>
        <w:rPr>
          <w:rFonts w:ascii="Times New Roman" w:hAnsi="Times New Roman"/>
        </w:rPr>
        <w:t>投标人应保证本项目的投标技术、服务或其任何一部分不会产生因第三方提出侵犯其专利权、商标权或其他知识产权而引起的法律和经济纠纷；如果投标人不拥有相应的知识产权，则须在报价中包括合法获取该知识产权的相关费用，并在投标文件中附有相关证明文件。如因第三方提出其专利权、商标权或其他知识产权的侵权之诉，则一切法律责任由投标人承担。</w:t>
      </w:r>
    </w:p>
    <w:p>
      <w:pPr>
        <w:pStyle w:val="326"/>
        <w:shd w:val="clear" w:color="auto" w:fill="auto"/>
        <w:ind w:firstLine="482"/>
        <w:rPr>
          <w:rFonts w:ascii="Times New Roman" w:hAnsi="Times New Roman" w:cs="Times New Roman"/>
        </w:rPr>
      </w:pPr>
      <w:r>
        <w:rPr>
          <w:rFonts w:ascii="Times New Roman" w:hAnsi="Times New Roman" w:cs="Times New Roman"/>
        </w:rPr>
        <w:t>投标费用</w:t>
      </w:r>
    </w:p>
    <w:p>
      <w:pPr>
        <w:pStyle w:val="328"/>
        <w:rPr>
          <w:rFonts w:ascii="Times New Roman" w:hAnsi="Times New Roman"/>
        </w:rPr>
      </w:pPr>
      <w:r>
        <w:rPr>
          <w:rFonts w:ascii="Times New Roman" w:hAnsi="Times New Roman"/>
        </w:rPr>
        <w:t>不论投标结果如何，投标人应承担其编制投标文件与递交投标文件所涉及的一切费用。不论投标的结果如何，招标采购单位均无义务和责任承担这些费用。</w:t>
      </w:r>
    </w:p>
    <w:p>
      <w:pPr>
        <w:pStyle w:val="326"/>
        <w:shd w:val="clear" w:color="auto" w:fill="auto"/>
        <w:ind w:firstLine="482"/>
        <w:rPr>
          <w:rFonts w:ascii="Times New Roman" w:hAnsi="Times New Roman" w:cs="Times New Roman"/>
        </w:rPr>
      </w:pPr>
      <w:r>
        <w:rPr>
          <w:rFonts w:ascii="Times New Roman" w:hAnsi="Times New Roman" w:cs="Times New Roman"/>
        </w:rPr>
        <w:t>踏勘现场</w:t>
      </w:r>
    </w:p>
    <w:p>
      <w:pPr>
        <w:pStyle w:val="328"/>
        <w:rPr>
          <w:rFonts w:ascii="Times New Roman" w:hAnsi="Times New Roman"/>
        </w:rPr>
      </w:pPr>
      <w:r>
        <w:rPr>
          <w:rFonts w:ascii="Times New Roman" w:hAnsi="Times New Roman"/>
        </w:rPr>
        <w:t>如有需要，采购代理机构或采购单位将组织投标人对项目现场及周围环境进行踏勘，以便投标人获取有关编制投标文件和签署合同所需的所有资料。踏勘现场所发生的费用和风险由投标人自己承担，投标人应按采购公告所约定的时间、地点统一踏勘现场。</w:t>
      </w:r>
    </w:p>
    <w:p>
      <w:pPr>
        <w:pStyle w:val="328"/>
        <w:rPr>
          <w:rFonts w:ascii="Times New Roman" w:hAnsi="Times New Roman"/>
        </w:rPr>
      </w:pPr>
      <w:r>
        <w:rPr>
          <w:rFonts w:ascii="Times New Roman" w:hAnsi="Times New Roman"/>
        </w:rPr>
        <w:t>投标人及其人员经过采购单位的允许，可以踏勘目的进入采购单位的项目现场。若本项目招标文件要求投标人于统一时间地点踏勘现场的，投标人按时前往。</w:t>
      </w:r>
    </w:p>
    <w:p>
      <w:pPr>
        <w:pStyle w:val="328"/>
        <w:rPr>
          <w:rFonts w:ascii="Times New Roman" w:hAnsi="Times New Roman"/>
        </w:rPr>
      </w:pPr>
      <w:r>
        <w:rPr>
          <w:rFonts w:ascii="Times New Roman" w:hAnsi="Times New Roman"/>
        </w:rPr>
        <w:t>采购单位必须通过采购代理机构向投标人提供有关现场的资料和数据。</w:t>
      </w:r>
    </w:p>
    <w:p>
      <w:pPr>
        <w:pStyle w:val="328"/>
        <w:rPr>
          <w:rFonts w:ascii="Times New Roman" w:hAnsi="Times New Roman"/>
        </w:rPr>
      </w:pPr>
      <w:r>
        <w:rPr>
          <w:rFonts w:ascii="Times New Roman" w:hAnsi="Times New Roman"/>
        </w:rPr>
        <w:t>任何人或任何组织在踏勘现场时向投标人提交的任何书面或口头上的资料，未经采购代理机构在网上发布或书面通知，均作无效处理。采购代理机构对投标人由此而做出的推论、理解和结论概不负责。</w:t>
      </w:r>
    </w:p>
    <w:p>
      <w:pPr>
        <w:pStyle w:val="328"/>
        <w:rPr>
          <w:rFonts w:ascii="Times New Roman" w:hAnsi="Times New Roman"/>
        </w:rPr>
      </w:pPr>
      <w:r>
        <w:rPr>
          <w:rFonts w:ascii="Times New Roman" w:hAnsi="Times New Roman"/>
        </w:rPr>
        <w:t>未参与现场踏勘不作为否定投标人资格的理由。</w:t>
      </w:r>
    </w:p>
    <w:p>
      <w:pPr>
        <w:pStyle w:val="326"/>
        <w:shd w:val="clear" w:color="auto" w:fill="auto"/>
        <w:ind w:firstLine="482"/>
        <w:rPr>
          <w:rFonts w:ascii="Times New Roman" w:hAnsi="Times New Roman" w:cs="Times New Roman"/>
        </w:rPr>
      </w:pPr>
      <w:r>
        <w:rPr>
          <w:rFonts w:ascii="Times New Roman" w:hAnsi="Times New Roman" w:cs="Times New Roman"/>
        </w:rPr>
        <w:t>招标答疑</w:t>
      </w:r>
    </w:p>
    <w:p>
      <w:pPr>
        <w:pStyle w:val="328"/>
        <w:rPr>
          <w:rFonts w:ascii="Times New Roman" w:hAnsi="Times New Roman"/>
        </w:rPr>
      </w:pPr>
      <w:r>
        <w:rPr>
          <w:rFonts w:ascii="Times New Roman" w:hAnsi="Times New Roman"/>
        </w:rPr>
        <w:t>招标答疑的目的是澄清、解答投标人在查阅招标文件后或现场踏勘中可能提出的与投标有关的疑问或询问。</w:t>
      </w:r>
    </w:p>
    <w:p>
      <w:pPr>
        <w:pStyle w:val="328"/>
        <w:rPr>
          <w:rFonts w:ascii="Times New Roman" w:hAnsi="Times New Roman"/>
        </w:rPr>
      </w:pPr>
      <w:r>
        <w:rPr>
          <w:rFonts w:ascii="Times New Roman" w:hAnsi="Times New Roman"/>
        </w:rPr>
        <w:t>投标人提出的与投标有关的问题须在招标文件规定的答疑截止时间前以 “质疑函”的形式提交给采购代理机构，质疑函应该加盖质疑单位公章。</w:t>
      </w:r>
    </w:p>
    <w:p>
      <w:pPr>
        <w:pStyle w:val="328"/>
        <w:rPr>
          <w:rFonts w:ascii="Times New Roman" w:hAnsi="Times New Roman"/>
        </w:rPr>
      </w:pPr>
      <w:r>
        <w:rPr>
          <w:rFonts w:ascii="Times New Roman" w:hAnsi="Times New Roman"/>
        </w:rPr>
        <w:t>采购代理机构对疑问所做出的澄清和解答，以书面答复（包括网站发布信息）为准。答疑纪要的有效性规定按照本通用条款第13.3.13.4款规定执行。</w:t>
      </w:r>
    </w:p>
    <w:p>
      <w:pPr>
        <w:pStyle w:val="328"/>
        <w:rPr>
          <w:rFonts w:ascii="Times New Roman" w:hAnsi="Times New Roman"/>
        </w:rPr>
      </w:pPr>
      <w:r>
        <w:rPr>
          <w:rFonts w:ascii="Times New Roman" w:hAnsi="Times New Roman"/>
        </w:rPr>
        <w:t>如采购代理机构认为有必要组织现场答疑会，投标人应按照招标文件规定的时间或采购代理机构另行书面通知（包括网站发布的通知）的时间和地点，参与现场答疑会。</w:t>
      </w:r>
    </w:p>
    <w:p>
      <w:pPr>
        <w:pStyle w:val="328"/>
        <w:rPr>
          <w:rFonts w:ascii="Times New Roman" w:hAnsi="Times New Roman"/>
        </w:rPr>
      </w:pPr>
      <w:r>
        <w:rPr>
          <w:rFonts w:ascii="Times New Roman" w:hAnsi="Times New Roman"/>
        </w:rPr>
        <w:t>未参与招标答疑不作为否定投标人资格的理由。</w:t>
      </w:r>
    </w:p>
    <w:p>
      <w:pPr>
        <w:pStyle w:val="309"/>
        <w:shd w:val="clear" w:color="auto" w:fill="auto"/>
        <w:ind w:firstLine="562"/>
        <w:rPr>
          <w:rFonts w:ascii="Times New Roman" w:hAnsi="Times New Roman"/>
        </w:rPr>
      </w:pPr>
      <w:bookmarkStart w:id="44" w:name="_Toc169101016"/>
      <w:bookmarkStart w:id="45" w:name="_Toc41557710"/>
      <w:r>
        <w:rPr>
          <w:rFonts w:ascii="Times New Roman" w:hAnsi="Times New Roman"/>
        </w:rPr>
        <w:t>第二章 招标文件</w:t>
      </w:r>
      <w:bookmarkEnd w:id="44"/>
      <w:bookmarkEnd w:id="45"/>
    </w:p>
    <w:p>
      <w:pPr>
        <w:pStyle w:val="326"/>
        <w:shd w:val="clear" w:color="auto" w:fill="auto"/>
        <w:ind w:firstLine="482"/>
        <w:rPr>
          <w:rFonts w:ascii="Times New Roman" w:hAnsi="Times New Roman" w:cs="Times New Roman"/>
        </w:rPr>
      </w:pPr>
      <w:r>
        <w:rPr>
          <w:rFonts w:ascii="Times New Roman" w:hAnsi="Times New Roman" w:cs="Times New Roman"/>
        </w:rPr>
        <w:t>招标文件的编制与组成</w:t>
      </w:r>
    </w:p>
    <w:p>
      <w:pPr>
        <w:pStyle w:val="328"/>
        <w:rPr>
          <w:rFonts w:ascii="Times New Roman" w:hAnsi="Times New Roman"/>
        </w:rPr>
      </w:pPr>
      <w:r>
        <w:rPr>
          <w:rFonts w:ascii="Times New Roman" w:hAnsi="Times New Roman"/>
        </w:rPr>
        <w:t>招标文件除以下内容外，采购代理机构在招标（或谈判）期间发出的答疑纪要和其他补充修改函件，均是招标文件的组成部分，对投标人起约束作用；</w:t>
      </w:r>
    </w:p>
    <w:p>
      <w:pPr>
        <w:pStyle w:val="328"/>
        <w:rPr>
          <w:rFonts w:ascii="Times New Roman" w:hAnsi="Times New Roman"/>
        </w:rPr>
      </w:pPr>
      <w:r>
        <w:rPr>
          <w:rFonts w:ascii="Times New Roman" w:hAnsi="Times New Roman"/>
        </w:rPr>
        <w:t>招标文件包括下列内容：</w:t>
      </w:r>
    </w:p>
    <w:p>
      <w:pPr>
        <w:shd w:val="clear" w:color="auto" w:fill="auto"/>
        <w:tabs>
          <w:tab w:val="clear" w:pos="426"/>
        </w:tabs>
        <w:ind w:left="424" w:leftChars="202" w:firstLine="420"/>
        <w:rPr>
          <w:rFonts w:ascii="Times New Roman" w:hAnsi="Times New Roman" w:cs="Times New Roman"/>
        </w:rPr>
      </w:pPr>
      <w:r>
        <w:rPr>
          <w:rFonts w:ascii="Times New Roman" w:hAnsi="Times New Roman" w:cs="Times New Roman"/>
        </w:rPr>
        <w:t>第一册  专用条款</w:t>
      </w:r>
    </w:p>
    <w:p>
      <w:pPr>
        <w:shd w:val="clear" w:color="auto" w:fill="auto"/>
        <w:tabs>
          <w:tab w:val="clear" w:pos="426"/>
        </w:tabs>
        <w:ind w:left="1275" w:leftChars="607" w:firstLine="420"/>
        <w:rPr>
          <w:rFonts w:ascii="Times New Roman" w:hAnsi="Times New Roman" w:cs="Times New Roman"/>
        </w:rPr>
      </w:pPr>
      <w:r>
        <w:rPr>
          <w:rFonts w:ascii="Times New Roman" w:hAnsi="Times New Roman" w:cs="Times New Roman"/>
        </w:rPr>
        <w:t>关键信息</w:t>
      </w:r>
    </w:p>
    <w:p>
      <w:pPr>
        <w:shd w:val="clear" w:color="auto" w:fill="auto"/>
        <w:tabs>
          <w:tab w:val="clear" w:pos="426"/>
        </w:tabs>
        <w:ind w:left="1275" w:leftChars="607" w:firstLine="420"/>
        <w:rPr>
          <w:rFonts w:ascii="Times New Roman" w:hAnsi="Times New Roman" w:cs="Times New Roman"/>
        </w:rPr>
      </w:pPr>
      <w:r>
        <w:rPr>
          <w:rFonts w:ascii="Times New Roman" w:hAnsi="Times New Roman" w:cs="Times New Roman"/>
        </w:rPr>
        <w:t>第一章  采购公告</w:t>
      </w:r>
    </w:p>
    <w:p>
      <w:pPr>
        <w:shd w:val="clear" w:color="auto" w:fill="auto"/>
        <w:tabs>
          <w:tab w:val="clear" w:pos="426"/>
        </w:tabs>
        <w:ind w:left="1275" w:leftChars="607" w:firstLine="420"/>
        <w:rPr>
          <w:rFonts w:ascii="Times New Roman" w:hAnsi="Times New Roman" w:cs="Times New Roman"/>
        </w:rPr>
      </w:pPr>
      <w:r>
        <w:rPr>
          <w:rFonts w:ascii="Times New Roman" w:hAnsi="Times New Roman" w:cs="Times New Roman"/>
        </w:rPr>
        <w:t>第二章  招标项目需求</w:t>
      </w:r>
    </w:p>
    <w:p>
      <w:pPr>
        <w:shd w:val="clear" w:color="auto" w:fill="auto"/>
        <w:tabs>
          <w:tab w:val="clear" w:pos="426"/>
        </w:tabs>
        <w:ind w:left="1275" w:leftChars="607" w:firstLine="420"/>
        <w:rPr>
          <w:rFonts w:ascii="Times New Roman" w:hAnsi="Times New Roman" w:cs="Times New Roman"/>
        </w:rPr>
      </w:pPr>
      <w:r>
        <w:rPr>
          <w:rFonts w:ascii="Times New Roman" w:hAnsi="Times New Roman" w:cs="Times New Roman"/>
        </w:rPr>
        <w:t>第三章  合同条款及格式</w:t>
      </w:r>
    </w:p>
    <w:p>
      <w:pPr>
        <w:shd w:val="clear" w:color="auto" w:fill="auto"/>
        <w:tabs>
          <w:tab w:val="clear" w:pos="426"/>
        </w:tabs>
        <w:ind w:left="1275" w:leftChars="607" w:firstLine="420"/>
        <w:rPr>
          <w:rFonts w:ascii="Times New Roman" w:hAnsi="Times New Roman" w:cs="Times New Roman"/>
        </w:rPr>
      </w:pPr>
      <w:r>
        <w:rPr>
          <w:rFonts w:ascii="Times New Roman" w:hAnsi="Times New Roman" w:cs="Times New Roman"/>
        </w:rPr>
        <w:t>第四章  投标文件格式、附件</w:t>
      </w:r>
    </w:p>
    <w:p>
      <w:pPr>
        <w:shd w:val="clear" w:color="auto" w:fill="auto"/>
        <w:tabs>
          <w:tab w:val="clear" w:pos="426"/>
        </w:tabs>
        <w:ind w:left="1275" w:leftChars="607" w:firstLine="420"/>
        <w:rPr>
          <w:rFonts w:ascii="Times New Roman" w:hAnsi="Times New Roman" w:cs="Times New Roman"/>
        </w:rPr>
      </w:pPr>
      <w:r>
        <w:rPr>
          <w:rFonts w:ascii="Times New Roman" w:hAnsi="Times New Roman" w:cs="Times New Roman"/>
        </w:rPr>
        <w:t>第五章  政府采购履约情况反馈表</w:t>
      </w:r>
    </w:p>
    <w:p>
      <w:pPr>
        <w:shd w:val="clear" w:color="auto" w:fill="auto"/>
        <w:tabs>
          <w:tab w:val="clear" w:pos="426"/>
        </w:tabs>
        <w:ind w:left="424" w:leftChars="202" w:firstLine="420"/>
        <w:rPr>
          <w:rFonts w:ascii="Times New Roman" w:hAnsi="Times New Roman" w:cs="Times New Roman"/>
        </w:rPr>
      </w:pPr>
      <w:r>
        <w:rPr>
          <w:rFonts w:ascii="Times New Roman" w:hAnsi="Times New Roman" w:cs="Times New Roman"/>
        </w:rPr>
        <w:t>第二册  通用条款</w:t>
      </w:r>
    </w:p>
    <w:p>
      <w:pPr>
        <w:shd w:val="clear" w:color="auto" w:fill="auto"/>
        <w:tabs>
          <w:tab w:val="clear" w:pos="426"/>
        </w:tabs>
        <w:ind w:left="1275" w:leftChars="607" w:firstLine="420"/>
        <w:rPr>
          <w:rFonts w:ascii="Times New Roman" w:hAnsi="Times New Roman" w:cs="Times New Roman"/>
        </w:rPr>
      </w:pPr>
      <w:r>
        <w:rPr>
          <w:rFonts w:ascii="Times New Roman" w:hAnsi="Times New Roman" w:cs="Times New Roman"/>
        </w:rPr>
        <w:t>第一章  总则</w:t>
      </w:r>
    </w:p>
    <w:p>
      <w:pPr>
        <w:shd w:val="clear" w:color="auto" w:fill="auto"/>
        <w:tabs>
          <w:tab w:val="clear" w:pos="426"/>
        </w:tabs>
        <w:ind w:left="1275" w:leftChars="607" w:firstLine="420"/>
        <w:rPr>
          <w:rFonts w:ascii="Times New Roman" w:hAnsi="Times New Roman" w:cs="Times New Roman"/>
        </w:rPr>
      </w:pPr>
      <w:r>
        <w:rPr>
          <w:rFonts w:ascii="Times New Roman" w:hAnsi="Times New Roman" w:cs="Times New Roman"/>
        </w:rPr>
        <w:t>第二章  招标文件</w:t>
      </w:r>
    </w:p>
    <w:p>
      <w:pPr>
        <w:shd w:val="clear" w:color="auto" w:fill="auto"/>
        <w:tabs>
          <w:tab w:val="clear" w:pos="426"/>
        </w:tabs>
        <w:ind w:left="1275" w:leftChars="607" w:firstLine="420"/>
        <w:rPr>
          <w:rFonts w:ascii="Times New Roman" w:hAnsi="Times New Roman" w:cs="Times New Roman"/>
        </w:rPr>
      </w:pPr>
      <w:r>
        <w:rPr>
          <w:rFonts w:ascii="Times New Roman" w:hAnsi="Times New Roman" w:cs="Times New Roman"/>
        </w:rPr>
        <w:t>第三章  投标文件的编制与递交</w:t>
      </w:r>
    </w:p>
    <w:p>
      <w:pPr>
        <w:shd w:val="clear" w:color="auto" w:fill="auto"/>
        <w:tabs>
          <w:tab w:val="clear" w:pos="426"/>
        </w:tabs>
        <w:ind w:left="1275" w:leftChars="607" w:firstLine="420"/>
        <w:rPr>
          <w:rFonts w:ascii="Times New Roman" w:hAnsi="Times New Roman" w:cs="Times New Roman"/>
        </w:rPr>
      </w:pPr>
      <w:r>
        <w:rPr>
          <w:rFonts w:ascii="Times New Roman" w:hAnsi="Times New Roman" w:cs="Times New Roman"/>
        </w:rPr>
        <w:t>第四章  开标</w:t>
      </w:r>
    </w:p>
    <w:p>
      <w:pPr>
        <w:shd w:val="clear" w:color="auto" w:fill="auto"/>
        <w:tabs>
          <w:tab w:val="clear" w:pos="426"/>
        </w:tabs>
        <w:ind w:left="1275" w:leftChars="607" w:firstLine="420"/>
        <w:rPr>
          <w:rFonts w:ascii="Times New Roman" w:hAnsi="Times New Roman" w:cs="Times New Roman"/>
        </w:rPr>
      </w:pPr>
      <w:r>
        <w:rPr>
          <w:rFonts w:ascii="Times New Roman" w:hAnsi="Times New Roman" w:cs="Times New Roman"/>
        </w:rPr>
        <w:t>第五章  评标要求</w:t>
      </w:r>
    </w:p>
    <w:p>
      <w:pPr>
        <w:shd w:val="clear" w:color="auto" w:fill="auto"/>
        <w:tabs>
          <w:tab w:val="clear" w:pos="426"/>
        </w:tabs>
        <w:ind w:left="1275" w:leftChars="607" w:firstLine="420"/>
        <w:rPr>
          <w:rFonts w:ascii="Times New Roman" w:hAnsi="Times New Roman" w:cs="Times New Roman"/>
        </w:rPr>
      </w:pPr>
      <w:r>
        <w:rPr>
          <w:rFonts w:ascii="Times New Roman" w:hAnsi="Times New Roman" w:cs="Times New Roman"/>
        </w:rPr>
        <w:t>第六章  评标程序及评标方法</w:t>
      </w:r>
    </w:p>
    <w:p>
      <w:pPr>
        <w:shd w:val="clear" w:color="auto" w:fill="auto"/>
        <w:tabs>
          <w:tab w:val="clear" w:pos="426"/>
        </w:tabs>
        <w:ind w:left="1275" w:leftChars="607" w:firstLine="420"/>
        <w:rPr>
          <w:rFonts w:ascii="Times New Roman" w:hAnsi="Times New Roman" w:cs="Times New Roman"/>
        </w:rPr>
      </w:pPr>
      <w:r>
        <w:rPr>
          <w:rFonts w:ascii="Times New Roman" w:hAnsi="Times New Roman" w:cs="Times New Roman"/>
        </w:rPr>
        <w:t>第七章  定标及公示</w:t>
      </w:r>
    </w:p>
    <w:p>
      <w:pPr>
        <w:shd w:val="clear" w:color="auto" w:fill="auto"/>
        <w:tabs>
          <w:tab w:val="clear" w:pos="426"/>
        </w:tabs>
        <w:ind w:left="1275" w:leftChars="607" w:firstLine="420"/>
        <w:rPr>
          <w:rFonts w:ascii="Times New Roman" w:hAnsi="Times New Roman" w:cs="Times New Roman"/>
        </w:rPr>
      </w:pPr>
      <w:r>
        <w:rPr>
          <w:rFonts w:ascii="Times New Roman" w:hAnsi="Times New Roman" w:cs="Times New Roman"/>
        </w:rPr>
        <w:t>第八章  公开招标失败的后续处理</w:t>
      </w:r>
    </w:p>
    <w:p>
      <w:pPr>
        <w:shd w:val="clear" w:color="auto" w:fill="auto"/>
        <w:tabs>
          <w:tab w:val="clear" w:pos="426"/>
        </w:tabs>
        <w:ind w:left="1275" w:leftChars="607" w:firstLine="420"/>
        <w:rPr>
          <w:rFonts w:ascii="Times New Roman" w:hAnsi="Times New Roman" w:cs="Times New Roman"/>
        </w:rPr>
      </w:pPr>
      <w:r>
        <w:rPr>
          <w:rFonts w:ascii="Times New Roman" w:hAnsi="Times New Roman" w:cs="Times New Roman"/>
        </w:rPr>
        <w:t>第九章  合同的授予与备案</w:t>
      </w:r>
    </w:p>
    <w:p>
      <w:pPr>
        <w:shd w:val="clear" w:color="auto" w:fill="auto"/>
        <w:tabs>
          <w:tab w:val="clear" w:pos="426"/>
        </w:tabs>
        <w:ind w:left="1275" w:leftChars="607" w:firstLine="420"/>
        <w:rPr>
          <w:rFonts w:ascii="Times New Roman" w:hAnsi="Times New Roman" w:cs="Times New Roman"/>
        </w:rPr>
      </w:pPr>
      <w:r>
        <w:rPr>
          <w:rFonts w:ascii="Times New Roman" w:hAnsi="Times New Roman" w:cs="Times New Roman"/>
        </w:rPr>
        <w:t>第十章  质疑处理</w:t>
      </w:r>
    </w:p>
    <w:p>
      <w:pPr>
        <w:pStyle w:val="328"/>
        <w:rPr>
          <w:rFonts w:ascii="Times New Roman" w:hAnsi="Times New Roman"/>
        </w:rPr>
      </w:pPr>
      <w:r>
        <w:rPr>
          <w:rFonts w:ascii="Times New Roman" w:hAnsi="Times New Roman"/>
        </w:rPr>
        <w:t>投标人购买招标文件后，应仔细检查招标文件的所有内容，如有残缺应在答疑截止时间之前向采购代理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pPr>
        <w:pStyle w:val="328"/>
        <w:rPr>
          <w:rFonts w:ascii="Times New Roman" w:hAnsi="Times New Roman"/>
        </w:rPr>
      </w:pPr>
      <w:r>
        <w:rPr>
          <w:rFonts w:ascii="Times New Roman" w:hAnsi="Times New Roman"/>
        </w:rPr>
        <w:t>任何人或任何组织向投标人提交的任何书面或口头资料，未经采购代理机构在网上发布或书面通知，均作无效处理，不得作为招标文件的组成部分。采购代理机构对投标人由此而做出的推论、理解和结论概不负责。</w:t>
      </w:r>
    </w:p>
    <w:p>
      <w:pPr>
        <w:pStyle w:val="326"/>
        <w:shd w:val="clear" w:color="auto" w:fill="auto"/>
        <w:ind w:firstLine="482"/>
        <w:rPr>
          <w:rFonts w:ascii="Times New Roman" w:hAnsi="Times New Roman" w:cs="Times New Roman"/>
        </w:rPr>
      </w:pPr>
      <w:r>
        <w:rPr>
          <w:rFonts w:ascii="Times New Roman" w:hAnsi="Times New Roman" w:cs="Times New Roman"/>
        </w:rPr>
        <w:t>招标文件的澄清</w:t>
      </w:r>
    </w:p>
    <w:p>
      <w:pPr>
        <w:pStyle w:val="328"/>
        <w:rPr>
          <w:rFonts w:ascii="Times New Roman" w:hAnsi="Times New Roman"/>
        </w:rPr>
      </w:pPr>
      <w:r>
        <w:rPr>
          <w:rFonts w:ascii="Times New Roman" w:hAnsi="Times New Roman"/>
        </w:rPr>
        <w:t>投标人在收到招标文件后，对招标文件任何部分若有任何疑问，或要求澄清招标文件的，均应在采购公告规定的答疑截止时间内，按“质疑函”的形式向采购代理机构提交。不论是采购代理机构根据需要主动对招标文件进行必要的澄清或是根据投标人的要求对招标文件做出澄清，采购代理机构都将在投标截止日期前以书面形式（包括在采购代理机构网站公开发布方式）答复或发送给所有投标人。澄清纪要作为招标文件的组成部分，对投标人起约束作用；</w:t>
      </w:r>
    </w:p>
    <w:p>
      <w:pPr>
        <w:pStyle w:val="328"/>
        <w:rPr>
          <w:rFonts w:ascii="Times New Roman" w:hAnsi="Times New Roman"/>
        </w:rPr>
      </w:pPr>
      <w:r>
        <w:rPr>
          <w:rFonts w:ascii="Times New Roman" w:hAnsi="Times New Roman"/>
        </w:rPr>
        <w:t>对于没有提出澄清又参与了该项目投标的供应商将被视为完全认同该招标文件（含澄清纪要），投标截止期后不再受理针对招标文件的相关质疑或投诉。</w:t>
      </w:r>
    </w:p>
    <w:p>
      <w:pPr>
        <w:pStyle w:val="328"/>
        <w:rPr>
          <w:rFonts w:ascii="Times New Roman" w:hAnsi="Times New Roman"/>
        </w:rPr>
      </w:pPr>
      <w:r>
        <w:rPr>
          <w:rFonts w:ascii="Times New Roman" w:hAnsi="Times New Roman"/>
        </w:rPr>
        <w:t>对招标文件中描述有歧意或前后不一致的地方，评标委员会有权进行评判，但对同一条款的评判应适用于每个投标人。</w:t>
      </w:r>
    </w:p>
    <w:p>
      <w:pPr>
        <w:pStyle w:val="326"/>
        <w:shd w:val="clear" w:color="auto" w:fill="auto"/>
        <w:ind w:firstLine="482"/>
        <w:rPr>
          <w:rFonts w:ascii="Times New Roman" w:hAnsi="Times New Roman" w:cs="Times New Roman"/>
        </w:rPr>
      </w:pPr>
      <w:r>
        <w:rPr>
          <w:rFonts w:ascii="Times New Roman" w:hAnsi="Times New Roman" w:cs="Times New Roman"/>
        </w:rPr>
        <w:t>招标文件的修改</w:t>
      </w:r>
    </w:p>
    <w:p>
      <w:pPr>
        <w:pStyle w:val="328"/>
        <w:rPr>
          <w:rFonts w:ascii="Times New Roman" w:hAnsi="Times New Roman"/>
        </w:rPr>
      </w:pPr>
      <w:r>
        <w:rPr>
          <w:rFonts w:ascii="Times New Roman" w:hAnsi="Times New Roman"/>
        </w:rPr>
        <w:t>招标文件发出后，在投标截止日期前任何时候，确需要变更招标内容的，采购代理机构可主动地或在解答投标人提出的澄清问题时对招标文件进行修改；</w:t>
      </w:r>
    </w:p>
    <w:p>
      <w:pPr>
        <w:pStyle w:val="328"/>
        <w:rPr>
          <w:rFonts w:ascii="Times New Roman" w:hAnsi="Times New Roman"/>
        </w:rPr>
      </w:pPr>
      <w:r>
        <w:rPr>
          <w:rFonts w:ascii="Times New Roman" w:hAnsi="Times New Roman"/>
        </w:rPr>
        <w:t>招标文件的修改以书面形式（包括网站公开发布方式）发送给所有投标人，招标文件的修改内容作为招标文件的组成部分，并具有约束力。</w:t>
      </w:r>
    </w:p>
    <w:p>
      <w:pPr>
        <w:pStyle w:val="328"/>
        <w:rPr>
          <w:rFonts w:ascii="Times New Roman" w:hAnsi="Times New Roman"/>
        </w:rPr>
      </w:pPr>
      <w:r>
        <w:rPr>
          <w:rFonts w:ascii="Times New Roman" w:hAnsi="Times New Roman"/>
        </w:rPr>
        <w:t>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pPr>
        <w:pStyle w:val="328"/>
        <w:rPr>
          <w:rFonts w:ascii="Times New Roman" w:hAnsi="Times New Roman"/>
        </w:rPr>
      </w:pPr>
      <w:r>
        <w:rPr>
          <w:rFonts w:ascii="Times New Roman" w:hAnsi="Times New Roman"/>
        </w:rPr>
        <w:t>采购代理机构保证招标文件澄清（答疑）纪要和招标文件修改补充通知在投标截止时间前以网站公开发布形式或书面形式发送给所有投标人。为使投标人在编写投标文件时有充分时间对招标文件的修改部分进行研究，采购代理机构可以酌情延长递交投标文件的截止日期，具体时间将在修改补充通知中明确。</w:t>
      </w:r>
    </w:p>
    <w:p>
      <w:pPr>
        <w:pStyle w:val="309"/>
        <w:shd w:val="clear" w:color="auto" w:fill="auto"/>
        <w:ind w:firstLine="562"/>
        <w:rPr>
          <w:rFonts w:ascii="Times New Roman" w:hAnsi="Times New Roman"/>
        </w:rPr>
      </w:pPr>
      <w:bookmarkStart w:id="46" w:name="_Toc41557711"/>
      <w:bookmarkStart w:id="47" w:name="_Toc169101017"/>
      <w:r>
        <w:rPr>
          <w:rFonts w:ascii="Times New Roman" w:hAnsi="Times New Roman"/>
        </w:rPr>
        <w:t>第三章 投标文件的编制与递交</w:t>
      </w:r>
      <w:bookmarkEnd w:id="46"/>
      <w:bookmarkEnd w:id="47"/>
    </w:p>
    <w:p>
      <w:pPr>
        <w:pStyle w:val="326"/>
        <w:shd w:val="clear" w:color="auto" w:fill="auto"/>
        <w:ind w:firstLine="482"/>
        <w:rPr>
          <w:rFonts w:ascii="Times New Roman" w:hAnsi="Times New Roman" w:cs="Times New Roman"/>
        </w:rPr>
      </w:pPr>
      <w:r>
        <w:rPr>
          <w:rFonts w:ascii="Times New Roman" w:hAnsi="Times New Roman" w:cs="Times New Roman"/>
        </w:rPr>
        <w:t>投标文件的语言及度量单位</w:t>
      </w:r>
    </w:p>
    <w:p>
      <w:pPr>
        <w:pStyle w:val="328"/>
        <w:rPr>
          <w:rFonts w:ascii="Times New Roman" w:hAnsi="Times New Roman"/>
        </w:rPr>
      </w:pPr>
      <w:r>
        <w:rPr>
          <w:rFonts w:ascii="Times New Roman" w:hAnsi="Times New Roman"/>
        </w:rPr>
        <w:t>投标人与采购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pPr>
        <w:pStyle w:val="328"/>
        <w:rPr>
          <w:rFonts w:ascii="Times New Roman" w:hAnsi="Times New Roman"/>
        </w:rPr>
      </w:pPr>
      <w:r>
        <w:rPr>
          <w:rFonts w:ascii="Times New Roman" w:hAnsi="Times New Roman"/>
        </w:rPr>
        <w:t>除技术规范另有规定外，投标文件使用的度量单位，均采用中华人民共和国法定计量单位。</w:t>
      </w:r>
    </w:p>
    <w:p>
      <w:pPr>
        <w:pStyle w:val="326"/>
        <w:shd w:val="clear" w:color="auto" w:fill="auto"/>
        <w:ind w:firstLine="482"/>
        <w:rPr>
          <w:rFonts w:ascii="Times New Roman" w:hAnsi="Times New Roman" w:cs="Times New Roman"/>
        </w:rPr>
      </w:pPr>
      <w:r>
        <w:rPr>
          <w:rFonts w:ascii="Times New Roman" w:hAnsi="Times New Roman" w:cs="Times New Roman"/>
        </w:rPr>
        <w:t>投标文件的组成</w:t>
      </w:r>
    </w:p>
    <w:p>
      <w:pPr>
        <w:pStyle w:val="328"/>
        <w:rPr>
          <w:rFonts w:ascii="Times New Roman" w:hAnsi="Times New Roman"/>
        </w:rPr>
      </w:pPr>
      <w:r>
        <w:rPr>
          <w:rFonts w:ascii="Times New Roman" w:hAnsi="Times New Roman"/>
        </w:rPr>
        <w:t>具体内容请详见本项目专用条款的相关内容。</w:t>
      </w:r>
    </w:p>
    <w:p>
      <w:pPr>
        <w:pStyle w:val="326"/>
        <w:shd w:val="clear" w:color="auto" w:fill="auto"/>
        <w:ind w:firstLine="482"/>
        <w:rPr>
          <w:rFonts w:ascii="Times New Roman" w:hAnsi="Times New Roman" w:cs="Times New Roman"/>
        </w:rPr>
      </w:pPr>
      <w:r>
        <w:rPr>
          <w:rFonts w:ascii="Times New Roman" w:hAnsi="Times New Roman" w:cs="Times New Roman"/>
        </w:rPr>
        <w:t>投标文件格式</w:t>
      </w:r>
    </w:p>
    <w:p>
      <w:pPr>
        <w:pStyle w:val="328"/>
        <w:rPr>
          <w:rFonts w:ascii="Times New Roman" w:hAnsi="Times New Roman"/>
        </w:rPr>
      </w:pPr>
      <w:r>
        <w:rPr>
          <w:rFonts w:ascii="Times New Roman" w:hAnsi="Times New Roman"/>
        </w:rPr>
        <w:t>投标文件包括本通用条款第15条中规定的内容。如招标文件提供了投标文件格式，则投标人提交的投标文件必须毫无例外地使用招标文件所提供的相应格式并统一使用A4篇幅（表格可以按同样格式扩展）。</w:t>
      </w:r>
    </w:p>
    <w:p>
      <w:pPr>
        <w:pStyle w:val="326"/>
        <w:shd w:val="clear" w:color="auto" w:fill="auto"/>
        <w:ind w:firstLine="482"/>
        <w:rPr>
          <w:rFonts w:ascii="Times New Roman" w:hAnsi="Times New Roman" w:cs="Times New Roman"/>
        </w:rPr>
      </w:pPr>
      <w:r>
        <w:rPr>
          <w:rFonts w:ascii="Times New Roman" w:hAnsi="Times New Roman" w:cs="Times New Roman"/>
        </w:rPr>
        <w:t>投标货币</w:t>
      </w:r>
    </w:p>
    <w:p>
      <w:pPr>
        <w:pStyle w:val="328"/>
        <w:rPr>
          <w:rFonts w:ascii="Times New Roman" w:hAnsi="Times New Roman"/>
        </w:rPr>
      </w:pPr>
      <w:r>
        <w:rPr>
          <w:rFonts w:ascii="Times New Roman" w:hAnsi="Times New Roman"/>
        </w:rPr>
        <w:t>本项目的投标应以人民币计。</w:t>
      </w:r>
    </w:p>
    <w:p>
      <w:pPr>
        <w:pStyle w:val="326"/>
        <w:shd w:val="clear" w:color="auto" w:fill="auto"/>
        <w:ind w:firstLine="482"/>
        <w:rPr>
          <w:rFonts w:ascii="Times New Roman" w:hAnsi="Times New Roman" w:cs="Times New Roman"/>
        </w:rPr>
      </w:pPr>
      <w:r>
        <w:rPr>
          <w:rFonts w:ascii="Times New Roman" w:hAnsi="Times New Roman" w:cs="Times New Roman"/>
        </w:rPr>
        <w:t xml:space="preserve"> 证明投标人合格和资格的文件</w:t>
      </w:r>
    </w:p>
    <w:p>
      <w:pPr>
        <w:pStyle w:val="328"/>
        <w:rPr>
          <w:rFonts w:ascii="Times New Roman" w:hAnsi="Times New Roman"/>
        </w:rPr>
      </w:pPr>
      <w:r>
        <w:rPr>
          <w:rFonts w:ascii="Times New Roman" w:hAnsi="Times New Roman"/>
        </w:rPr>
        <w:t>投标人应提交证明其有资格参加投标和中标后有能力履行合同的文件，并作为其投标文件的一部分。如果投标人为联合体，应提交联合体各方的资格证明文件、共同投标协议并注明主体方及各方拟承担的工作和责任。否则，将导致其投标无效。</w:t>
      </w:r>
    </w:p>
    <w:p>
      <w:pPr>
        <w:pStyle w:val="328"/>
        <w:rPr>
          <w:rFonts w:ascii="Times New Roman" w:hAnsi="Times New Roman"/>
        </w:rPr>
      </w:pPr>
      <w:r>
        <w:rPr>
          <w:rFonts w:ascii="Times New Roman" w:hAnsi="Times New Roman"/>
        </w:rPr>
        <w:t>投标人提交的资格证明文件应证明其满足本须知定义的合格投标人。</w:t>
      </w:r>
    </w:p>
    <w:p>
      <w:pPr>
        <w:pStyle w:val="326"/>
        <w:shd w:val="clear" w:color="auto" w:fill="auto"/>
        <w:ind w:firstLine="482"/>
        <w:rPr>
          <w:rFonts w:ascii="Times New Roman" w:hAnsi="Times New Roman" w:cs="Times New Roman"/>
        </w:rPr>
      </w:pPr>
      <w:r>
        <w:rPr>
          <w:rFonts w:ascii="Times New Roman" w:hAnsi="Times New Roman" w:cs="Times New Roman"/>
        </w:rPr>
        <w:t>证明投标文件投标技术方案的合格性和符合招标文件规定的文件要求</w:t>
      </w:r>
    </w:p>
    <w:p>
      <w:pPr>
        <w:pStyle w:val="328"/>
        <w:rPr>
          <w:rFonts w:ascii="Times New Roman" w:hAnsi="Times New Roman"/>
        </w:rPr>
      </w:pPr>
      <w:r>
        <w:rPr>
          <w:rFonts w:ascii="Times New Roman" w:hAnsi="Times New Roman"/>
        </w:rPr>
        <w:t>投标人应提交证明文件证明其投标技术方案项下的货物、工程和服务的合格性符合招标文件规定。该投标技术方案及其证明文件作为投标文件的一部分。</w:t>
      </w:r>
    </w:p>
    <w:p>
      <w:pPr>
        <w:pStyle w:val="328"/>
        <w:rPr>
          <w:rFonts w:ascii="Times New Roman" w:hAnsi="Times New Roman"/>
        </w:rPr>
      </w:pPr>
      <w:r>
        <w:rPr>
          <w:rFonts w:ascii="Times New Roman" w:hAnsi="Times New Roman"/>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pPr>
        <w:pStyle w:val="329"/>
        <w:rPr>
          <w:rFonts w:ascii="Times New Roman" w:hAnsi="Times New Roman"/>
        </w:rPr>
      </w:pPr>
      <w:r>
        <w:rPr>
          <w:rFonts w:ascii="Times New Roman" w:hAnsi="Times New Roman"/>
        </w:rPr>
        <w:t>主要技术指标和性能的详细说明。</w:t>
      </w:r>
    </w:p>
    <w:p>
      <w:pPr>
        <w:pStyle w:val="329"/>
        <w:rPr>
          <w:rFonts w:ascii="Times New Roman" w:hAnsi="Times New Roman"/>
        </w:rPr>
      </w:pPr>
      <w:r>
        <w:rPr>
          <w:rFonts w:ascii="Times New Roman" w:hAnsi="Times New Roman"/>
        </w:rPr>
        <w:t>投标产品从采购单位开始使用至招标文件中规定的周期内正常、连续地使用所必须的备件和专用工具清单，包括备件和专用工具的货源及现行价格。</w:t>
      </w:r>
    </w:p>
    <w:p>
      <w:pPr>
        <w:pStyle w:val="329"/>
        <w:rPr>
          <w:rFonts w:ascii="Times New Roman" w:hAnsi="Times New Roman"/>
        </w:rPr>
      </w:pPr>
      <w:r>
        <w:rPr>
          <w:rFonts w:ascii="Times New Roman" w:hAnsi="Times New Roman"/>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pPr>
        <w:pStyle w:val="329"/>
        <w:rPr>
          <w:rFonts w:ascii="Times New Roman" w:hAnsi="Times New Roman"/>
        </w:rPr>
      </w:pPr>
      <w:r>
        <w:rPr>
          <w:rFonts w:ascii="Times New Roman" w:hAnsi="Times New Roman"/>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应能清晰的阅读、识别和判断；</w:t>
      </w:r>
    </w:p>
    <w:p>
      <w:pPr>
        <w:pStyle w:val="329"/>
        <w:rPr>
          <w:rFonts w:ascii="Times New Roman" w:hAnsi="Times New Roman"/>
        </w:rPr>
      </w:pPr>
      <w:r>
        <w:rPr>
          <w:rFonts w:ascii="Times New Roman" w:hAnsi="Times New Roman"/>
        </w:rPr>
        <w:t>我国政府机构出具的产品检验和核准证件应为证件正面、背面和附件标注的全部具体内容；产品检验和核准证件应能清晰的阅读、识别和判断，提供原件复印件。</w:t>
      </w:r>
    </w:p>
    <w:p>
      <w:pPr>
        <w:pStyle w:val="328"/>
        <w:rPr>
          <w:rFonts w:ascii="Times New Roman" w:hAnsi="Times New Roman"/>
        </w:rPr>
      </w:pPr>
      <w:r>
        <w:rPr>
          <w:rFonts w:ascii="Times New Roman" w:hAnsi="Times New Roman"/>
        </w:rPr>
        <w:t>相关资料不符合19.2款要求的，评标委员会有权认定为投标技术方案不合格响应，其相关分数予以扣减或作投标无效处理。</w:t>
      </w:r>
    </w:p>
    <w:p>
      <w:pPr>
        <w:pStyle w:val="328"/>
        <w:rPr>
          <w:rFonts w:ascii="Times New Roman" w:hAnsi="Times New Roman"/>
        </w:rPr>
      </w:pPr>
      <w:r>
        <w:rPr>
          <w:rFonts w:ascii="Times New Roman" w:hAnsi="Times New Roman"/>
        </w:rPr>
        <w:t>评标委员会有权对以谋取中标为目的的技术规格模糊响应（如有意照搬照抄招标文件的技术要求）或虚假响应予以认定。供应商上述行为一经发现或查实，除扣分或判定投标无效外，采购代理机构可视情况报政府采购监督管理部门做进一步处理。</w:t>
      </w:r>
    </w:p>
    <w:p>
      <w:pPr>
        <w:pStyle w:val="328"/>
        <w:rPr>
          <w:rFonts w:ascii="Times New Roman" w:hAnsi="Times New Roman"/>
        </w:rPr>
      </w:pPr>
      <w:r>
        <w:rPr>
          <w:rFonts w:ascii="Times New Roman" w:hAnsi="Times New Roman"/>
        </w:rPr>
        <w:t>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满足要求，由评标委员会来评判。</w:t>
      </w:r>
    </w:p>
    <w:p>
      <w:pPr>
        <w:pStyle w:val="328"/>
        <w:rPr>
          <w:rFonts w:ascii="Times New Roman" w:hAnsi="Times New Roman"/>
        </w:rPr>
      </w:pPr>
      <w:r>
        <w:rPr>
          <w:rFonts w:ascii="Times New Roman" w:hAnsi="Times New Roman"/>
        </w:rPr>
        <w:t>为保证公平公正，除非另有规定或说明，投标人对同一货物或服务投标时，不得同时提供两套或两套以上的投标方案。</w:t>
      </w:r>
    </w:p>
    <w:p>
      <w:pPr>
        <w:pStyle w:val="326"/>
        <w:shd w:val="clear" w:color="auto" w:fill="auto"/>
        <w:ind w:firstLine="482"/>
        <w:rPr>
          <w:rFonts w:ascii="Times New Roman" w:hAnsi="Times New Roman" w:cs="Times New Roman"/>
        </w:rPr>
      </w:pPr>
      <w:r>
        <w:rPr>
          <w:rFonts w:ascii="Times New Roman" w:hAnsi="Times New Roman" w:cs="Times New Roman"/>
        </w:rPr>
        <w:t>投标文件其他证明文件的要求</w:t>
      </w:r>
    </w:p>
    <w:p>
      <w:pPr>
        <w:pStyle w:val="328"/>
        <w:rPr>
          <w:rFonts w:ascii="Times New Roman" w:hAnsi="Times New Roman"/>
        </w:rPr>
      </w:pPr>
      <w:r>
        <w:rPr>
          <w:rFonts w:ascii="Times New Roman" w:hAnsi="Times New Roman"/>
        </w:rPr>
        <w:t>对项目招标文件《评标信息》评分项中涉及的相关业绩、社保情况、纳税情况、银行资信等级和资金流状况等内容以及《资格性审查表》和《符合性审查表》中涉及的资格证书，投标人应提供相关部门出具的证明材料原件复印件，原件备查。上述证明材料应为证件正面、背面和附件标注的全部具体内容；有关原件复印件应能清晰的阅读、识别和判断。若投标人未按要求提供证明材料或提供的是部分证明材料或提供不清晰的，评标委员会有权认定其投标文件未对招标文件有关需求进行响应，涉及资格性审查或符合性审查的予以无效标处理，涉及《评标信息》打分项的则该项评分予以0分处理。</w:t>
      </w:r>
    </w:p>
    <w:p>
      <w:pPr>
        <w:pStyle w:val="328"/>
        <w:rPr>
          <w:rFonts w:ascii="Times New Roman" w:hAnsi="Times New Roman"/>
        </w:rPr>
      </w:pPr>
      <w:r>
        <w:rPr>
          <w:rFonts w:ascii="Times New Roman" w:hAnsi="Times New Roman"/>
        </w:rPr>
        <w:t>本项目涉及提供的有关资质证书，若原有资质证书处于年审期间，投标人提供年审证明的可按原资质投标；若投标人正在申报上一级别资质，在未获批准之前，仍按原级别资质投标。</w:t>
      </w:r>
    </w:p>
    <w:p>
      <w:pPr>
        <w:pStyle w:val="326"/>
        <w:shd w:val="clear" w:color="auto" w:fill="auto"/>
        <w:ind w:firstLine="482"/>
        <w:rPr>
          <w:rFonts w:ascii="Times New Roman" w:hAnsi="Times New Roman" w:cs="Times New Roman"/>
        </w:rPr>
      </w:pPr>
      <w:r>
        <w:rPr>
          <w:rFonts w:ascii="Times New Roman" w:hAnsi="Times New Roman" w:cs="Times New Roman"/>
        </w:rPr>
        <w:t>投标有效期</w:t>
      </w:r>
    </w:p>
    <w:p>
      <w:pPr>
        <w:pStyle w:val="328"/>
        <w:rPr>
          <w:rFonts w:ascii="Times New Roman" w:hAnsi="Times New Roman"/>
        </w:rPr>
      </w:pPr>
      <w:r>
        <w:rPr>
          <w:rFonts w:ascii="Times New Roman" w:hAnsi="Times New Roman"/>
        </w:rPr>
        <w:t>投标有效期为从投标截止之日算起的日历天数，具体见专用条款中投标有效期的天数要求。在此期限内，所有投标文件均保持有效；</w:t>
      </w:r>
    </w:p>
    <w:p>
      <w:pPr>
        <w:pStyle w:val="328"/>
        <w:rPr>
          <w:rFonts w:ascii="Times New Roman" w:hAnsi="Times New Roman"/>
        </w:rPr>
      </w:pPr>
      <w:r>
        <w:rPr>
          <w:rFonts w:ascii="Times New Roman" w:hAnsi="Times New Roman"/>
        </w:rPr>
        <w:t>在特殊的情况下，采购代理机构在原定的投标有效期满之前，采购代理机构可以根据需要以书面形式（包括网站公开发布方式）向投标人提出延长投标有效期的要求，对此要求投标人须以书面形式予以答复，投标人可以拒绝采购代理机构此项要求，而不被没收投标保证金，其投标在原投标有效期满后不再有效。同意延长投标有效期的投标人不能要求也不允许修改其投标文件，但应当相应的延长投标担保的有效期，在延长的投标有效期内本通用条款第22条关于投标保证金的退还与没收的规定仍然适用；</w:t>
      </w:r>
    </w:p>
    <w:p>
      <w:pPr>
        <w:pStyle w:val="328"/>
        <w:rPr>
          <w:rFonts w:ascii="Times New Roman" w:hAnsi="Times New Roman"/>
        </w:rPr>
      </w:pPr>
      <w:r>
        <w:rPr>
          <w:rFonts w:ascii="Times New Roman" w:hAnsi="Times New Roman"/>
        </w:rPr>
        <w:t>中标单位的投标书有效期，截止于完成本招标文件规定的全部项目内容，并通过竣工验收及保修结束。</w:t>
      </w:r>
    </w:p>
    <w:p>
      <w:pPr>
        <w:pStyle w:val="326"/>
        <w:shd w:val="clear" w:color="auto" w:fill="auto"/>
        <w:ind w:firstLine="482"/>
        <w:rPr>
          <w:rFonts w:ascii="Times New Roman" w:hAnsi="Times New Roman" w:cs="Times New Roman"/>
        </w:rPr>
      </w:pPr>
      <w:r>
        <w:rPr>
          <w:rFonts w:ascii="Times New Roman" w:hAnsi="Times New Roman" w:cs="Times New Roman"/>
        </w:rPr>
        <w:t>投标保证金</w:t>
      </w:r>
    </w:p>
    <w:p>
      <w:pPr>
        <w:pStyle w:val="328"/>
        <w:rPr>
          <w:rFonts w:ascii="Times New Roman" w:hAnsi="Times New Roman"/>
        </w:rPr>
      </w:pPr>
      <w:r>
        <w:rPr>
          <w:rFonts w:ascii="Times New Roman" w:hAnsi="Times New Roman"/>
        </w:rPr>
        <w:t>投标保证金的缴纳：</w:t>
      </w:r>
    </w:p>
    <w:p>
      <w:pPr>
        <w:pStyle w:val="329"/>
        <w:rPr>
          <w:rFonts w:ascii="Times New Roman" w:hAnsi="Times New Roman"/>
        </w:rPr>
      </w:pPr>
      <w:r>
        <w:rPr>
          <w:rFonts w:ascii="Times New Roman" w:hAnsi="Times New Roman"/>
        </w:rPr>
        <w:t>缴纳投标保证金的方式：参与投标前须缴纳</w:t>
      </w:r>
      <w:r>
        <w:rPr>
          <w:rFonts w:ascii="Times New Roman" w:hAnsi="Times New Roman"/>
          <w:u w:val="single"/>
        </w:rPr>
        <w:t>___</w:t>
      </w:r>
      <w:r>
        <w:rPr>
          <w:rFonts w:ascii="Times New Roman" w:hAnsi="Times New Roman"/>
        </w:rPr>
        <w:t>/</w:t>
      </w:r>
      <w:r>
        <w:rPr>
          <w:rFonts w:ascii="Times New Roman" w:hAnsi="Times New Roman"/>
          <w:u w:val="single"/>
        </w:rPr>
        <w:t>___</w:t>
      </w:r>
      <w:r>
        <w:rPr>
          <w:rFonts w:ascii="Times New Roman" w:hAnsi="Times New Roman"/>
        </w:rPr>
        <w:t>万元保证金，落标或中标项目完成后返还，参与投标前未缴纳的，其投标将不予受理。</w:t>
      </w:r>
    </w:p>
    <w:p>
      <w:pPr>
        <w:pStyle w:val="329"/>
        <w:rPr>
          <w:rFonts w:ascii="Times New Roman" w:hAnsi="Times New Roman"/>
        </w:rPr>
      </w:pPr>
      <w:r>
        <w:rPr>
          <w:rFonts w:ascii="Times New Roman" w:hAnsi="Times New Roman"/>
        </w:rPr>
        <w:t>若为重大项目，采购代理机构可自行决定另外收取投标保证金，不受22.1.1款限制。是否另外收取投标保证金，请见本招标文件专用条款《投标须知前附表》中的相关要求。</w:t>
      </w:r>
    </w:p>
    <w:p>
      <w:pPr>
        <w:pStyle w:val="328"/>
        <w:rPr>
          <w:rFonts w:ascii="Times New Roman" w:hAnsi="Times New Roman"/>
        </w:rPr>
      </w:pPr>
      <w:r>
        <w:rPr>
          <w:rFonts w:ascii="Times New Roman" w:hAnsi="Times New Roman"/>
        </w:rPr>
        <w:t>投标保证金是为了保护采购代理机构和采购单位免因投标人的行为而蒙受损失。采购代理机构和采购单位因投标人的行为受到损害时可根据本通用条款第22.3款的规定没收投标人的投标保证金。</w:t>
      </w:r>
    </w:p>
    <w:p>
      <w:pPr>
        <w:pStyle w:val="328"/>
        <w:rPr>
          <w:rFonts w:ascii="Times New Roman" w:hAnsi="Times New Roman"/>
        </w:rPr>
      </w:pPr>
      <w:r>
        <w:rPr>
          <w:rFonts w:ascii="Times New Roman" w:hAnsi="Times New Roman"/>
        </w:rPr>
        <w:t>如下列任何情况发生时，投标保证金将被没收。</w:t>
      </w:r>
    </w:p>
    <w:p>
      <w:pPr>
        <w:pStyle w:val="329"/>
        <w:rPr>
          <w:rFonts w:ascii="Times New Roman" w:hAnsi="Times New Roman"/>
        </w:rPr>
      </w:pPr>
      <w:r>
        <w:rPr>
          <w:rFonts w:ascii="Times New Roman" w:hAnsi="Times New Roman"/>
        </w:rPr>
        <w:t>投标人在招标文件中规定的投标有效期内撤回其投标；</w:t>
      </w:r>
    </w:p>
    <w:p>
      <w:pPr>
        <w:pStyle w:val="329"/>
        <w:rPr>
          <w:rFonts w:ascii="Times New Roman" w:hAnsi="Times New Roman"/>
        </w:rPr>
      </w:pPr>
      <w:r>
        <w:rPr>
          <w:rFonts w:ascii="Times New Roman" w:hAnsi="Times New Roman"/>
        </w:rPr>
        <w:t>中标人在规定期限内未能根据本项通用条款第47条规定签订合同；</w:t>
      </w:r>
    </w:p>
    <w:p>
      <w:pPr>
        <w:pStyle w:val="329"/>
        <w:rPr>
          <w:rFonts w:ascii="Times New Roman" w:hAnsi="Times New Roman"/>
        </w:rPr>
      </w:pPr>
      <w:r>
        <w:rPr>
          <w:rFonts w:ascii="Times New Roman" w:hAnsi="Times New Roman"/>
        </w:rPr>
        <w:t>投标人提供虚假投标文件或虚假补充文件：</w:t>
      </w:r>
    </w:p>
    <w:p>
      <w:pPr>
        <w:pStyle w:val="329"/>
        <w:rPr>
          <w:rFonts w:ascii="Times New Roman" w:hAnsi="Times New Roman"/>
        </w:rPr>
      </w:pPr>
      <w:r>
        <w:rPr>
          <w:rFonts w:ascii="Times New Roman" w:hAnsi="Times New Roman"/>
        </w:rPr>
        <w:t>投标人以谋取中标为目的的技术规格模糊响应（如有意照搬照抄招标文件的技术要求）或虚假响应的；</w:t>
      </w:r>
    </w:p>
    <w:p>
      <w:pPr>
        <w:pStyle w:val="329"/>
        <w:rPr>
          <w:rFonts w:ascii="Times New Roman" w:hAnsi="Times New Roman"/>
        </w:rPr>
      </w:pPr>
      <w:r>
        <w:rPr>
          <w:rFonts w:ascii="Times New Roman" w:hAnsi="Times New Roman"/>
        </w:rPr>
        <w:t>投标人质疑投诉提供虚假情况。</w:t>
      </w:r>
    </w:p>
    <w:p>
      <w:pPr>
        <w:pStyle w:val="328"/>
        <w:rPr>
          <w:rFonts w:ascii="Times New Roman" w:hAnsi="Times New Roman"/>
        </w:rPr>
      </w:pPr>
      <w:r>
        <w:rPr>
          <w:rFonts w:ascii="Times New Roman" w:hAnsi="Times New Roman"/>
        </w:rPr>
        <w:t>投标保证金账户信息：</w:t>
      </w:r>
    </w:p>
    <w:p>
      <w:pPr>
        <w:pStyle w:val="326"/>
        <w:shd w:val="clear" w:color="auto" w:fill="auto"/>
        <w:ind w:firstLine="482"/>
        <w:rPr>
          <w:rFonts w:ascii="Times New Roman" w:hAnsi="Times New Roman" w:cs="Times New Roman"/>
        </w:rPr>
      </w:pPr>
      <w:r>
        <w:rPr>
          <w:rFonts w:ascii="Times New Roman" w:hAnsi="Times New Roman" w:cs="Times New Roman"/>
        </w:rPr>
        <w:t>投标人的替代方案</w:t>
      </w:r>
    </w:p>
    <w:p>
      <w:pPr>
        <w:pStyle w:val="328"/>
        <w:rPr>
          <w:rFonts w:ascii="Times New Roman" w:hAnsi="Times New Roman"/>
        </w:rPr>
      </w:pPr>
      <w:r>
        <w:rPr>
          <w:rFonts w:ascii="Times New Roman" w:hAnsi="Times New Roman"/>
        </w:rPr>
        <w:t>投标人所提交的投标文件应完全满足招标文件（包括图纸和技术规范所示的基本技术设计）的要求。除非招标的项目明确允许投标人提交替代方案，否则投标人有关替代方案的条款将不予考虑。</w:t>
      </w:r>
    </w:p>
    <w:p>
      <w:pPr>
        <w:pStyle w:val="328"/>
        <w:rPr>
          <w:rFonts w:ascii="Times New Roman" w:hAnsi="Times New Roman"/>
        </w:rPr>
      </w:pPr>
      <w:r>
        <w:rPr>
          <w:rFonts w:ascii="Times New Roman" w:hAnsi="Times New Roman"/>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pPr>
        <w:pStyle w:val="326"/>
        <w:shd w:val="clear" w:color="auto" w:fill="auto"/>
        <w:ind w:firstLine="482"/>
        <w:rPr>
          <w:rFonts w:ascii="Times New Roman" w:hAnsi="Times New Roman" w:cs="Times New Roman"/>
        </w:rPr>
      </w:pPr>
      <w:r>
        <w:rPr>
          <w:rFonts w:ascii="Times New Roman" w:hAnsi="Times New Roman" w:cs="Times New Roman"/>
        </w:rPr>
        <w:t>投标文件的密封、标记和装订</w:t>
      </w:r>
    </w:p>
    <w:p>
      <w:pPr>
        <w:pStyle w:val="328"/>
        <w:rPr>
          <w:rFonts w:ascii="Times New Roman" w:hAnsi="Times New Roman"/>
        </w:rPr>
      </w:pPr>
      <w:r>
        <w:rPr>
          <w:rFonts w:ascii="Times New Roman" w:hAnsi="Times New Roman"/>
        </w:rPr>
        <w:t>为方便开标唱标，投标人应单独提交一个密封信封，并在信封上标明“开标信封”的字样，内容包括开标一览表(报价表)、法定代表人证明书、法定代表人授权委托书、被授权人身份证复印件、投标文件电子光盘，若本项目（或包组）接受联合体投标，则联合体投标，应将各方共同签署的《联合投标协议》和《投标联合体授权主体方协议书》一并提交。开标信封是投标文件的组成部分。</w:t>
      </w:r>
    </w:p>
    <w:p>
      <w:pPr>
        <w:pStyle w:val="328"/>
        <w:rPr>
          <w:rFonts w:ascii="Times New Roman" w:hAnsi="Times New Roman"/>
        </w:rPr>
      </w:pPr>
      <w:r>
        <w:rPr>
          <w:rFonts w:ascii="Times New Roman" w:hAnsi="Times New Roman"/>
        </w:rPr>
        <w:t>投标文件为纸质投标文件，含正本和副本，投标文件应标明采购项目编号、招标项目名称及“正本”或“副本”。投标文件的所有内容应按A4篇幅装订成一册，装订应牢固不可拆卸。装订好的投标文件密封包装在一个外密封袋中，并在外密封袋上注明：</w:t>
      </w:r>
    </w:p>
    <w:p>
      <w:pPr>
        <w:pStyle w:val="305"/>
        <w:rPr>
          <w:rFonts w:ascii="Times New Roman" w:hAnsi="Times New Roman"/>
        </w:rPr>
      </w:pPr>
      <w:r>
        <w:rPr>
          <w:rFonts w:ascii="Times New Roman" w:hAnsi="Times New Roman"/>
        </w:rPr>
        <w:t xml:space="preserve">投标文件 </w:t>
      </w:r>
    </w:p>
    <w:p>
      <w:pPr>
        <w:pStyle w:val="305"/>
        <w:rPr>
          <w:rFonts w:ascii="Times New Roman" w:hAnsi="Times New Roman"/>
        </w:rPr>
      </w:pPr>
      <w:r>
        <w:rPr>
          <w:rFonts w:ascii="Times New Roman" w:hAnsi="Times New Roman"/>
        </w:rPr>
        <w:t>采购项目编号：</w:t>
      </w:r>
      <w:r>
        <w:rPr>
          <w:rFonts w:ascii="Times New Roman" w:hAnsi="Times New Roman"/>
          <w:u w:val="single"/>
        </w:rPr>
        <w:t>_________________________</w:t>
      </w:r>
    </w:p>
    <w:p>
      <w:pPr>
        <w:pStyle w:val="305"/>
        <w:rPr>
          <w:rFonts w:ascii="Times New Roman" w:hAnsi="Times New Roman"/>
        </w:rPr>
      </w:pPr>
      <w:r>
        <w:rPr>
          <w:rFonts w:ascii="Times New Roman" w:hAnsi="Times New Roman"/>
        </w:rPr>
        <w:t>项目名称：</w:t>
      </w:r>
      <w:r>
        <w:rPr>
          <w:rFonts w:ascii="Times New Roman" w:hAnsi="Times New Roman"/>
          <w:u w:val="single"/>
        </w:rPr>
        <w:t>_________________________</w:t>
      </w:r>
    </w:p>
    <w:p>
      <w:pPr>
        <w:pStyle w:val="305"/>
        <w:rPr>
          <w:rFonts w:ascii="Times New Roman" w:hAnsi="Times New Roman"/>
        </w:rPr>
      </w:pPr>
      <w:r>
        <w:rPr>
          <w:rFonts w:ascii="Times New Roman" w:hAnsi="Times New Roman"/>
        </w:rPr>
        <w:t>投标人名称（盖章）：</w:t>
      </w:r>
      <w:r>
        <w:rPr>
          <w:rFonts w:ascii="Times New Roman" w:hAnsi="Times New Roman"/>
          <w:u w:val="single"/>
        </w:rPr>
        <w:t>________________</w:t>
      </w:r>
    </w:p>
    <w:p>
      <w:pPr>
        <w:pStyle w:val="305"/>
        <w:rPr>
          <w:rFonts w:ascii="Times New Roman" w:hAnsi="Times New Roman"/>
        </w:rPr>
      </w:pPr>
      <w:r>
        <w:rPr>
          <w:rFonts w:ascii="Times New Roman" w:hAnsi="Times New Roman"/>
        </w:rPr>
        <w:t>投标截止时间：</w:t>
      </w:r>
      <w:r>
        <w:rPr>
          <w:rFonts w:ascii="Times New Roman" w:hAnsi="Times New Roman"/>
          <w:u w:val="single"/>
        </w:rPr>
        <w:t>_______年______月______日______时______分（前不得开封）</w:t>
      </w:r>
      <w:r>
        <w:rPr>
          <w:rFonts w:ascii="Times New Roman" w:hAnsi="Times New Roman"/>
        </w:rPr>
        <w:t>。</w:t>
      </w:r>
    </w:p>
    <w:p>
      <w:pPr>
        <w:pStyle w:val="328"/>
        <w:rPr>
          <w:rFonts w:ascii="Times New Roman" w:hAnsi="Times New Roman"/>
        </w:rPr>
      </w:pPr>
      <w:r>
        <w:rPr>
          <w:rFonts w:ascii="Times New Roman" w:hAnsi="Times New Roman"/>
        </w:rPr>
        <w:t>所有投标文件的密封袋的封口处均应加盖投标人公章。</w:t>
      </w:r>
    </w:p>
    <w:p>
      <w:pPr>
        <w:pStyle w:val="328"/>
        <w:rPr>
          <w:rFonts w:ascii="Times New Roman" w:hAnsi="Times New Roman"/>
        </w:rPr>
      </w:pPr>
      <w:r>
        <w:rPr>
          <w:rFonts w:ascii="Times New Roman" w:hAnsi="Times New Roman"/>
        </w:rPr>
        <w:t>对于因标书标识不清、装订不牢、密封不严等导致的不利后果由该投标人自负。</w:t>
      </w:r>
    </w:p>
    <w:p>
      <w:pPr>
        <w:pStyle w:val="328"/>
        <w:rPr>
          <w:rFonts w:ascii="Times New Roman" w:hAnsi="Times New Roman"/>
        </w:rPr>
      </w:pPr>
      <w:r>
        <w:rPr>
          <w:rFonts w:ascii="Times New Roman" w:hAnsi="Times New Roman"/>
        </w:rPr>
        <w:t>投标方应将投标文件按24.1-24.2中的规定进行密封和标记后，按专用条款中采购公告注明的地址送至招标机构。</w:t>
      </w:r>
    </w:p>
    <w:p>
      <w:pPr>
        <w:pStyle w:val="328"/>
        <w:rPr>
          <w:rFonts w:ascii="Times New Roman" w:hAnsi="Times New Roman"/>
        </w:rPr>
      </w:pPr>
      <w:r>
        <w:rPr>
          <w:rFonts w:ascii="Times New Roman" w:hAnsi="Times New Roman"/>
        </w:rPr>
        <w:t>邮寄、电报、电话、传真形式的投标概不接受。</w:t>
      </w:r>
    </w:p>
    <w:p>
      <w:pPr>
        <w:pStyle w:val="328"/>
        <w:rPr>
          <w:rFonts w:ascii="Times New Roman" w:hAnsi="Times New Roman"/>
        </w:rPr>
      </w:pPr>
      <w:r>
        <w:rPr>
          <w:rFonts w:ascii="Times New Roman" w:hAnsi="Times New Roman"/>
        </w:rPr>
        <w:t>投标文件电子版：光盘/U盘一份（投标文件正本盖章后的彩色复印件，复印件要求为PDF格式），请将该光盘放在开标信封中，并在光盘上标明采购项目编号、项目名称及投标人名称。</w:t>
      </w:r>
    </w:p>
    <w:p>
      <w:pPr>
        <w:pStyle w:val="326"/>
        <w:shd w:val="clear" w:color="auto" w:fill="auto"/>
        <w:ind w:firstLine="482"/>
        <w:rPr>
          <w:rFonts w:ascii="Times New Roman" w:hAnsi="Times New Roman" w:cs="Times New Roman"/>
        </w:rPr>
      </w:pPr>
      <w:r>
        <w:rPr>
          <w:rFonts w:ascii="Times New Roman" w:hAnsi="Times New Roman" w:cs="Times New Roman"/>
        </w:rPr>
        <w:t>投标截止时间</w:t>
      </w:r>
    </w:p>
    <w:p>
      <w:pPr>
        <w:pStyle w:val="328"/>
        <w:rPr>
          <w:rFonts w:ascii="Times New Roman" w:hAnsi="Times New Roman"/>
        </w:rPr>
      </w:pPr>
      <w:r>
        <w:rPr>
          <w:rFonts w:ascii="Times New Roman" w:hAnsi="Times New Roman"/>
        </w:rPr>
        <w:t>招标机构在投标人须知第24.5条规定的地址收到投标书的时间不得迟于“投标人须知前附表”第19项所规定的时间。</w:t>
      </w:r>
    </w:p>
    <w:p>
      <w:pPr>
        <w:pStyle w:val="326"/>
        <w:shd w:val="clear" w:color="auto" w:fill="auto"/>
        <w:ind w:firstLine="482"/>
        <w:rPr>
          <w:rFonts w:ascii="Times New Roman" w:hAnsi="Times New Roman" w:cs="Times New Roman"/>
        </w:rPr>
      </w:pPr>
      <w:r>
        <w:rPr>
          <w:rFonts w:ascii="Times New Roman" w:hAnsi="Times New Roman" w:cs="Times New Roman"/>
        </w:rPr>
        <w:t>迟交的投标书</w:t>
      </w:r>
    </w:p>
    <w:p>
      <w:pPr>
        <w:pStyle w:val="328"/>
        <w:rPr>
          <w:rFonts w:ascii="Times New Roman" w:hAnsi="Times New Roman"/>
        </w:rPr>
      </w:pPr>
      <w:r>
        <w:rPr>
          <w:rFonts w:ascii="Times New Roman" w:hAnsi="Times New Roman"/>
        </w:rPr>
        <w:t>按照本通用条款第25条规定，招标机构将拒绝并原封退回在其规定的投标截止期后收到的任何投标书。</w:t>
      </w:r>
    </w:p>
    <w:p>
      <w:pPr>
        <w:pStyle w:val="326"/>
        <w:shd w:val="clear" w:color="auto" w:fill="auto"/>
        <w:ind w:firstLine="482"/>
        <w:rPr>
          <w:rFonts w:ascii="Times New Roman" w:hAnsi="Times New Roman" w:cs="Times New Roman"/>
        </w:rPr>
      </w:pPr>
      <w:r>
        <w:rPr>
          <w:rFonts w:ascii="Times New Roman" w:hAnsi="Times New Roman" w:cs="Times New Roman"/>
        </w:rPr>
        <w:t>投标文件的提交和截标时投标文件的数量要求</w:t>
      </w:r>
    </w:p>
    <w:p>
      <w:pPr>
        <w:pStyle w:val="328"/>
        <w:rPr>
          <w:rFonts w:ascii="Times New Roman" w:hAnsi="Times New Roman"/>
        </w:rPr>
      </w:pPr>
      <w:r>
        <w:rPr>
          <w:rFonts w:ascii="Times New Roman" w:hAnsi="Times New Roman"/>
        </w:rPr>
        <w:t>投标截止时间和地点。投标人应根据“专用条款”的规定，在投标截止时间前将投标文件密封送达指定地点。未及时送达指定地点及不符合密封、标记、签章、装订要求的投标文件采购代理机构将拒绝接收。</w:t>
      </w:r>
    </w:p>
    <w:p>
      <w:pPr>
        <w:pStyle w:val="328"/>
        <w:rPr>
          <w:rFonts w:ascii="Times New Roman" w:hAnsi="Times New Roman"/>
        </w:rPr>
      </w:pPr>
      <w:r>
        <w:rPr>
          <w:rFonts w:ascii="Times New Roman" w:hAnsi="Times New Roman"/>
        </w:rPr>
        <w:t>截标时递交标书的投标人数量未达到法定家数的，采购代理机构将按法律法规的规定暂停开标和评标程序。如导致招标失败，采购人或采购代理机构将不负担因此给投标人造成的损失。</w:t>
      </w:r>
    </w:p>
    <w:p>
      <w:pPr>
        <w:pStyle w:val="326"/>
        <w:shd w:val="clear" w:color="auto" w:fill="auto"/>
        <w:ind w:firstLine="482"/>
        <w:rPr>
          <w:rFonts w:ascii="Times New Roman" w:hAnsi="Times New Roman" w:cs="Times New Roman"/>
        </w:rPr>
      </w:pPr>
      <w:r>
        <w:rPr>
          <w:rFonts w:ascii="Times New Roman" w:hAnsi="Times New Roman" w:cs="Times New Roman"/>
        </w:rPr>
        <w:t>投标文件的修改或撤回</w:t>
      </w:r>
    </w:p>
    <w:p>
      <w:pPr>
        <w:pStyle w:val="328"/>
        <w:rPr>
          <w:rFonts w:ascii="Times New Roman" w:hAnsi="Times New Roman"/>
        </w:rPr>
      </w:pPr>
      <w:r>
        <w:rPr>
          <w:rFonts w:ascii="Times New Roman" w:hAnsi="Times New Roman"/>
        </w:rPr>
        <w:t>投标人已提交投标文件，规定的投标截止时间还未到，投标人可提出对其投标文件的修改或撤回。投标人须提交由投标人代表签名的修改或撤回的书面通知。</w:t>
      </w:r>
    </w:p>
    <w:p>
      <w:pPr>
        <w:pStyle w:val="328"/>
        <w:rPr>
          <w:rFonts w:ascii="Times New Roman" w:hAnsi="Times New Roman"/>
        </w:rPr>
      </w:pPr>
      <w:r>
        <w:rPr>
          <w:rFonts w:ascii="Times New Roman" w:hAnsi="Times New Roman"/>
        </w:rPr>
        <w:t>采购代理机构收到由投标人代表签名的修改或撤回的书面通知并确认后，投标人可对其投标文件进行修改，或是撤回其投标。</w:t>
      </w:r>
    </w:p>
    <w:p>
      <w:pPr>
        <w:pStyle w:val="328"/>
        <w:rPr>
          <w:rFonts w:ascii="Times New Roman" w:hAnsi="Times New Roman"/>
        </w:rPr>
      </w:pPr>
      <w:r>
        <w:rPr>
          <w:rFonts w:ascii="Times New Roman" w:hAnsi="Times New Roman"/>
        </w:rPr>
        <w:t>投标人的修改文件应按照本招标文件的规定进行编制、密封、标记和提交，并在密封袋上注明“投标修改”。</w:t>
      </w:r>
    </w:p>
    <w:p>
      <w:pPr>
        <w:pStyle w:val="328"/>
        <w:rPr>
          <w:rFonts w:ascii="Times New Roman" w:hAnsi="Times New Roman"/>
        </w:rPr>
      </w:pPr>
      <w:r>
        <w:rPr>
          <w:rFonts w:ascii="Times New Roman" w:hAnsi="Times New Roman"/>
        </w:rPr>
        <w:t>投标截止时间之后至投标文件有效期终止之前，投标人不得要求撤回其投标。在此期间撤回投标的，其投标担保将会被没收。</w:t>
      </w:r>
    </w:p>
    <w:p>
      <w:pPr>
        <w:pStyle w:val="328"/>
        <w:rPr>
          <w:rFonts w:ascii="Times New Roman" w:hAnsi="Times New Roman"/>
        </w:rPr>
      </w:pPr>
      <w:r>
        <w:rPr>
          <w:rFonts w:ascii="Times New Roman" w:hAnsi="Times New Roman"/>
        </w:rPr>
        <w:t>评标结束后，不论中标与否，投标人均不得收回投标文件。</w:t>
      </w:r>
    </w:p>
    <w:p>
      <w:pPr>
        <w:pStyle w:val="309"/>
        <w:shd w:val="clear" w:color="auto" w:fill="auto"/>
        <w:ind w:firstLine="562"/>
        <w:rPr>
          <w:rFonts w:ascii="Times New Roman" w:hAnsi="Times New Roman"/>
        </w:rPr>
      </w:pPr>
      <w:bookmarkStart w:id="48" w:name="_Toc169101018"/>
      <w:bookmarkStart w:id="49" w:name="_Toc41557712"/>
      <w:r>
        <w:rPr>
          <w:rFonts w:ascii="Times New Roman" w:hAnsi="Times New Roman"/>
        </w:rPr>
        <w:t>第四章 开标</w:t>
      </w:r>
      <w:bookmarkEnd w:id="48"/>
      <w:bookmarkEnd w:id="49"/>
    </w:p>
    <w:p>
      <w:pPr>
        <w:pStyle w:val="326"/>
        <w:shd w:val="clear" w:color="auto" w:fill="auto"/>
        <w:ind w:firstLine="482"/>
        <w:rPr>
          <w:rFonts w:ascii="Times New Roman" w:hAnsi="Times New Roman" w:cs="Times New Roman"/>
        </w:rPr>
      </w:pPr>
      <w:r>
        <w:rPr>
          <w:rFonts w:ascii="Times New Roman" w:hAnsi="Times New Roman" w:cs="Times New Roman"/>
        </w:rPr>
        <w:t>开标</w:t>
      </w:r>
    </w:p>
    <w:p>
      <w:pPr>
        <w:pStyle w:val="328"/>
        <w:rPr>
          <w:rFonts w:ascii="Times New Roman" w:hAnsi="Times New Roman"/>
        </w:rPr>
      </w:pPr>
      <w:r>
        <w:rPr>
          <w:rFonts w:ascii="Times New Roman" w:hAnsi="Times New Roman"/>
        </w:rPr>
        <w:t>采购人在“投标须知前附表”中规定的时间、地点组织公开开标。邀请所有投标人代表参加。不参加开标会的投标人，视为其认可开标程序和结果。</w:t>
      </w:r>
    </w:p>
    <w:p>
      <w:pPr>
        <w:pStyle w:val="328"/>
        <w:rPr>
          <w:rFonts w:ascii="Times New Roman" w:hAnsi="Times New Roman"/>
        </w:rPr>
      </w:pPr>
      <w:r>
        <w:rPr>
          <w:rFonts w:ascii="Times New Roman" w:hAnsi="Times New Roman"/>
        </w:rPr>
        <w:t>参加开标会议的投标人只委派一名代表，且必须是本单位法定代表人或授权代表，参加会议人员须提供相应的授权委托书。</w:t>
      </w:r>
    </w:p>
    <w:p>
      <w:pPr>
        <w:pStyle w:val="328"/>
        <w:rPr>
          <w:rFonts w:ascii="Times New Roman" w:hAnsi="Times New Roman"/>
        </w:rPr>
      </w:pPr>
      <w:r>
        <w:rPr>
          <w:rFonts w:ascii="Times New Roman" w:hAnsi="Times New Roman"/>
        </w:rPr>
        <w:t>开标会由采购代理机构主持，开标程序如下：</w:t>
      </w:r>
    </w:p>
    <w:p>
      <w:pPr>
        <w:pStyle w:val="329"/>
        <w:rPr>
          <w:rFonts w:ascii="Times New Roman" w:hAnsi="Times New Roman"/>
        </w:rPr>
      </w:pPr>
      <w:r>
        <w:rPr>
          <w:rFonts w:ascii="Times New Roman" w:hAnsi="Times New Roman"/>
        </w:rPr>
        <w:t xml:space="preserve">采购代理机构核对法人代表或其授权代表身份证明，若不能提供相应的身份证明或不相符，则不能参与开标会议； </w:t>
      </w:r>
    </w:p>
    <w:p>
      <w:pPr>
        <w:pStyle w:val="329"/>
        <w:rPr>
          <w:rFonts w:ascii="Times New Roman" w:hAnsi="Times New Roman"/>
        </w:rPr>
      </w:pPr>
      <w:r>
        <w:rPr>
          <w:rFonts w:ascii="Times New Roman" w:hAnsi="Times New Roman"/>
        </w:rPr>
        <w:t>招标机构将按“采购公告”规定的时间和地点组织公开开标。投标人应委派代表参加，参加开标的代表应签名报到以证明出席。</w:t>
      </w:r>
    </w:p>
    <w:p>
      <w:pPr>
        <w:pStyle w:val="329"/>
        <w:rPr>
          <w:rFonts w:ascii="Times New Roman" w:hAnsi="Times New Roman"/>
        </w:rPr>
      </w:pPr>
      <w:r>
        <w:rPr>
          <w:rFonts w:ascii="Times New Roman" w:hAnsi="Times New Roman"/>
        </w:rPr>
        <w:t>开标时，招标机构将当众宣读投标人名称、修改和撤回投标的通知、开标一览表（以招标文件规定的开标一览表内容为准）。投标文件中开标一览表内容与投标报价明细表内容不一致的，以开标一览表为准。</w:t>
      </w:r>
    </w:p>
    <w:p>
      <w:pPr>
        <w:pStyle w:val="329"/>
        <w:rPr>
          <w:rFonts w:ascii="Times New Roman" w:hAnsi="Times New Roman"/>
        </w:rPr>
      </w:pPr>
      <w:r>
        <w:rPr>
          <w:rFonts w:ascii="Times New Roman" w:hAnsi="Times New Roman"/>
        </w:rPr>
        <w:t>除了按照本通用条款第26条规定原封退回的投标之外，开标时将不得拒绝任何投标书。</w:t>
      </w:r>
    </w:p>
    <w:p>
      <w:pPr>
        <w:pStyle w:val="329"/>
        <w:rPr>
          <w:rFonts w:ascii="Times New Roman" w:hAnsi="Times New Roman"/>
        </w:rPr>
      </w:pPr>
      <w:r>
        <w:rPr>
          <w:rFonts w:ascii="Times New Roman" w:hAnsi="Times New Roman"/>
        </w:rPr>
        <w:t>开标时，招标机构仅拆封开标信封。如投标人未单独密封包装开标信封，招标机构有权拆封投标文件。</w:t>
      </w:r>
    </w:p>
    <w:p>
      <w:pPr>
        <w:pStyle w:val="329"/>
        <w:rPr>
          <w:rFonts w:ascii="Times New Roman" w:hAnsi="Times New Roman"/>
        </w:rPr>
      </w:pPr>
      <w:r>
        <w:rPr>
          <w:rFonts w:ascii="Times New Roman" w:hAnsi="Times New Roman"/>
        </w:rPr>
        <w:t>按照投标人须知第28条规定，提交了可接受的“撤回”通知的投标将不予开封。</w:t>
      </w:r>
    </w:p>
    <w:p>
      <w:pPr>
        <w:pStyle w:val="329"/>
        <w:rPr>
          <w:rFonts w:ascii="Times New Roman" w:hAnsi="Times New Roman"/>
        </w:rPr>
      </w:pPr>
      <w:r>
        <w:rPr>
          <w:rFonts w:ascii="Times New Roman" w:hAnsi="Times New Roman"/>
        </w:rPr>
        <w:t>无论如何在开标时没有启封和读出的投标书在评标时将不予考虑。撤回的投标书将原封退回投标人。</w:t>
      </w:r>
    </w:p>
    <w:p>
      <w:pPr>
        <w:pStyle w:val="329"/>
        <w:rPr>
          <w:rFonts w:ascii="Times New Roman" w:hAnsi="Times New Roman"/>
        </w:rPr>
      </w:pPr>
      <w:r>
        <w:rPr>
          <w:rFonts w:ascii="Times New Roman" w:hAnsi="Times New Roman"/>
        </w:rPr>
        <w:t>招标机构将做开标记录，开标记录包括按本通用条款第29.3.3的规定在开标时宣读的全部内容。</w:t>
      </w:r>
    </w:p>
    <w:p>
      <w:pPr>
        <w:pStyle w:val="329"/>
        <w:rPr>
          <w:rFonts w:ascii="Times New Roman" w:hAnsi="Times New Roman"/>
        </w:rPr>
      </w:pPr>
      <w:r>
        <w:rPr>
          <w:rFonts w:ascii="Times New Roman" w:hAnsi="Times New Roman"/>
        </w:rPr>
        <w:t>供应商在开标过程中知道或者应知其权益受到损害时必须现场明确提出，未明确提出的，即视为认可开标结果。</w:t>
      </w:r>
    </w:p>
    <w:p>
      <w:pPr>
        <w:pStyle w:val="309"/>
        <w:shd w:val="clear" w:color="auto" w:fill="auto"/>
        <w:ind w:firstLine="562"/>
        <w:rPr>
          <w:rFonts w:ascii="Times New Roman" w:hAnsi="Times New Roman"/>
        </w:rPr>
      </w:pPr>
      <w:bookmarkStart w:id="50" w:name="_Toc169101019"/>
      <w:bookmarkStart w:id="51" w:name="_Toc41557713"/>
      <w:r>
        <w:rPr>
          <w:rFonts w:ascii="Times New Roman" w:hAnsi="Times New Roman"/>
        </w:rPr>
        <w:t>第五章 评标要求</w:t>
      </w:r>
      <w:bookmarkEnd w:id="50"/>
      <w:bookmarkEnd w:id="51"/>
    </w:p>
    <w:p>
      <w:pPr>
        <w:pStyle w:val="326"/>
        <w:shd w:val="clear" w:color="auto" w:fill="auto"/>
        <w:ind w:firstLine="482"/>
        <w:rPr>
          <w:rFonts w:ascii="Times New Roman" w:hAnsi="Times New Roman" w:cs="Times New Roman"/>
        </w:rPr>
      </w:pPr>
      <w:r>
        <w:rPr>
          <w:rFonts w:ascii="Times New Roman" w:hAnsi="Times New Roman" w:cs="Times New Roman"/>
        </w:rPr>
        <w:t>评标委员会组成</w:t>
      </w:r>
    </w:p>
    <w:p>
      <w:pPr>
        <w:pStyle w:val="328"/>
        <w:rPr>
          <w:rFonts w:ascii="Times New Roman" w:hAnsi="Times New Roman"/>
        </w:rPr>
      </w:pPr>
      <w:r>
        <w:rPr>
          <w:rFonts w:ascii="Times New Roman" w:hAnsi="Times New Roman"/>
        </w:rPr>
        <w:t>开标结束后召开评标会议，评标委员会由采购代理机构依法组建，负责评标活动。</w:t>
      </w:r>
    </w:p>
    <w:p>
      <w:pPr>
        <w:pStyle w:val="328"/>
        <w:rPr>
          <w:rFonts w:ascii="Times New Roman" w:hAnsi="Times New Roman"/>
        </w:rPr>
      </w:pPr>
      <w:r>
        <w:rPr>
          <w:rFonts w:ascii="Times New Roman" w:hAnsi="Times New Roman"/>
        </w:rPr>
        <w:t>评标委员会的组成及行为规范执行《政府采购货物和服务招标投标管理办法》（中华人民共和国财政部令第87号）、《深圳市财政局关于切实加强政府采购评审现场管理的通知》（深财购〔2016〕32号），评标委员会由采购人代表和评审专家组成，成员人数应当为5人以上单数，其中评审专家不得少于成员总数的三分之二。采购项目符合下列情形之一的，评标委员会成员人数应当为7人以上单数：（一）采购预算金额在1000万元以上；（二）技术复杂；（三）社会影响较大。</w:t>
      </w:r>
    </w:p>
    <w:p>
      <w:pPr>
        <w:pStyle w:val="328"/>
        <w:rPr>
          <w:rFonts w:ascii="Times New Roman" w:hAnsi="Times New Roman"/>
        </w:rPr>
      </w:pPr>
      <w:r>
        <w:rPr>
          <w:rFonts w:ascii="Times New Roman" w:hAnsi="Times New Roman"/>
        </w:rPr>
        <w:t>为保证评委人选的专业性，以及评标中的公平公正性，评标委员会成员从深圳市财政局评标专家库中随机抽取。</w:t>
      </w:r>
    </w:p>
    <w:p>
      <w:pPr>
        <w:pStyle w:val="328"/>
        <w:rPr>
          <w:rFonts w:ascii="Times New Roman" w:hAnsi="Times New Roman"/>
        </w:rPr>
      </w:pPr>
      <w:r>
        <w:rPr>
          <w:rFonts w:ascii="Times New Roman" w:hAnsi="Times New Roman"/>
        </w:rPr>
        <w:t>采购单位代表须持本单位签发的《评标授权书》参加评标。</w:t>
      </w:r>
    </w:p>
    <w:p>
      <w:pPr>
        <w:pStyle w:val="328"/>
        <w:rPr>
          <w:rFonts w:ascii="Times New Roman" w:hAnsi="Times New Roman"/>
        </w:rPr>
      </w:pPr>
      <w:r>
        <w:rPr>
          <w:rFonts w:ascii="Times New Roman" w:hAnsi="Times New Roman"/>
        </w:rPr>
        <w:t>采购单位无代表参与评标，应在开标前一天提交《采购单位不派评委参与项目评标承诺书》给采购代理机构。注：《评标授权书》《采购单位不派评委参与项目评标承诺书》模板可以从“深圳交易集团有限公司政府采购业务分公司网站”（http://www.szggzy.com/fwdh/fwdhzfcg/）采购单位页面下“采购”环节“通用表格”处下载。</w:t>
      </w:r>
    </w:p>
    <w:p>
      <w:pPr>
        <w:pStyle w:val="328"/>
        <w:rPr>
          <w:rFonts w:ascii="Times New Roman" w:hAnsi="Times New Roman"/>
        </w:rPr>
      </w:pPr>
      <w:r>
        <w:rPr>
          <w:rFonts w:ascii="Times New Roman" w:hAnsi="Times New Roman"/>
        </w:rPr>
        <w:t>评标定标应当遵循公平、公正、科学、择优的原则。</w:t>
      </w:r>
    </w:p>
    <w:p>
      <w:pPr>
        <w:pStyle w:val="328"/>
        <w:rPr>
          <w:rFonts w:ascii="Times New Roman" w:hAnsi="Times New Roman"/>
        </w:rPr>
      </w:pPr>
      <w:r>
        <w:rPr>
          <w:rFonts w:ascii="Times New Roman" w:hAnsi="Times New Roman"/>
        </w:rPr>
        <w:t>评标活动依法进行，任何单位和个人不得非法干预评标过程和结果。</w:t>
      </w:r>
    </w:p>
    <w:p>
      <w:pPr>
        <w:pStyle w:val="328"/>
        <w:rPr>
          <w:rFonts w:ascii="Times New Roman" w:hAnsi="Times New Roman"/>
        </w:rPr>
      </w:pPr>
      <w:r>
        <w:rPr>
          <w:rFonts w:ascii="Times New Roman" w:hAnsi="Times New Roman"/>
        </w:rPr>
        <w:t>评标过程中不允许违背评标程序或采用招标文件未载明的评标方法或评标因素进行评标。</w:t>
      </w:r>
    </w:p>
    <w:p>
      <w:pPr>
        <w:pStyle w:val="328"/>
        <w:rPr>
          <w:rFonts w:ascii="Times New Roman" w:hAnsi="Times New Roman"/>
        </w:rPr>
      </w:pPr>
      <w:r>
        <w:rPr>
          <w:rFonts w:ascii="Times New Roman" w:hAnsi="Times New Roman"/>
        </w:rPr>
        <w:t>开标后，直到授予中标人合同为止，凡属于对投标文件的审查、澄清、评价和比较的有关资料以及候选中标供应商的推荐情况、与评标有关的其他任何情况均严格保密。</w:t>
      </w:r>
    </w:p>
    <w:p>
      <w:pPr>
        <w:pStyle w:val="326"/>
        <w:shd w:val="clear" w:color="auto" w:fill="auto"/>
        <w:ind w:firstLine="482"/>
        <w:rPr>
          <w:rFonts w:ascii="Times New Roman" w:hAnsi="Times New Roman" w:cs="Times New Roman"/>
        </w:rPr>
      </w:pPr>
      <w:r>
        <w:rPr>
          <w:rFonts w:ascii="Times New Roman" w:hAnsi="Times New Roman" w:cs="Times New Roman"/>
        </w:rPr>
        <w:t>向评标委员会提供的资料</w:t>
      </w:r>
    </w:p>
    <w:p>
      <w:pPr>
        <w:pStyle w:val="328"/>
        <w:rPr>
          <w:rFonts w:ascii="Times New Roman" w:hAnsi="Times New Roman"/>
        </w:rPr>
      </w:pPr>
      <w:r>
        <w:rPr>
          <w:rFonts w:ascii="Times New Roman" w:hAnsi="Times New Roman"/>
        </w:rPr>
        <w:t>公开发布的招标文件，包括图纸、服务清单、答疑文件等；</w:t>
      </w:r>
    </w:p>
    <w:p>
      <w:pPr>
        <w:pStyle w:val="328"/>
        <w:rPr>
          <w:rFonts w:ascii="Times New Roman" w:hAnsi="Times New Roman"/>
        </w:rPr>
      </w:pPr>
      <w:r>
        <w:rPr>
          <w:rFonts w:ascii="Times New Roman" w:hAnsi="Times New Roman"/>
        </w:rPr>
        <w:t>其他评标必须的资料。</w:t>
      </w:r>
    </w:p>
    <w:p>
      <w:pPr>
        <w:pStyle w:val="328"/>
        <w:rPr>
          <w:rFonts w:ascii="Times New Roman" w:hAnsi="Times New Roman"/>
        </w:rPr>
      </w:pPr>
      <w:r>
        <w:rPr>
          <w:rFonts w:ascii="Times New Roman" w:hAnsi="Times New Roman"/>
        </w:rPr>
        <w:t>评标委员会应当认真研究招标文件，至少应了解熟悉以下内容：</w:t>
      </w:r>
    </w:p>
    <w:p>
      <w:pPr>
        <w:pStyle w:val="329"/>
        <w:rPr>
          <w:rFonts w:ascii="Times New Roman" w:hAnsi="Times New Roman"/>
        </w:rPr>
      </w:pPr>
      <w:r>
        <w:rPr>
          <w:rFonts w:ascii="Times New Roman" w:hAnsi="Times New Roman"/>
        </w:rPr>
        <w:t>招标的目的；</w:t>
      </w:r>
    </w:p>
    <w:p>
      <w:pPr>
        <w:pStyle w:val="329"/>
        <w:rPr>
          <w:rFonts w:ascii="Times New Roman" w:hAnsi="Times New Roman"/>
        </w:rPr>
      </w:pPr>
      <w:r>
        <w:rPr>
          <w:rFonts w:ascii="Times New Roman" w:hAnsi="Times New Roman"/>
        </w:rPr>
        <w:t>招标项目需求的范围和性质；</w:t>
      </w:r>
    </w:p>
    <w:p>
      <w:pPr>
        <w:pStyle w:val="329"/>
        <w:rPr>
          <w:rFonts w:ascii="Times New Roman" w:hAnsi="Times New Roman"/>
        </w:rPr>
      </w:pPr>
      <w:r>
        <w:rPr>
          <w:rFonts w:ascii="Times New Roman" w:hAnsi="Times New Roman"/>
        </w:rPr>
        <w:t>招标文件规定的投标人的资格、预算金额、商务条款；</w:t>
      </w:r>
    </w:p>
    <w:p>
      <w:pPr>
        <w:pStyle w:val="329"/>
        <w:rPr>
          <w:rFonts w:ascii="Times New Roman" w:hAnsi="Times New Roman"/>
        </w:rPr>
      </w:pPr>
      <w:r>
        <w:rPr>
          <w:rFonts w:ascii="Times New Roman" w:hAnsi="Times New Roman"/>
        </w:rPr>
        <w:t>招标文件规定的评标程序、评标方法和评标因素；</w:t>
      </w:r>
    </w:p>
    <w:p>
      <w:pPr>
        <w:pStyle w:val="329"/>
        <w:rPr>
          <w:rFonts w:ascii="Times New Roman" w:hAnsi="Times New Roman"/>
        </w:rPr>
      </w:pPr>
      <w:r>
        <w:rPr>
          <w:rFonts w:ascii="Times New Roman" w:hAnsi="Times New Roman"/>
        </w:rPr>
        <w:t>招标文件所列示的投标文件“资格、符合性评审条款”。</w:t>
      </w:r>
    </w:p>
    <w:p>
      <w:pPr>
        <w:pStyle w:val="326"/>
        <w:shd w:val="clear" w:color="auto" w:fill="auto"/>
        <w:ind w:firstLine="482"/>
        <w:rPr>
          <w:rFonts w:ascii="Times New Roman" w:hAnsi="Times New Roman" w:cs="Times New Roman"/>
        </w:rPr>
      </w:pPr>
      <w:r>
        <w:rPr>
          <w:rFonts w:ascii="Times New Roman" w:hAnsi="Times New Roman" w:cs="Times New Roman"/>
        </w:rPr>
        <w:t>独立评标</w:t>
      </w:r>
    </w:p>
    <w:p>
      <w:pPr>
        <w:pStyle w:val="305"/>
        <w:numPr>
          <w:ilvl w:val="1"/>
          <w:numId w:val="23"/>
        </w:numPr>
        <w:ind w:firstLineChars="0"/>
        <w:rPr>
          <w:rFonts w:ascii="Times New Roman" w:hAnsi="Times New Roman"/>
        </w:rPr>
      </w:pPr>
      <w:r>
        <w:rPr>
          <w:rStyle w:val="330"/>
          <w:rFonts w:ascii="Times New Roman" w:hAnsi="Times New Roman"/>
        </w:rPr>
        <w:t>评标委员会成员的评标活动应当独立进行，并应遵循投标文件初审、澄清有关问题、比较与</w:t>
      </w:r>
      <w:r>
        <w:rPr>
          <w:rFonts w:ascii="Times New Roman" w:hAnsi="Times New Roman"/>
        </w:rPr>
        <w:t>评价、确定中标候选供应商、编写评标报告的工作程序。</w:t>
      </w:r>
    </w:p>
    <w:p>
      <w:pPr>
        <w:pStyle w:val="309"/>
        <w:shd w:val="clear" w:color="auto" w:fill="auto"/>
        <w:ind w:firstLine="562"/>
        <w:rPr>
          <w:rFonts w:ascii="Times New Roman" w:hAnsi="Times New Roman"/>
        </w:rPr>
      </w:pPr>
      <w:bookmarkStart w:id="52" w:name="_Toc41557714"/>
      <w:bookmarkStart w:id="53" w:name="_Toc169101020"/>
      <w:r>
        <w:rPr>
          <w:rFonts w:ascii="Times New Roman" w:hAnsi="Times New Roman"/>
        </w:rPr>
        <w:t>第六章 评标程序及评标方法</w:t>
      </w:r>
      <w:bookmarkEnd w:id="52"/>
      <w:bookmarkEnd w:id="53"/>
    </w:p>
    <w:p>
      <w:pPr>
        <w:pStyle w:val="326"/>
        <w:shd w:val="clear" w:color="auto" w:fill="auto"/>
        <w:ind w:firstLine="482"/>
        <w:rPr>
          <w:rFonts w:ascii="Times New Roman" w:hAnsi="Times New Roman" w:cs="Times New Roman"/>
        </w:rPr>
      </w:pPr>
      <w:r>
        <w:rPr>
          <w:rFonts w:ascii="Times New Roman" w:hAnsi="Times New Roman" w:cs="Times New Roman"/>
        </w:rPr>
        <w:t>投标文件初审</w:t>
      </w:r>
    </w:p>
    <w:p>
      <w:pPr>
        <w:pStyle w:val="328"/>
        <w:rPr>
          <w:rFonts w:ascii="Times New Roman" w:hAnsi="Times New Roman"/>
        </w:rPr>
      </w:pPr>
      <w:r>
        <w:rPr>
          <w:rFonts w:ascii="Times New Roman" w:hAnsi="Times New Roman"/>
        </w:rPr>
        <w:t>评标委员会将依法对投标文件进行初审。投标文件初审包括资格性审查和符合性审查，资格性审查：依据法律法规和招标文件的规定，对投标文件中的资格证明、投标保证金等进行审查，以确定投标人是否具备投标资格。符合性审查：依据招标文件的规定，从投标文件的有效性、完整性和对招标文件的响应程度进行审查，以确定是否对招标文件的实质性要求作出响应。</w:t>
      </w:r>
    </w:p>
    <w:p>
      <w:pPr>
        <w:pStyle w:val="328"/>
        <w:rPr>
          <w:rFonts w:ascii="Times New Roman" w:hAnsi="Times New Roman"/>
        </w:rPr>
      </w:pPr>
      <w:r>
        <w:rPr>
          <w:rFonts w:ascii="Times New Roman" w:hAnsi="Times New Roman"/>
        </w:rPr>
        <w:t>投标文件初审内容请详见“资格、符合性评审条款”。投标人若有一条审查不通过则按无效标处理。评标委员会对投标单位打√为通过审查，打×为未通过审查。</w:t>
      </w:r>
    </w:p>
    <w:p>
      <w:pPr>
        <w:pStyle w:val="328"/>
        <w:rPr>
          <w:rFonts w:ascii="Times New Roman" w:hAnsi="Times New Roman"/>
        </w:rPr>
      </w:pPr>
      <w:r>
        <w:rPr>
          <w:rFonts w:ascii="Times New Roman" w:hAnsi="Times New Roman"/>
        </w:rPr>
        <w:t>投标文件初审中关于供应商家数的计算</w:t>
      </w:r>
    </w:p>
    <w:p>
      <w:pPr>
        <w:pStyle w:val="329"/>
        <w:rPr>
          <w:rFonts w:ascii="Times New Roman" w:hAnsi="Times New Roman"/>
        </w:rPr>
      </w:pPr>
      <w:r>
        <w:rPr>
          <w:rFonts w:ascii="Times New Roman" w:hAnsi="Times New Roman"/>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329"/>
        <w:rPr>
          <w:rFonts w:ascii="Times New Roman" w:hAnsi="Times New Roman"/>
        </w:rPr>
      </w:pPr>
      <w:r>
        <w:rPr>
          <w:rFonts w:ascii="Times New Roman" w:hAnsi="Times New Roman"/>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候选中标供应商。</w:t>
      </w:r>
    </w:p>
    <w:p>
      <w:pPr>
        <w:pStyle w:val="329"/>
        <w:rPr>
          <w:rFonts w:ascii="Times New Roman" w:hAnsi="Times New Roman"/>
        </w:rPr>
      </w:pPr>
      <w:r>
        <w:rPr>
          <w:rFonts w:ascii="Times New Roman" w:hAnsi="Times New Roman"/>
        </w:rPr>
        <w:t>非单一产品采购项目，采购人应当根据采购项目技术构成、产品价格比重等合理确定核心产品，并在招标文件中载明。多家投标人提供的核心产品品牌相同的，按前两款规定处理。</w:t>
      </w:r>
    </w:p>
    <w:p>
      <w:pPr>
        <w:pStyle w:val="329"/>
        <w:rPr>
          <w:rFonts w:ascii="Times New Roman" w:hAnsi="Times New Roman"/>
        </w:rPr>
      </w:pPr>
      <w:r>
        <w:rPr>
          <w:rFonts w:ascii="Times New Roman" w:hAnsi="Times New Roman"/>
        </w:rPr>
        <w:t>公开招标以外采购方式以及政府采购服务和工程涉及采购货物的项目，也按此方法计算供应商家数。</w:t>
      </w:r>
    </w:p>
    <w:p>
      <w:pPr>
        <w:pStyle w:val="328"/>
        <w:rPr>
          <w:rFonts w:ascii="Times New Roman" w:hAnsi="Times New Roman"/>
        </w:rPr>
      </w:pPr>
      <w:r>
        <w:rPr>
          <w:rFonts w:ascii="Times New Roman" w:hAnsi="Times New Roman"/>
        </w:rPr>
        <w:t>对不属于投标文件“资格、符合性评审条款”要所列不符合的情形，除法律法规另有规定外，不得作为判定投标无效的理由。</w:t>
      </w:r>
    </w:p>
    <w:p>
      <w:pPr>
        <w:pStyle w:val="326"/>
        <w:shd w:val="clear" w:color="auto" w:fill="auto"/>
        <w:ind w:firstLine="482"/>
        <w:rPr>
          <w:rFonts w:ascii="Times New Roman" w:hAnsi="Times New Roman" w:cs="Times New Roman"/>
        </w:rPr>
      </w:pPr>
      <w:r>
        <w:rPr>
          <w:rFonts w:ascii="Times New Roman" w:hAnsi="Times New Roman" w:cs="Times New Roman"/>
        </w:rPr>
        <w:t>澄清有关问题</w:t>
      </w:r>
    </w:p>
    <w:p>
      <w:pPr>
        <w:pStyle w:val="328"/>
        <w:rPr>
          <w:rFonts w:ascii="Times New Roman" w:hAnsi="Times New Roman"/>
        </w:rPr>
      </w:pPr>
      <w:r>
        <w:rPr>
          <w:rFonts w:ascii="Times New Roman" w:hAnsi="Times New Roman"/>
        </w:rPr>
        <w:t>为了有助于投标文件的审查、评价和比较，对投标文件含义不明确、同类问题表述不一致或者有明显文字和计算错误的内容，评标委员会可以用书面形式(应当由评标委员会签字)要求投标人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pPr>
        <w:pStyle w:val="326"/>
        <w:shd w:val="clear" w:color="auto" w:fill="auto"/>
        <w:ind w:firstLine="482"/>
        <w:rPr>
          <w:rFonts w:ascii="Times New Roman" w:hAnsi="Times New Roman" w:cs="Times New Roman"/>
        </w:rPr>
      </w:pPr>
      <w:r>
        <w:rPr>
          <w:rFonts w:ascii="Times New Roman" w:hAnsi="Times New Roman" w:cs="Times New Roman"/>
        </w:rPr>
        <w:t>错误的修正</w:t>
      </w:r>
    </w:p>
    <w:p>
      <w:pPr>
        <w:pStyle w:val="328"/>
        <w:rPr>
          <w:rFonts w:ascii="Times New Roman" w:hAnsi="Times New Roman"/>
        </w:rPr>
      </w:pPr>
      <w:r>
        <w:rPr>
          <w:rFonts w:ascii="Times New Roman" w:hAnsi="Times New Roman"/>
        </w:rPr>
        <w:t>评标委员会将审查投标文件是否完整、总体编排是否有序、文件签署是否合格、投标人是否提交了投标保证金、有无计算上的错误等。</w:t>
      </w:r>
    </w:p>
    <w:p>
      <w:pPr>
        <w:pStyle w:val="328"/>
        <w:rPr>
          <w:rFonts w:ascii="Times New Roman" w:hAnsi="Times New Roman"/>
        </w:rPr>
      </w:pPr>
      <w:r>
        <w:rPr>
          <w:rFonts w:ascii="Times New Roman" w:hAnsi="Times New Roman"/>
        </w:rPr>
        <w:t>算术错误将按以下方法更正（次序排先者优先）：</w:t>
      </w:r>
    </w:p>
    <w:p>
      <w:pPr>
        <w:pStyle w:val="329"/>
        <w:rPr>
          <w:rFonts w:ascii="Times New Roman" w:hAnsi="Times New Roman"/>
        </w:rPr>
      </w:pPr>
      <w:r>
        <w:rPr>
          <w:rFonts w:ascii="Times New Roman" w:hAnsi="Times New Roman"/>
        </w:rPr>
        <w:t>投标文件中开标一览表（报价表）内容与投标文件中相应内容不一致的，以开标一览表（报价表）为准；</w:t>
      </w:r>
    </w:p>
    <w:p>
      <w:pPr>
        <w:pStyle w:val="329"/>
        <w:rPr>
          <w:rFonts w:ascii="Times New Roman" w:hAnsi="Times New Roman"/>
        </w:rPr>
      </w:pPr>
      <w:r>
        <w:rPr>
          <w:rFonts w:ascii="Times New Roman" w:hAnsi="Times New Roman"/>
        </w:rPr>
        <w:t>大写金额和小写金额不一致的，以大写金额为准；</w:t>
      </w:r>
    </w:p>
    <w:p>
      <w:pPr>
        <w:pStyle w:val="329"/>
        <w:rPr>
          <w:rFonts w:ascii="Times New Roman" w:hAnsi="Times New Roman"/>
        </w:rPr>
      </w:pPr>
      <w:r>
        <w:rPr>
          <w:rFonts w:ascii="Times New Roman" w:hAnsi="Times New Roman"/>
        </w:rPr>
        <w:t>单价金额小数点或者百分比有明显错位的，以开标一览表的总价为准，并修改单价；</w:t>
      </w:r>
    </w:p>
    <w:p>
      <w:pPr>
        <w:pStyle w:val="329"/>
        <w:rPr>
          <w:rFonts w:ascii="Times New Roman" w:hAnsi="Times New Roman"/>
        </w:rPr>
      </w:pPr>
      <w:r>
        <w:rPr>
          <w:rFonts w:ascii="Times New Roman" w:hAnsi="Times New Roman"/>
        </w:rPr>
        <w:t>总价金额与按单价汇总金额不一致的，以单价金额计算结果为准；</w:t>
      </w:r>
    </w:p>
    <w:p>
      <w:pPr>
        <w:pStyle w:val="329"/>
        <w:rPr>
          <w:rFonts w:ascii="Times New Roman" w:hAnsi="Times New Roman"/>
        </w:rPr>
      </w:pPr>
      <w:r>
        <w:rPr>
          <w:rFonts w:ascii="Times New Roman" w:hAnsi="Times New Roman"/>
        </w:rPr>
        <w:t>对不同文字文本投标文件的解释发生异议的，以中文文本为准。</w:t>
      </w:r>
    </w:p>
    <w:p>
      <w:pPr>
        <w:pStyle w:val="328"/>
        <w:rPr>
          <w:rFonts w:ascii="Times New Roman" w:hAnsi="Times New Roman"/>
        </w:rPr>
      </w:pPr>
      <w:r>
        <w:rPr>
          <w:rFonts w:ascii="Times New Roman" w:hAnsi="Times New Roman"/>
        </w:rPr>
        <w:t>对于投标文件中不构成实质性偏差的不正规、不一致或不规则，给评审带来不便，评标委员会可以接受。</w:t>
      </w:r>
    </w:p>
    <w:p>
      <w:pPr>
        <w:pStyle w:val="328"/>
        <w:rPr>
          <w:rFonts w:ascii="Times New Roman" w:hAnsi="Times New Roman"/>
        </w:rPr>
      </w:pPr>
      <w:r>
        <w:rPr>
          <w:rFonts w:ascii="Times New Roman" w:hAnsi="Times New Roman"/>
        </w:rPr>
        <w:t>投标人的投标报价是可变动价格的，或包含了价格调整要求的，或投标报价中提供两个（含两个）以上的报价（招标文件规定提交备选投标方案的除外），或严重漏项，评标委员会无法进行判断的，评标委员会可以作无效标处理。</w:t>
      </w:r>
    </w:p>
    <w:p>
      <w:pPr>
        <w:pStyle w:val="328"/>
        <w:rPr>
          <w:rFonts w:ascii="Times New Roman" w:hAnsi="Times New Roman"/>
        </w:rPr>
      </w:pPr>
      <w:r>
        <w:rPr>
          <w:rFonts w:ascii="Times New Roman" w:hAnsi="Times New Roman"/>
        </w:rPr>
        <w:t>根据上述修正错误的原则及方法调整或修正投标文件的投标报价，投标人同意后，调整后的投标报价对投标人起约束作用。如果投标人不接受修正后的报价，则其投标将被拒绝并且其投标保证金也将被没收，并不影响评标工作。</w:t>
      </w:r>
    </w:p>
    <w:p>
      <w:pPr>
        <w:pStyle w:val="326"/>
        <w:shd w:val="clear" w:color="auto" w:fill="auto"/>
        <w:ind w:firstLine="482"/>
        <w:rPr>
          <w:rFonts w:ascii="Times New Roman" w:hAnsi="Times New Roman" w:cs="Times New Roman"/>
        </w:rPr>
      </w:pPr>
      <w:r>
        <w:rPr>
          <w:rFonts w:ascii="Times New Roman" w:hAnsi="Times New Roman" w:cs="Times New Roman"/>
        </w:rPr>
        <w:t>投标文件的比较与评价</w:t>
      </w:r>
    </w:p>
    <w:p>
      <w:pPr>
        <w:pStyle w:val="328"/>
        <w:tabs>
          <w:tab w:val="left" w:pos="5529"/>
        </w:tabs>
        <w:rPr>
          <w:rFonts w:ascii="Times New Roman" w:hAnsi="Times New Roman"/>
        </w:rPr>
      </w:pPr>
      <w:r>
        <w:rPr>
          <w:rFonts w:ascii="Times New Roman" w:hAnsi="Times New Roman"/>
        </w:rPr>
        <w:t>36.1评标委员会将按照《深圳经济特区政府采购条例》及《深圳经济特区政府采购条例实施细则》，参照相关法律、法规、规定，仅对通过资格性审查和符合性审查的投标文件进行综合比较与评价。</w:t>
      </w:r>
    </w:p>
    <w:p>
      <w:pPr>
        <w:pStyle w:val="328"/>
        <w:rPr>
          <w:rFonts w:ascii="Times New Roman" w:hAnsi="Times New Roman"/>
        </w:rPr>
      </w:pPr>
      <w:r>
        <w:rPr>
          <w:rFonts w:ascii="Times New Roman" w:hAnsi="Times New Roman"/>
        </w:rPr>
        <w:t>评标委员会应当根据招标文件，审查并逐项列出投标文件的全部投标偏离。投标偏离分为重大偏离和细微偏离。</w:t>
      </w:r>
    </w:p>
    <w:p>
      <w:pPr>
        <w:pStyle w:val="328"/>
        <w:rPr>
          <w:rFonts w:ascii="Times New Roman" w:hAnsi="Times New Roman"/>
        </w:rPr>
      </w:pPr>
      <w:r>
        <w:rPr>
          <w:rFonts w:ascii="Times New Roman" w:hAnsi="Times New Roman"/>
        </w:rPr>
        <w:t>评标委员会应当对投标人的投标文件进行分析和比较。</w:t>
      </w:r>
    </w:p>
    <w:p>
      <w:pPr>
        <w:pStyle w:val="328"/>
        <w:rPr>
          <w:rFonts w:ascii="Times New Roman" w:hAnsi="Times New Roman"/>
        </w:rPr>
      </w:pPr>
      <w:r>
        <w:rPr>
          <w:rFonts w:ascii="Times New Roman" w:hAnsi="Times New Roman"/>
        </w:rPr>
        <w:t>评标委员会应当根据招标文件规定，对投标文件中的每项评审内容进行评审。</w:t>
      </w:r>
    </w:p>
    <w:p>
      <w:pPr>
        <w:pStyle w:val="328"/>
        <w:rPr>
          <w:rFonts w:ascii="Times New Roman" w:hAnsi="Times New Roman"/>
        </w:rPr>
      </w:pPr>
      <w:r>
        <w:rPr>
          <w:rFonts w:ascii="Times New Roman" w:hAnsi="Times New Roman"/>
        </w:rPr>
        <w:t>投标文件存在重大偏离的，应作投标无效处理。下列情况属于重大偏离：</w:t>
      </w:r>
    </w:p>
    <w:p>
      <w:pPr>
        <w:pStyle w:val="329"/>
        <w:rPr>
          <w:rFonts w:ascii="Times New Roman" w:hAnsi="Times New Roman"/>
        </w:rPr>
      </w:pPr>
      <w:r>
        <w:rPr>
          <w:rFonts w:ascii="Times New Roman" w:hAnsi="Times New Roman"/>
        </w:rPr>
        <w:t>投标人以他人的名义投标或出现下列串通投标、弄虚作假投标嫌疑的：</w:t>
      </w:r>
    </w:p>
    <w:p>
      <w:pPr>
        <w:pStyle w:val="305"/>
        <w:rPr>
          <w:rFonts w:ascii="Times New Roman" w:hAnsi="Times New Roman"/>
        </w:rPr>
      </w:pPr>
      <w:r>
        <w:rPr>
          <w:rFonts w:ascii="Times New Roman" w:hAnsi="Times New Roman"/>
        </w:rPr>
        <w:t>（1）不同投标人的投标文件内容存在非正常一致的；</w:t>
      </w:r>
    </w:p>
    <w:p>
      <w:pPr>
        <w:pStyle w:val="305"/>
        <w:rPr>
          <w:rFonts w:ascii="Times New Roman" w:hAnsi="Times New Roman"/>
        </w:rPr>
      </w:pPr>
      <w:r>
        <w:rPr>
          <w:rFonts w:ascii="Times New Roman" w:hAnsi="Times New Roman"/>
        </w:rPr>
        <w:t>（2）不同投标人的投标文件错漏之处一致的；</w:t>
      </w:r>
    </w:p>
    <w:p>
      <w:pPr>
        <w:pStyle w:val="305"/>
        <w:rPr>
          <w:rFonts w:ascii="Times New Roman" w:hAnsi="Times New Roman"/>
        </w:rPr>
      </w:pPr>
      <w:r>
        <w:rPr>
          <w:rFonts w:ascii="Times New Roman" w:hAnsi="Times New Roman"/>
        </w:rPr>
        <w:t>（3）不同投标人的投标报价或者报价组成异常一致或者呈规律性变化的；</w:t>
      </w:r>
    </w:p>
    <w:p>
      <w:pPr>
        <w:pStyle w:val="305"/>
        <w:rPr>
          <w:rFonts w:ascii="Times New Roman" w:hAnsi="Times New Roman"/>
        </w:rPr>
      </w:pPr>
      <w:r>
        <w:rPr>
          <w:rFonts w:ascii="Times New Roman" w:hAnsi="Times New Roman"/>
        </w:rPr>
        <w:t>（4）不同投标人的投标文件由同一单位或者同一个人编制的；</w:t>
      </w:r>
    </w:p>
    <w:p>
      <w:pPr>
        <w:pStyle w:val="305"/>
        <w:rPr>
          <w:rFonts w:ascii="Times New Roman" w:hAnsi="Times New Roman"/>
        </w:rPr>
      </w:pPr>
      <w:r>
        <w:rPr>
          <w:rFonts w:ascii="Times New Roman" w:hAnsi="Times New Roman"/>
        </w:rPr>
        <w:t>（5）不同投标人的投标文件载明的项目负责人与主要技术人员出现同一人的；</w:t>
      </w:r>
    </w:p>
    <w:p>
      <w:pPr>
        <w:pStyle w:val="305"/>
        <w:rPr>
          <w:rFonts w:ascii="Times New Roman" w:hAnsi="Times New Roman"/>
        </w:rPr>
      </w:pPr>
      <w:r>
        <w:rPr>
          <w:rFonts w:ascii="Times New Roman" w:hAnsi="Times New Roman"/>
        </w:rPr>
        <w:t>（6）不同投标人的投标文件相互混装的；</w:t>
      </w:r>
    </w:p>
    <w:p>
      <w:pPr>
        <w:pStyle w:val="305"/>
        <w:rPr>
          <w:rFonts w:ascii="Times New Roman" w:hAnsi="Times New Roman"/>
        </w:rPr>
      </w:pPr>
      <w:r>
        <w:rPr>
          <w:rFonts w:ascii="Times New Roman" w:hAnsi="Times New Roman"/>
        </w:rPr>
        <w:t>（7）不同投标人委托同一人投标的；</w:t>
      </w:r>
    </w:p>
    <w:p>
      <w:pPr>
        <w:pStyle w:val="305"/>
        <w:rPr>
          <w:rFonts w:ascii="Times New Roman" w:hAnsi="Times New Roman"/>
        </w:rPr>
      </w:pPr>
      <w:r>
        <w:rPr>
          <w:rFonts w:ascii="Times New Roman" w:hAnsi="Times New Roman"/>
        </w:rPr>
        <w:t>（8）不同投标人聘请同一人为其投标提供技术或者经济咨询服务的，但招标工程本身要求采用专有技术的除外；</w:t>
      </w:r>
    </w:p>
    <w:p>
      <w:pPr>
        <w:pStyle w:val="305"/>
        <w:rPr>
          <w:rFonts w:ascii="Times New Roman" w:hAnsi="Times New Roman"/>
        </w:rPr>
      </w:pPr>
      <w:r>
        <w:rPr>
          <w:rFonts w:ascii="Times New Roman" w:hAnsi="Times New Roman"/>
        </w:rPr>
        <w:t>（9）评标委员会认定的其他串通投标情形。</w:t>
      </w:r>
    </w:p>
    <w:p>
      <w:pPr>
        <w:pStyle w:val="329"/>
        <w:rPr>
          <w:rFonts w:ascii="Times New Roman" w:hAnsi="Times New Roman"/>
        </w:rPr>
      </w:pPr>
      <w:r>
        <w:rPr>
          <w:rFonts w:ascii="Times New Roman" w:hAnsi="Times New Roman"/>
        </w:rPr>
        <w:t>投标文件不满足招标文件规定的任何一项实质性要求的；</w:t>
      </w:r>
    </w:p>
    <w:p>
      <w:pPr>
        <w:pStyle w:val="329"/>
        <w:rPr>
          <w:rFonts w:ascii="Times New Roman" w:hAnsi="Times New Roman"/>
        </w:rPr>
      </w:pPr>
      <w:r>
        <w:rPr>
          <w:rFonts w:ascii="Times New Roman" w:hAnsi="Times New Roman"/>
        </w:rPr>
        <w:t>投标文件对招标文件规定的非实质性要求的偏离，超出允许偏离的最大范围或最高项数的；</w:t>
      </w:r>
    </w:p>
    <w:p>
      <w:pPr>
        <w:pStyle w:val="329"/>
        <w:rPr>
          <w:rFonts w:ascii="Times New Roman" w:hAnsi="Times New Roman"/>
        </w:rPr>
      </w:pPr>
      <w:r>
        <w:rPr>
          <w:rFonts w:ascii="Times New Roman" w:hAnsi="Times New Roman"/>
        </w:rPr>
        <w:t>评标委员会根据招标文件的规定对投标文件的投标价格进行调整，投标人不接受调整方式的，或不接受调整后的价格的；</w:t>
      </w:r>
    </w:p>
    <w:p>
      <w:pPr>
        <w:pStyle w:val="328"/>
        <w:rPr>
          <w:rFonts w:ascii="Times New Roman" w:hAnsi="Times New Roman"/>
        </w:rPr>
      </w:pPr>
      <w:r>
        <w:rPr>
          <w:rFonts w:ascii="Times New Roman" w:hAnsi="Times New Roman"/>
        </w:rPr>
        <w:t>细微偏离是指投标文件在实质上响应招标文件要求，但在个别地方存在漏项或者提供了不完整的技术信息和数据等情况，并且补正这些漏项或者不完整不会对其他投标人造成不公平的结果。细微偏离不影响投标文件的有效性。</w:t>
      </w:r>
    </w:p>
    <w:p>
      <w:pPr>
        <w:pStyle w:val="328"/>
        <w:rPr>
          <w:rFonts w:ascii="Times New Roman" w:hAnsi="Times New Roman"/>
        </w:rPr>
      </w:pPr>
      <w:r>
        <w:rPr>
          <w:rFonts w:ascii="Times New Roman" w:hAnsi="Times New Roman"/>
        </w:rPr>
        <w:t>评标委员会应书面要求存在细微偏离的投标人在评标结束前予以补正。拒不补正的，在详细评审时可以对细微偏离按照不利于该投标人的原则进行调整，且投标人不得因此提出任何异议。</w:t>
      </w:r>
    </w:p>
    <w:p>
      <w:pPr>
        <w:pStyle w:val="326"/>
        <w:shd w:val="clear" w:color="auto" w:fill="auto"/>
        <w:ind w:firstLine="482"/>
        <w:rPr>
          <w:rFonts w:ascii="Times New Roman" w:hAnsi="Times New Roman" w:cs="Times New Roman"/>
        </w:rPr>
      </w:pPr>
      <w:r>
        <w:rPr>
          <w:rFonts w:ascii="Times New Roman" w:hAnsi="Times New Roman" w:cs="Times New Roman"/>
        </w:rPr>
        <w:t>实地考察、演示或设备测试</w:t>
      </w:r>
    </w:p>
    <w:p>
      <w:pPr>
        <w:pStyle w:val="328"/>
        <w:rPr>
          <w:rFonts w:ascii="Times New Roman" w:hAnsi="Times New Roman"/>
        </w:rPr>
      </w:pPr>
      <w:r>
        <w:rPr>
          <w:rFonts w:ascii="Times New Roman" w:hAnsi="Times New Roman"/>
        </w:rPr>
        <w:t>在招标过程中，评标委员会有权决定是否对本项目投标人进行现场勘察或实地考察或检验有关证明材料的原件。投标人应随时做好接受检查的准备。</w:t>
      </w:r>
    </w:p>
    <w:p>
      <w:pPr>
        <w:pStyle w:val="328"/>
        <w:rPr>
          <w:rFonts w:ascii="Times New Roman" w:hAnsi="Times New Roman"/>
        </w:rPr>
      </w:pPr>
      <w:r>
        <w:rPr>
          <w:rFonts w:ascii="Times New Roman" w:hAnsi="Times New Roman"/>
        </w:rPr>
        <w:t>若招标文件要求进行现场演示或设备测试的，投标人应做好相应准备。</w:t>
      </w:r>
    </w:p>
    <w:p>
      <w:pPr>
        <w:pStyle w:val="326"/>
        <w:shd w:val="clear" w:color="auto" w:fill="auto"/>
        <w:ind w:firstLine="482"/>
        <w:rPr>
          <w:rFonts w:ascii="Times New Roman" w:hAnsi="Times New Roman" w:cs="Times New Roman"/>
        </w:rPr>
      </w:pPr>
      <w:r>
        <w:rPr>
          <w:rFonts w:ascii="Times New Roman" w:hAnsi="Times New Roman" w:cs="Times New Roman"/>
        </w:rPr>
        <w:t>评标方法</w:t>
      </w:r>
    </w:p>
    <w:p>
      <w:pPr>
        <w:pStyle w:val="328"/>
        <w:rPr>
          <w:rFonts w:ascii="Times New Roman" w:hAnsi="Times New Roman"/>
        </w:rPr>
      </w:pPr>
      <w:r>
        <w:rPr>
          <w:rFonts w:ascii="Times New Roman" w:hAnsi="Times New Roman"/>
        </w:rPr>
        <w:t>根据《财政部关于加强政府采购货物和服务项目价格评审管理的通知》（财库[2007]2号）、《政府采购货物和服务招标投标管理办法》（中华人民共和国财政部令第87号）、《深圳市财政局关于印发&lt;深圳市政府采购评标定标分离管理办法&gt;的通知》（深财规〔2020〕1号）关要求，评标办法分为非评定分离项目和评定分离项目。评审方法分为最低评标价法、综合评标法、定性评审法及法律、法规允许的其它评审方法，定标方法为自定法。</w:t>
      </w:r>
    </w:p>
    <w:p>
      <w:pPr>
        <w:pStyle w:val="329"/>
        <w:rPr>
          <w:rFonts w:ascii="Times New Roman" w:hAnsi="Times New Roman"/>
        </w:rPr>
      </w:pPr>
      <w:r>
        <w:rPr>
          <w:rFonts w:ascii="Times New Roman" w:hAnsi="Times New Roman"/>
        </w:rPr>
        <w:t>最低评标价法</w:t>
      </w:r>
    </w:p>
    <w:p>
      <w:pPr>
        <w:pStyle w:val="305"/>
        <w:rPr>
          <w:rFonts w:ascii="Times New Roman" w:hAnsi="Times New Roman"/>
        </w:rPr>
      </w:pPr>
      <w:r>
        <w:rPr>
          <w:rFonts w:ascii="Times New Roman" w:hAnsi="Times New Roman"/>
        </w:rPr>
        <w:t>最低评标价法是指以价格因素确定中标候选供应商的评标方法，即在满足招标文件实质性要求前提下，以报价最低的投标人作为中标候选供应商或中标人的评标方法。</w:t>
      </w:r>
    </w:p>
    <w:p>
      <w:pPr>
        <w:pStyle w:val="329"/>
        <w:rPr>
          <w:rFonts w:ascii="Times New Roman" w:hAnsi="Times New Roman"/>
        </w:rPr>
      </w:pPr>
      <w:r>
        <w:rPr>
          <w:rFonts w:ascii="Times New Roman" w:hAnsi="Times New Roman"/>
        </w:rPr>
        <w:t>综合评分法</w:t>
      </w:r>
    </w:p>
    <w:p>
      <w:pPr>
        <w:pStyle w:val="305"/>
        <w:rPr>
          <w:rFonts w:ascii="Times New Roman" w:hAnsi="Times New Roman"/>
        </w:rPr>
      </w:pPr>
      <w:r>
        <w:rPr>
          <w:rFonts w:ascii="Times New Roman" w:hAnsi="Times New Roman"/>
        </w:rPr>
        <w:t>综合评分法是指投标文件满足招标文件全部实质性要求，且按照评审因素的量化指标评审得分由高到低排名前列的投标人作为推荐的候选中标供应商的评标方法。</w:t>
      </w:r>
    </w:p>
    <w:p>
      <w:pPr>
        <w:pStyle w:val="329"/>
        <w:rPr>
          <w:rFonts w:ascii="Times New Roman" w:hAnsi="Times New Roman"/>
        </w:rPr>
      </w:pPr>
      <w:r>
        <w:rPr>
          <w:rFonts w:ascii="Times New Roman" w:hAnsi="Times New Roman"/>
        </w:rPr>
        <w:t>定性评审法</w:t>
      </w:r>
    </w:p>
    <w:p>
      <w:pPr>
        <w:pStyle w:val="305"/>
        <w:rPr>
          <w:rFonts w:ascii="Times New Roman" w:hAnsi="Times New Roman"/>
        </w:rPr>
      </w:pPr>
      <w:r>
        <w:rPr>
          <w:rFonts w:ascii="Times New Roman" w:hAnsi="Times New Roman"/>
        </w:rPr>
        <w:t>定性评审法是指按照招标文件规定的各项因素进行技术商务性评审，对各投标文件是否满足招标文件实质性要求提出评审意见，并形成评审报告。评审报告的内容主要包括：对各投标文件是否合格提出意见，指出各投标文件中的优点和存在的缺陷，签订合同前应注意和澄清的事项等。所有递交的投标文件未被判定为投标无效的投标人，均推荐为候选中标供应商。</w:t>
      </w:r>
    </w:p>
    <w:p>
      <w:pPr>
        <w:pStyle w:val="328"/>
        <w:rPr>
          <w:rFonts w:ascii="Times New Roman" w:hAnsi="Times New Roman"/>
        </w:rPr>
      </w:pPr>
      <w:r>
        <w:rPr>
          <w:rFonts w:ascii="Times New Roman" w:hAnsi="Times New Roman"/>
        </w:rPr>
        <w:t>本项目采用的评标方法见本项目招标文件专用条款的相关内容。</w:t>
      </w:r>
    </w:p>
    <w:p>
      <w:pPr>
        <w:pStyle w:val="309"/>
        <w:shd w:val="clear" w:color="auto" w:fill="auto"/>
        <w:ind w:firstLine="562"/>
        <w:rPr>
          <w:rFonts w:ascii="Times New Roman" w:hAnsi="Times New Roman"/>
        </w:rPr>
      </w:pPr>
      <w:bookmarkStart w:id="54" w:name="_Toc169101021"/>
      <w:bookmarkStart w:id="55" w:name="_Toc41557715"/>
      <w:r>
        <w:rPr>
          <w:rFonts w:ascii="Times New Roman" w:hAnsi="Times New Roman"/>
        </w:rPr>
        <w:t>第七章 定标及公示</w:t>
      </w:r>
      <w:bookmarkEnd w:id="54"/>
      <w:bookmarkEnd w:id="55"/>
    </w:p>
    <w:p>
      <w:pPr>
        <w:pStyle w:val="326"/>
        <w:shd w:val="clear" w:color="auto" w:fill="auto"/>
        <w:ind w:firstLine="482"/>
        <w:rPr>
          <w:rFonts w:ascii="Times New Roman" w:hAnsi="Times New Roman" w:cs="Times New Roman"/>
        </w:rPr>
      </w:pPr>
      <w:r>
        <w:rPr>
          <w:rFonts w:ascii="Times New Roman" w:hAnsi="Times New Roman" w:cs="Times New Roman"/>
        </w:rPr>
        <w:t>定标方法</w:t>
      </w:r>
    </w:p>
    <w:p>
      <w:pPr>
        <w:pStyle w:val="328"/>
        <w:rPr>
          <w:rFonts w:ascii="Times New Roman" w:hAnsi="Times New Roman"/>
        </w:rPr>
      </w:pPr>
      <w:r>
        <w:rPr>
          <w:rFonts w:ascii="Times New Roman" w:hAnsi="Times New Roman"/>
        </w:rPr>
        <w:t>项目定标方法根据是否是评定分离项目进行选择。</w:t>
      </w:r>
    </w:p>
    <w:p>
      <w:pPr>
        <w:pStyle w:val="328"/>
        <w:rPr>
          <w:rFonts w:ascii="Times New Roman" w:hAnsi="Times New Roman"/>
        </w:rPr>
      </w:pPr>
      <w:r>
        <w:rPr>
          <w:rFonts w:ascii="Times New Roman" w:hAnsi="Times New Roman"/>
        </w:rPr>
        <w:t>非评定分离项目</w:t>
      </w:r>
    </w:p>
    <w:p>
      <w:pPr>
        <w:pStyle w:val="305"/>
        <w:rPr>
          <w:rFonts w:ascii="Times New Roman" w:hAnsi="Times New Roman"/>
        </w:rPr>
      </w:pPr>
      <w:r>
        <w:rPr>
          <w:rFonts w:ascii="Times New Roman" w:hAnsi="Times New Roman"/>
        </w:rPr>
        <w:t>评标委员会依据本项目招标文件所约定的评标方法进行评审和比较，向采购代理机构提交书面评标报告，并根据评标方法比较评价结果从优到劣进行排序，并推荐候选中标供应商或确定中标人；</w:t>
      </w:r>
    </w:p>
    <w:p>
      <w:pPr>
        <w:pStyle w:val="329"/>
        <w:rPr>
          <w:rFonts w:ascii="Times New Roman" w:hAnsi="Times New Roman"/>
        </w:rPr>
      </w:pPr>
      <w:r>
        <w:rPr>
          <w:rFonts w:ascii="Times New Roman" w:hAnsi="Times New Roman"/>
        </w:rPr>
        <w:t>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会意见不一致时，按少数服从多数原则作出决定。</w:t>
      </w:r>
    </w:p>
    <w:p>
      <w:pPr>
        <w:pStyle w:val="329"/>
        <w:rPr>
          <w:rFonts w:ascii="Times New Roman" w:hAnsi="Times New Roman"/>
        </w:rPr>
      </w:pPr>
      <w:r>
        <w:rPr>
          <w:rFonts w:ascii="Times New Roman" w:hAnsi="Times New Roman"/>
        </w:rPr>
        <w:t>采用综合评分法的，按评审后得分由高到低顺序排列。得分相同的，按投标报价由低到高顺序排列。得分且投标报价相同的，按技术指标优劣顺序排列。得分且投标报价相同的且技术指标或服务方案优劣相同的，采取随机抽取方式确定中标人推荐资格。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投标无效处理。</w:t>
      </w:r>
    </w:p>
    <w:p>
      <w:pPr>
        <w:pStyle w:val="329"/>
        <w:rPr>
          <w:rFonts w:ascii="Times New Roman" w:hAnsi="Times New Roman"/>
        </w:rPr>
      </w:pPr>
      <w:r>
        <w:rPr>
          <w:rFonts w:ascii="Times New Roman" w:hAnsi="Times New Roman"/>
        </w:rPr>
        <w:t>采用定性评审法的，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pPr>
        <w:pStyle w:val="328"/>
        <w:rPr>
          <w:rFonts w:ascii="Times New Roman" w:hAnsi="Times New Roman"/>
        </w:rPr>
      </w:pPr>
      <w:r>
        <w:rPr>
          <w:rFonts w:ascii="Times New Roman" w:hAnsi="Times New Roman"/>
        </w:rPr>
        <w:t>评定分离项目</w:t>
      </w:r>
    </w:p>
    <w:p>
      <w:pPr>
        <w:pStyle w:val="329"/>
        <w:rPr>
          <w:rFonts w:ascii="Times New Roman" w:hAnsi="Times New Roman"/>
        </w:rPr>
      </w:pPr>
      <w:r>
        <w:rPr>
          <w:rFonts w:ascii="Times New Roman" w:hAnsi="Times New Roman"/>
        </w:rPr>
        <w:t>适用评定分离的政府采购项目，采购人应当根据不同的项目选用自定法或者法律、法规及规章规定的其他定标方法确定中标人。</w:t>
      </w:r>
    </w:p>
    <w:p>
      <w:pPr>
        <w:pStyle w:val="329"/>
        <w:rPr>
          <w:rFonts w:ascii="Times New Roman" w:hAnsi="Times New Roman"/>
        </w:rPr>
      </w:pPr>
      <w:r>
        <w:rPr>
          <w:rFonts w:ascii="Times New Roman" w:hAnsi="Times New Roman"/>
        </w:rPr>
        <w:t>自定法是指采购人组织定标委员会，由定标委员会在候选中标供应商中确定中标人。定标流程如下：</w:t>
      </w:r>
    </w:p>
    <w:p>
      <w:pPr>
        <w:pStyle w:val="305"/>
        <w:rPr>
          <w:rFonts w:ascii="Times New Roman" w:hAnsi="Times New Roman"/>
        </w:rPr>
      </w:pPr>
      <w:r>
        <w:rPr>
          <w:rFonts w:ascii="Times New Roman" w:hAnsi="Times New Roman"/>
        </w:rPr>
        <w:t>（1）评审委员会完成评审后，应当出具书面评审报告，推荐三个合格的候选中标供应商，候选中标供应商不标明排序。</w:t>
      </w:r>
    </w:p>
    <w:p>
      <w:pPr>
        <w:pStyle w:val="305"/>
        <w:rPr>
          <w:rFonts w:ascii="Times New Roman" w:hAnsi="Times New Roman"/>
        </w:rPr>
      </w:pPr>
      <w:r>
        <w:rPr>
          <w:rFonts w:ascii="Times New Roman" w:hAnsi="Times New Roman"/>
        </w:rPr>
        <w:t>（2）评审报告应当包含各评审专家个人意见和评审委员会结论意见，报告内容包括但不限于对每个候选中标供应商的总体评价、供应商对招标文件的响应程度、技术（服务）方案优劣对比、报价合理性等内容。</w:t>
      </w:r>
    </w:p>
    <w:p>
      <w:pPr>
        <w:pStyle w:val="305"/>
        <w:rPr>
          <w:rFonts w:ascii="Times New Roman" w:hAnsi="Times New Roman"/>
        </w:rPr>
      </w:pPr>
      <w:r>
        <w:rPr>
          <w:rFonts w:ascii="Times New Roman" w:hAnsi="Times New Roman"/>
        </w:rPr>
        <w:t>（3）评审专家在评审过程中，判定投标供应商的投标文件为无效的，评审专家应当详细说明投标无效的原因，列举出投标文件存在的问题并署名。</w:t>
      </w:r>
    </w:p>
    <w:p>
      <w:pPr>
        <w:pStyle w:val="305"/>
        <w:rPr>
          <w:rFonts w:ascii="Times New Roman" w:hAnsi="Times New Roman"/>
        </w:rPr>
      </w:pPr>
      <w:r>
        <w:rPr>
          <w:rFonts w:ascii="Times New Roman" w:hAnsi="Times New Roman"/>
        </w:rPr>
        <w:t>（4）招标机构应当自评审结束之日起2个工作日内将候选中标供应商名单及其投标文件、评审报告送交采购人。</w:t>
      </w:r>
    </w:p>
    <w:p>
      <w:pPr>
        <w:pStyle w:val="305"/>
        <w:rPr>
          <w:rFonts w:ascii="Times New Roman" w:hAnsi="Times New Roman"/>
        </w:rPr>
      </w:pPr>
      <w:r>
        <w:rPr>
          <w:rFonts w:ascii="Times New Roman" w:hAnsi="Times New Roman"/>
        </w:rPr>
        <w:t>（5）采购人应当在自收到评审报告后，组成定标委员会，召开定标会并确定中标人。</w:t>
      </w:r>
    </w:p>
    <w:p>
      <w:pPr>
        <w:pStyle w:val="305"/>
        <w:rPr>
          <w:rFonts w:ascii="Times New Roman" w:hAnsi="Times New Roman"/>
        </w:rPr>
      </w:pPr>
      <w:r>
        <w:rPr>
          <w:rFonts w:ascii="Times New Roman" w:hAnsi="Times New Roman"/>
        </w:rPr>
        <w:t>（6）定标委员会应当由5人或以上单数组成，采购人应当按照以下要求组成定标委员会：</w:t>
      </w:r>
    </w:p>
    <w:p>
      <w:pPr>
        <w:pStyle w:val="305"/>
        <w:rPr>
          <w:rFonts w:ascii="Times New Roman" w:hAnsi="Times New Roman"/>
        </w:rPr>
      </w:pPr>
      <w:r>
        <w:rPr>
          <w:rFonts w:hint="eastAsia" w:cs="宋体"/>
        </w:rPr>
        <w:t>①</w:t>
      </w:r>
      <w:r>
        <w:rPr>
          <w:rFonts w:ascii="Times New Roman" w:hAnsi="Times New Roman"/>
        </w:rPr>
        <w:t>重大项目由采购人领导班子成员组成定标委员会，有半数以上班子成员到会方可在候选中标供应商中确定中标供应商。</w:t>
      </w:r>
    </w:p>
    <w:p>
      <w:pPr>
        <w:pStyle w:val="305"/>
        <w:rPr>
          <w:rFonts w:ascii="Times New Roman" w:hAnsi="Times New Roman"/>
        </w:rPr>
      </w:pPr>
      <w:r>
        <w:rPr>
          <w:rFonts w:hint="eastAsia" w:cs="宋体"/>
        </w:rPr>
        <w:t>②</w:t>
      </w:r>
      <w:r>
        <w:rPr>
          <w:rFonts w:ascii="Times New Roman" w:hAnsi="Times New Roman"/>
        </w:rPr>
        <w:t>特定品目项目的定标委员会应当由5人或以上单数的领导班子成员，或者单位中层以上管理人员、具有与所采购项目专业领域中级以上职称人员、采购责任机构负责人等组成。</w:t>
      </w:r>
    </w:p>
    <w:p>
      <w:pPr>
        <w:pStyle w:val="305"/>
        <w:rPr>
          <w:rFonts w:ascii="Times New Roman" w:hAnsi="Times New Roman"/>
        </w:rPr>
      </w:pPr>
      <w:r>
        <w:rPr>
          <w:rFonts w:ascii="Times New Roman" w:hAnsi="Times New Roman"/>
        </w:rPr>
        <w:t>（7）采购人讨论决定定标事项时应保证与会成员有足够时间听取情况介绍、充分发表意见。在充分讨论的基础上，采取口头表决、举手表决或者无记名投票等方式进行表决。</w:t>
      </w:r>
    </w:p>
    <w:p>
      <w:pPr>
        <w:pStyle w:val="305"/>
        <w:rPr>
          <w:rFonts w:ascii="Times New Roman" w:hAnsi="Times New Roman"/>
        </w:rPr>
      </w:pPr>
      <w:r>
        <w:rPr>
          <w:rFonts w:ascii="Times New Roman" w:hAnsi="Times New Roman"/>
        </w:rPr>
        <w:t>候选中标供应商的得票数超过定标委员会成员人数半数的，方可确定为中标供应商。在表决中，各候选中标供应商得票数比较分散且没有供应商得票数超过定标委员会成员半数的，可以剔除得票数最少的供应商后再次表决，直至表决出符合得票数要求的中标供应商。</w:t>
      </w:r>
    </w:p>
    <w:p>
      <w:pPr>
        <w:pStyle w:val="305"/>
        <w:rPr>
          <w:rFonts w:ascii="Times New Roman" w:hAnsi="Times New Roman"/>
        </w:rPr>
      </w:pPr>
      <w:r>
        <w:rPr>
          <w:rFonts w:ascii="Times New Roman" w:hAnsi="Times New Roman"/>
        </w:rPr>
        <w:t>（8）采购人讨论决定定标事项，应当按照下列程序进行：</w:t>
      </w:r>
    </w:p>
    <w:p>
      <w:pPr>
        <w:pStyle w:val="305"/>
        <w:rPr>
          <w:rFonts w:ascii="Times New Roman" w:hAnsi="Times New Roman"/>
        </w:rPr>
      </w:pPr>
      <w:r>
        <w:rPr>
          <w:rFonts w:hint="eastAsia" w:cs="宋体"/>
        </w:rPr>
        <w:t>①</w:t>
      </w:r>
      <w:r>
        <w:rPr>
          <w:rFonts w:ascii="Times New Roman" w:hAnsi="Times New Roman"/>
        </w:rPr>
        <w:t>采购人的采购责任机构负责人或者采购项目需求部门负责人，结合项目需求和评审专家的评审意见，逐个介绍候选中标供应商的情况；</w:t>
      </w:r>
    </w:p>
    <w:p>
      <w:pPr>
        <w:pStyle w:val="305"/>
        <w:rPr>
          <w:rFonts w:ascii="Times New Roman" w:hAnsi="Times New Roman"/>
        </w:rPr>
      </w:pPr>
      <w:r>
        <w:rPr>
          <w:rFonts w:hint="eastAsia" w:cs="宋体"/>
        </w:rPr>
        <w:t>②</w:t>
      </w:r>
      <w:r>
        <w:rPr>
          <w:rFonts w:ascii="Times New Roman" w:hAnsi="Times New Roman"/>
        </w:rPr>
        <w:t>参加会议人员进行充分讨论；</w:t>
      </w:r>
    </w:p>
    <w:p>
      <w:pPr>
        <w:pStyle w:val="305"/>
        <w:rPr>
          <w:rFonts w:ascii="Times New Roman" w:hAnsi="Times New Roman"/>
        </w:rPr>
      </w:pPr>
      <w:r>
        <w:rPr>
          <w:rFonts w:hint="eastAsia" w:cs="宋体"/>
        </w:rPr>
        <w:t>③</w:t>
      </w:r>
      <w:r>
        <w:rPr>
          <w:rFonts w:ascii="Times New Roman" w:hAnsi="Times New Roman"/>
        </w:rPr>
        <w:t>进行表决。</w:t>
      </w:r>
    </w:p>
    <w:p>
      <w:pPr>
        <w:pStyle w:val="305"/>
        <w:rPr>
          <w:rFonts w:ascii="Times New Roman" w:hAnsi="Times New Roman"/>
        </w:rPr>
      </w:pPr>
      <w:r>
        <w:rPr>
          <w:rFonts w:ascii="Times New Roman" w:hAnsi="Times New Roman"/>
        </w:rPr>
        <w:t>（9）采购人定标时应当坚持择优与竞价相结合，择优为主。综合考虑候选中标供应商的企业实力、企业信誉、投标文件响应情况、投标报价等多方面因素，分析采购项目实际情况，选择履约能力较强、价格合理的供应商。</w:t>
      </w:r>
    </w:p>
    <w:p>
      <w:pPr>
        <w:pStyle w:val="305"/>
        <w:rPr>
          <w:rFonts w:ascii="Times New Roman" w:hAnsi="Times New Roman"/>
        </w:rPr>
      </w:pPr>
      <w:r>
        <w:rPr>
          <w:rFonts w:ascii="Times New Roman" w:hAnsi="Times New Roman"/>
        </w:rPr>
        <w:t>（10）采购人应当安排专人对定标过程进行书面记录，形成《定标报告》，作为采购文件的组成部分存档，并及时将定标结果反馈招标机构。</w:t>
      </w:r>
    </w:p>
    <w:p>
      <w:pPr>
        <w:pStyle w:val="305"/>
        <w:rPr>
          <w:rFonts w:ascii="Times New Roman" w:hAnsi="Times New Roman"/>
        </w:rPr>
      </w:pPr>
      <w:r>
        <w:rPr>
          <w:rFonts w:ascii="Times New Roman" w:hAnsi="Times New Roman"/>
        </w:rPr>
        <w:t>（11）采购人应当在定标会结束后，及时将《定标报告》反馈招标机构。定标报告应当包括但不限于定标时间及地点、定标委员会成员及职务、对候选中标供应商的讨论意见、表决情况、定标结果、会议纪要等内容。</w:t>
      </w:r>
    </w:p>
    <w:p>
      <w:pPr>
        <w:pStyle w:val="328"/>
        <w:rPr>
          <w:rFonts w:ascii="Times New Roman" w:hAnsi="Times New Roman"/>
        </w:rPr>
      </w:pPr>
      <w:r>
        <w:rPr>
          <w:rFonts w:ascii="Times New Roman" w:hAnsi="Times New Roman"/>
        </w:rPr>
        <w:t>本项目采用的定标方法见本项目招标文件专用条款的相关内容。</w:t>
      </w:r>
    </w:p>
    <w:p>
      <w:pPr>
        <w:pStyle w:val="326"/>
        <w:shd w:val="clear" w:color="auto" w:fill="auto"/>
        <w:ind w:firstLine="482"/>
        <w:rPr>
          <w:rFonts w:ascii="Times New Roman" w:hAnsi="Times New Roman" w:cs="Times New Roman"/>
        </w:rPr>
      </w:pPr>
      <w:r>
        <w:rPr>
          <w:rFonts w:ascii="Times New Roman" w:hAnsi="Times New Roman" w:cs="Times New Roman"/>
        </w:rPr>
        <w:t>编写评标报告</w:t>
      </w:r>
    </w:p>
    <w:p>
      <w:pPr>
        <w:pStyle w:val="328"/>
        <w:rPr>
          <w:rFonts w:ascii="Times New Roman" w:hAnsi="Times New Roman"/>
        </w:rPr>
      </w:pPr>
      <w:r>
        <w:rPr>
          <w:rFonts w:ascii="Times New Roman" w:hAnsi="Times New Roman"/>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pStyle w:val="326"/>
        <w:shd w:val="clear" w:color="auto" w:fill="auto"/>
        <w:ind w:firstLine="482"/>
        <w:rPr>
          <w:rFonts w:ascii="Times New Roman" w:hAnsi="Times New Roman" w:cs="Times New Roman"/>
        </w:rPr>
      </w:pPr>
      <w:r>
        <w:rPr>
          <w:rFonts w:ascii="Times New Roman" w:hAnsi="Times New Roman" w:cs="Times New Roman"/>
        </w:rPr>
        <w:t>中标公告</w:t>
      </w:r>
    </w:p>
    <w:p>
      <w:pPr>
        <w:pStyle w:val="328"/>
        <w:rPr>
          <w:rFonts w:ascii="Times New Roman" w:hAnsi="Times New Roman"/>
        </w:rPr>
      </w:pPr>
      <w:r>
        <w:rPr>
          <w:rFonts w:ascii="Times New Roman" w:hAnsi="Times New Roman"/>
        </w:rPr>
        <w:t>为体现“公开、公平、公正”的原则，评标结束后，采购代理机构将在“深圳交易集团有限公司政府采购业务分公司网”（http://www.szggzy.com/fwdh/fwdhzfcg/）及采购代理机构官网：（http：//www.szsszx.com/）上发布中标结果公告，公示期为72小时。供应商如对评标结果有异议，请于公示期内，以书面的形式向我公司反映。若在公示期内未提出异议，则视为认同该评标结果。</w:t>
      </w:r>
    </w:p>
    <w:p>
      <w:pPr>
        <w:pStyle w:val="328"/>
        <w:rPr>
          <w:rFonts w:ascii="Times New Roman" w:hAnsi="Times New Roman"/>
        </w:rPr>
      </w:pPr>
      <w:r>
        <w:rPr>
          <w:rFonts w:ascii="Times New Roman" w:hAnsi="Times New Roman"/>
        </w:rPr>
        <w:t>质疑投诉人应保证质疑投诉内容的真实性和可靠性，并承担相应的法律责任。</w:t>
      </w:r>
    </w:p>
    <w:p>
      <w:pPr>
        <w:pStyle w:val="326"/>
        <w:shd w:val="clear" w:color="auto" w:fill="auto"/>
        <w:ind w:firstLine="482"/>
        <w:rPr>
          <w:rFonts w:ascii="Times New Roman" w:hAnsi="Times New Roman" w:cs="Times New Roman"/>
        </w:rPr>
      </w:pPr>
      <w:r>
        <w:rPr>
          <w:rFonts w:ascii="Times New Roman" w:hAnsi="Times New Roman" w:cs="Times New Roman"/>
        </w:rPr>
        <w:t>中标通知书</w:t>
      </w:r>
    </w:p>
    <w:p>
      <w:pPr>
        <w:pStyle w:val="328"/>
        <w:rPr>
          <w:rFonts w:ascii="Times New Roman" w:hAnsi="Times New Roman"/>
        </w:rPr>
      </w:pPr>
      <w:r>
        <w:rPr>
          <w:rFonts w:ascii="Times New Roman" w:hAnsi="Times New Roman"/>
        </w:rPr>
        <w:t>中标公告公布后,公示期内无人投诉,请中标人凭单位证明及本人身份证到采购代理机构领取《中标通知书》。</w:t>
      </w:r>
    </w:p>
    <w:p>
      <w:pPr>
        <w:pStyle w:val="328"/>
        <w:rPr>
          <w:rFonts w:ascii="Times New Roman" w:hAnsi="Times New Roman"/>
        </w:rPr>
      </w:pPr>
      <w:r>
        <w:rPr>
          <w:rFonts w:ascii="Times New Roman" w:hAnsi="Times New Roman"/>
        </w:rPr>
        <w:t>中标通知书是合同的重要组成部分。</w:t>
      </w:r>
    </w:p>
    <w:p>
      <w:pPr>
        <w:pStyle w:val="328"/>
        <w:rPr>
          <w:rFonts w:ascii="Times New Roman" w:hAnsi="Times New Roman"/>
        </w:rPr>
      </w:pPr>
      <w:r>
        <w:rPr>
          <w:rFonts w:ascii="Times New Roman" w:hAnsi="Times New Roman"/>
        </w:rPr>
        <w:t>因质疑投诉或其它原因导致项目结果变更或采购终止的，我公司有权收回中标通知书或终止采购合同。</w:t>
      </w:r>
    </w:p>
    <w:p>
      <w:pPr>
        <w:pStyle w:val="309"/>
        <w:shd w:val="clear" w:color="auto" w:fill="auto"/>
        <w:ind w:firstLine="562"/>
        <w:rPr>
          <w:rFonts w:ascii="Times New Roman" w:hAnsi="Times New Roman"/>
        </w:rPr>
      </w:pPr>
      <w:bookmarkStart w:id="56" w:name="_Toc169101022"/>
      <w:bookmarkStart w:id="57" w:name="_Toc41557716"/>
      <w:r>
        <w:rPr>
          <w:rFonts w:ascii="Times New Roman" w:hAnsi="Times New Roman"/>
        </w:rPr>
        <w:t>第八章 公开招标失败的后续处理</w:t>
      </w:r>
      <w:bookmarkEnd w:id="56"/>
      <w:bookmarkEnd w:id="57"/>
    </w:p>
    <w:p>
      <w:pPr>
        <w:pStyle w:val="326"/>
        <w:shd w:val="clear" w:color="auto" w:fill="auto"/>
        <w:ind w:firstLine="482"/>
        <w:rPr>
          <w:rFonts w:ascii="Times New Roman" w:hAnsi="Times New Roman" w:cs="Times New Roman"/>
        </w:rPr>
      </w:pPr>
      <w:r>
        <w:rPr>
          <w:rFonts w:ascii="Times New Roman" w:hAnsi="Times New Roman" w:cs="Times New Roman"/>
        </w:rPr>
        <w:t>公开招标失败的处理</w:t>
      </w:r>
    </w:p>
    <w:p>
      <w:pPr>
        <w:pStyle w:val="328"/>
        <w:rPr>
          <w:rFonts w:ascii="Times New Roman" w:hAnsi="Times New Roman"/>
        </w:rPr>
      </w:pPr>
      <w:r>
        <w:rPr>
          <w:rFonts w:ascii="Times New Roman" w:hAnsi="Times New Roman"/>
        </w:rPr>
        <w:t>本项目公开招标过程中若由于投标截止后实际递交投标文件的供应商数量不足、经评标委员会评审对招标文件作实质响应的供应商不足等原因造成公开招标失败，可由采购代理机构重新组织采购。</w:t>
      </w:r>
    </w:p>
    <w:p>
      <w:pPr>
        <w:pStyle w:val="328"/>
        <w:rPr>
          <w:rFonts w:ascii="Times New Roman" w:hAnsi="Times New Roman"/>
        </w:rPr>
      </w:pPr>
      <w:r>
        <w:rPr>
          <w:rFonts w:ascii="Times New Roman" w:hAnsi="Times New Roman"/>
        </w:rPr>
        <w:t>对公开招标失败的项目，评标委员会在出具该项目招标失败结论的同时，提出重新采购组织形式的建议，以及进一步完善招标文件的资格、技术、商务要求的修改建议。</w:t>
      </w:r>
    </w:p>
    <w:p>
      <w:pPr>
        <w:pStyle w:val="328"/>
        <w:rPr>
          <w:rFonts w:ascii="Times New Roman" w:hAnsi="Times New Roman"/>
        </w:rPr>
      </w:pPr>
      <w:r>
        <w:rPr>
          <w:rFonts w:ascii="Times New Roman" w:hAnsi="Times New Roman"/>
        </w:rPr>
        <w:t>重新组织采购有以下两种组织形式：</w:t>
      </w:r>
    </w:p>
    <w:p>
      <w:pPr>
        <w:pStyle w:val="305"/>
        <w:rPr>
          <w:rFonts w:ascii="Times New Roman" w:hAnsi="Times New Roman"/>
        </w:rPr>
      </w:pPr>
      <w:r>
        <w:rPr>
          <w:rFonts w:ascii="Times New Roman" w:hAnsi="Times New Roman"/>
        </w:rPr>
        <w:t>（1）由采购代理机构重新组织公开招标；</w:t>
      </w:r>
    </w:p>
    <w:p>
      <w:pPr>
        <w:pStyle w:val="305"/>
        <w:rPr>
          <w:rFonts w:ascii="Times New Roman" w:hAnsi="Times New Roman"/>
        </w:rPr>
      </w:pPr>
      <w:r>
        <w:rPr>
          <w:rFonts w:ascii="Times New Roman" w:hAnsi="Times New Roman"/>
        </w:rPr>
        <w:t>（2）根据实际情况需要向政府采购监督管理部门提出非公开招标方式申请，经政府采购监督管理部门批准公开招标失败采购项目可转为竞争性谈判或单一来源谈判方式采购。</w:t>
      </w:r>
    </w:p>
    <w:p>
      <w:pPr>
        <w:pStyle w:val="328"/>
        <w:rPr>
          <w:rFonts w:ascii="Times New Roman" w:hAnsi="Times New Roman"/>
        </w:rPr>
      </w:pPr>
      <w:r>
        <w:rPr>
          <w:rFonts w:ascii="Times New Roman" w:hAnsi="Times New Roman"/>
        </w:rPr>
        <w:t>公开招标失败的采购项目重新组织公开招标，采购代理机构要重新按公开招标流程发布采购公告和招标文件、组成评标委员会等组织采购活动。</w:t>
      </w:r>
    </w:p>
    <w:p>
      <w:pPr>
        <w:pStyle w:val="328"/>
        <w:rPr>
          <w:rFonts w:ascii="Times New Roman" w:hAnsi="Times New Roman"/>
        </w:rPr>
      </w:pPr>
      <w:r>
        <w:rPr>
          <w:rFonts w:ascii="Times New Roman" w:hAnsi="Times New Roman"/>
        </w:rPr>
        <w:t>公开招标失败的采购项目经政府采购监督管理部门批准转为竞争性谈判或单一来源谈判方式采购的，可不另行制作谈判文件，采购代理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pPr>
        <w:pStyle w:val="326"/>
        <w:shd w:val="clear" w:color="auto" w:fill="auto"/>
        <w:ind w:firstLine="482"/>
        <w:rPr>
          <w:rFonts w:ascii="Times New Roman" w:hAnsi="Times New Roman" w:cs="Times New Roman"/>
        </w:rPr>
      </w:pPr>
      <w:r>
        <w:rPr>
          <w:rFonts w:ascii="Times New Roman" w:hAnsi="Times New Roman" w:cs="Times New Roman"/>
        </w:rPr>
        <w:t>公开招标失败项目转为竞争性谈判方式采购的</w:t>
      </w:r>
    </w:p>
    <w:p>
      <w:pPr>
        <w:pStyle w:val="328"/>
        <w:rPr>
          <w:rFonts w:ascii="Times New Roman" w:hAnsi="Times New Roman"/>
        </w:rPr>
      </w:pPr>
      <w:r>
        <w:rPr>
          <w:rFonts w:ascii="Times New Roman" w:hAnsi="Times New Roman"/>
        </w:rPr>
        <w:t>谈判文件</w:t>
      </w:r>
    </w:p>
    <w:p>
      <w:pPr>
        <w:pStyle w:val="329"/>
        <w:rPr>
          <w:rFonts w:ascii="Times New Roman" w:hAnsi="Times New Roman"/>
        </w:rPr>
      </w:pPr>
      <w:r>
        <w:rPr>
          <w:rFonts w:ascii="Times New Roman" w:hAnsi="Times New Roman"/>
        </w:rPr>
        <w:t>公开招标失败项目转为竞争性谈判方式采购的，原招标文件转为谈判文件。</w:t>
      </w:r>
    </w:p>
    <w:p>
      <w:pPr>
        <w:pStyle w:val="328"/>
        <w:rPr>
          <w:rFonts w:ascii="Times New Roman" w:hAnsi="Times New Roman"/>
        </w:rPr>
      </w:pPr>
      <w:r>
        <w:rPr>
          <w:rFonts w:ascii="Times New Roman" w:hAnsi="Times New Roman"/>
        </w:rPr>
        <w:t>谈判小组</w:t>
      </w:r>
    </w:p>
    <w:p>
      <w:pPr>
        <w:pStyle w:val="329"/>
        <w:rPr>
          <w:rFonts w:ascii="Times New Roman" w:hAnsi="Times New Roman"/>
        </w:rPr>
      </w:pPr>
      <w:r>
        <w:rPr>
          <w:rFonts w:ascii="Times New Roman" w:hAnsi="Times New Roman"/>
        </w:rPr>
        <w:t>公开招标失败项目转为竞争性谈判方式采购后，评标委员会转为谈判小组；专家可重新抽取也可继续采用评标委员会内专家。</w:t>
      </w:r>
    </w:p>
    <w:p>
      <w:pPr>
        <w:pStyle w:val="329"/>
        <w:rPr>
          <w:rFonts w:ascii="Times New Roman" w:hAnsi="Times New Roman"/>
        </w:rPr>
      </w:pPr>
      <w:r>
        <w:rPr>
          <w:rFonts w:ascii="Times New Roman" w:hAnsi="Times New Roman"/>
        </w:rPr>
        <w:t>谈判前，谈判小组将对各供应商的谈判应答文件进行审查，当谈判应答文件出现下列情况之一的将视为无效，按投标无效处理，不得进入谈判，具体内容见原招标文件中“资格、符合性评审”部分以及谈判邀请中相应的变动部分。</w:t>
      </w:r>
    </w:p>
    <w:p>
      <w:pPr>
        <w:pStyle w:val="328"/>
        <w:rPr>
          <w:rFonts w:ascii="Times New Roman" w:hAnsi="Times New Roman"/>
        </w:rPr>
      </w:pPr>
      <w:r>
        <w:rPr>
          <w:rFonts w:ascii="Times New Roman" w:hAnsi="Times New Roman"/>
        </w:rPr>
        <w:t>谈判程序</w:t>
      </w:r>
    </w:p>
    <w:p>
      <w:pPr>
        <w:pStyle w:val="329"/>
        <w:rPr>
          <w:rFonts w:ascii="Times New Roman" w:hAnsi="Times New Roman"/>
        </w:rPr>
      </w:pPr>
      <w:r>
        <w:rPr>
          <w:rFonts w:ascii="Times New Roman" w:hAnsi="Times New Roman"/>
        </w:rPr>
        <w:t>参加谈判的供应商和谈判小组成员填写谈判登记表，并交验证明文件（法定代表人证明书、法人授权委托书、被授权的谈判代表身份证原件）。</w:t>
      </w:r>
    </w:p>
    <w:p>
      <w:pPr>
        <w:pStyle w:val="329"/>
        <w:rPr>
          <w:rFonts w:ascii="Times New Roman" w:hAnsi="Times New Roman"/>
        </w:rPr>
      </w:pPr>
      <w:r>
        <w:rPr>
          <w:rFonts w:ascii="Times New Roman" w:hAnsi="Times New Roman"/>
        </w:rPr>
        <w:t>谈判小组主持人宣布谈判规则和谈判纪律。</w:t>
      </w:r>
    </w:p>
    <w:p>
      <w:pPr>
        <w:pStyle w:val="329"/>
        <w:rPr>
          <w:rFonts w:ascii="Times New Roman" w:hAnsi="Times New Roman"/>
        </w:rPr>
      </w:pPr>
      <w:r>
        <w:rPr>
          <w:rFonts w:ascii="Times New Roman" w:hAnsi="Times New Roman"/>
        </w:rPr>
        <w:t>在谈判中，谈判小组将就以下谈判内容跟供应商进行谈判：</w:t>
      </w:r>
    </w:p>
    <w:p>
      <w:pPr>
        <w:pStyle w:val="305"/>
        <w:rPr>
          <w:rFonts w:ascii="Times New Roman" w:hAnsi="Times New Roman"/>
        </w:rPr>
      </w:pPr>
      <w:r>
        <w:rPr>
          <w:rFonts w:ascii="Times New Roman" w:hAnsi="Times New Roman"/>
        </w:rPr>
        <w:t>（1）项目方案；</w:t>
      </w:r>
    </w:p>
    <w:p>
      <w:pPr>
        <w:pStyle w:val="305"/>
        <w:rPr>
          <w:rFonts w:ascii="Times New Roman" w:hAnsi="Times New Roman"/>
        </w:rPr>
      </w:pPr>
      <w:r>
        <w:rPr>
          <w:rFonts w:ascii="Times New Roman" w:hAnsi="Times New Roman"/>
        </w:rPr>
        <w:t>（2）报价；</w:t>
      </w:r>
    </w:p>
    <w:p>
      <w:pPr>
        <w:pStyle w:val="305"/>
        <w:rPr>
          <w:rFonts w:ascii="Times New Roman" w:hAnsi="Times New Roman"/>
        </w:rPr>
      </w:pPr>
      <w:r>
        <w:rPr>
          <w:rFonts w:ascii="Times New Roman" w:hAnsi="Times New Roman"/>
        </w:rPr>
        <w:t>（3）其它相关事项。</w:t>
      </w:r>
    </w:p>
    <w:p>
      <w:pPr>
        <w:pStyle w:val="329"/>
        <w:rPr>
          <w:rFonts w:ascii="Times New Roman" w:hAnsi="Times New Roman"/>
        </w:rPr>
      </w:pPr>
      <w:r>
        <w:rPr>
          <w:rFonts w:ascii="Times New Roman" w:hAnsi="Times New Roman"/>
        </w:rPr>
        <w:t>原招标文件或谈判邀请文件有实质性变动的，谈判小组应当通过采购代理机构通知所有参加谈判的供应商。</w:t>
      </w:r>
    </w:p>
    <w:p>
      <w:pPr>
        <w:pStyle w:val="329"/>
        <w:rPr>
          <w:rFonts w:ascii="Times New Roman" w:hAnsi="Times New Roman"/>
        </w:rPr>
      </w:pPr>
      <w:r>
        <w:rPr>
          <w:rFonts w:ascii="Times New Roman" w:hAnsi="Times New Roman"/>
        </w:rPr>
        <w:t>谈判小组可以用书面形式要求各供应商对其谈判应答文件含义不明确的内容作必要的澄清或者说明，重要问题供应商应以书面形式进行澄清、说明。</w:t>
      </w:r>
    </w:p>
    <w:p>
      <w:pPr>
        <w:pStyle w:val="329"/>
        <w:rPr>
          <w:rFonts w:ascii="Times New Roman" w:hAnsi="Times New Roman"/>
        </w:rPr>
      </w:pPr>
      <w:r>
        <w:rPr>
          <w:rFonts w:ascii="Times New Roman" w:hAnsi="Times New Roman"/>
        </w:rPr>
        <w:t>允许供应商在谈判结束之前根据谈判小组提出的内容进行澄清、修改或完善，或对项目方案进行相应的调整。</w:t>
      </w:r>
    </w:p>
    <w:p>
      <w:pPr>
        <w:pStyle w:val="329"/>
        <w:rPr>
          <w:rFonts w:ascii="Times New Roman" w:hAnsi="Times New Roman"/>
        </w:rPr>
      </w:pPr>
      <w:r>
        <w:rPr>
          <w:rFonts w:ascii="Times New Roman" w:hAnsi="Times New Roman"/>
        </w:rPr>
        <w:t>供应商对谈判应答文件进行修改，都应形成文字材料，并经供应商谈判授权人签字认可。</w:t>
      </w:r>
    </w:p>
    <w:p>
      <w:pPr>
        <w:pStyle w:val="329"/>
        <w:rPr>
          <w:rFonts w:ascii="Times New Roman" w:hAnsi="Times New Roman"/>
        </w:rPr>
      </w:pPr>
      <w:r>
        <w:rPr>
          <w:rFonts w:ascii="Times New Roman" w:hAnsi="Times New Roman"/>
        </w:rPr>
        <w:t>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pPr>
        <w:pStyle w:val="329"/>
        <w:rPr>
          <w:rFonts w:ascii="Times New Roman" w:hAnsi="Times New Roman"/>
        </w:rPr>
      </w:pPr>
      <w:r>
        <w:rPr>
          <w:rFonts w:ascii="Times New Roman" w:hAnsi="Times New Roman"/>
        </w:rPr>
        <w:t>有下列情形之一的，该供应商的谈判结果按投标无效处理，具体内容见原招标文件中不符合“资格、符合性评审条款”部分以及谈判邀请中相应的变动部分。</w:t>
      </w:r>
    </w:p>
    <w:p>
      <w:pPr>
        <w:pStyle w:val="329"/>
        <w:rPr>
          <w:rFonts w:ascii="Times New Roman" w:hAnsi="Times New Roman"/>
        </w:rPr>
      </w:pPr>
      <w:r>
        <w:rPr>
          <w:rFonts w:ascii="Times New Roman" w:hAnsi="Times New Roman"/>
        </w:rPr>
        <w:t>谈判结束后，谈判小组根据供应商提供的谈判应答文件、谈判过程中产生的相关资料，对供应商谈判应答文件进行评估与比较，提出书面评审意见。</w:t>
      </w:r>
    </w:p>
    <w:p>
      <w:pPr>
        <w:pStyle w:val="329"/>
        <w:rPr>
          <w:rFonts w:ascii="Times New Roman" w:hAnsi="Times New Roman"/>
        </w:rPr>
      </w:pPr>
      <w:r>
        <w:rPr>
          <w:rFonts w:ascii="Times New Roman" w:hAnsi="Times New Roman"/>
        </w:rPr>
        <w:t>谈判小组将对谈判过程进行记录，以存档备查。</w:t>
      </w:r>
    </w:p>
    <w:p>
      <w:pPr>
        <w:pStyle w:val="328"/>
        <w:rPr>
          <w:rFonts w:ascii="Times New Roman" w:hAnsi="Times New Roman"/>
        </w:rPr>
      </w:pPr>
      <w:r>
        <w:rPr>
          <w:rFonts w:ascii="Times New Roman" w:hAnsi="Times New Roman"/>
        </w:rPr>
        <w:t>评标方法和定标原则</w:t>
      </w:r>
    </w:p>
    <w:p>
      <w:pPr>
        <w:pStyle w:val="329"/>
        <w:rPr>
          <w:rFonts w:ascii="Times New Roman" w:hAnsi="Times New Roman"/>
        </w:rPr>
      </w:pPr>
      <w:r>
        <w:rPr>
          <w:rFonts w:ascii="Times New Roman" w:hAnsi="Times New Roman"/>
        </w:rPr>
        <w:t>根据《政府采购非招标采购方式管理办法》（中华人民共和国财政部令第74号）、《财政部关于加强政府采购货物和服务项目价格评审管理的通知》（财库[2007]2号），竞争性谈判采购项目的评标方法要比照最低评标价法规定执行。如确因实际情况需要采用其他评标方法的，应报经同级政府采购监督管理部门批准。原招标文件若采用最低评标价法以外的评标方法，转为竞争性谈判后，评标方法应采用最低评标价法。</w:t>
      </w:r>
    </w:p>
    <w:p>
      <w:pPr>
        <w:pStyle w:val="329"/>
        <w:rPr>
          <w:rFonts w:ascii="Times New Roman" w:hAnsi="Times New Roman"/>
        </w:rPr>
      </w:pPr>
      <w:r>
        <w:rPr>
          <w:rFonts w:ascii="Times New Roman" w:hAnsi="Times New Roman"/>
        </w:rPr>
        <w:t>对公开招标失败转为竞争性谈判方式采购的项目，谈判小组对谈判应答文件进行评审和比较，综合各家供应商最终的方案、服务和投资等谈判结果并按本通用条款第37.1.1款的最低评标价法进行评审。</w:t>
      </w:r>
    </w:p>
    <w:p>
      <w:pPr>
        <w:pStyle w:val="329"/>
        <w:rPr>
          <w:rFonts w:ascii="Times New Roman" w:hAnsi="Times New Roman"/>
        </w:rPr>
      </w:pPr>
      <w:r>
        <w:rPr>
          <w:rFonts w:ascii="Times New Roman" w:hAnsi="Times New Roman"/>
        </w:rPr>
        <w:t>若要采用其他评标方法的，必须报经政府采购监督管理部门批准，谈判小组按批准的评标方法进行评审。谈判邀请文件中应注明批准的评标方法。</w:t>
      </w:r>
    </w:p>
    <w:p>
      <w:pPr>
        <w:pStyle w:val="329"/>
        <w:rPr>
          <w:rFonts w:ascii="Times New Roman" w:hAnsi="Times New Roman"/>
        </w:rPr>
      </w:pPr>
      <w:r>
        <w:rPr>
          <w:rFonts w:ascii="Times New Roman" w:hAnsi="Times New Roman"/>
        </w:rPr>
        <w:t>谈判小组向采购代理机构提交书面评标报告，并推荐候选中标供应商或确定中标人。</w:t>
      </w:r>
    </w:p>
    <w:p>
      <w:pPr>
        <w:pStyle w:val="326"/>
        <w:shd w:val="clear" w:color="auto" w:fill="auto"/>
        <w:ind w:firstLine="482"/>
        <w:rPr>
          <w:rFonts w:ascii="Times New Roman" w:hAnsi="Times New Roman" w:cs="Times New Roman"/>
        </w:rPr>
      </w:pPr>
      <w:r>
        <w:rPr>
          <w:rFonts w:ascii="Times New Roman" w:hAnsi="Times New Roman" w:cs="Times New Roman"/>
        </w:rPr>
        <w:t>公开招标失败项目转为单一来源谈判方式采购</w:t>
      </w:r>
    </w:p>
    <w:p>
      <w:pPr>
        <w:pStyle w:val="328"/>
        <w:rPr>
          <w:rFonts w:ascii="Times New Roman" w:hAnsi="Times New Roman"/>
        </w:rPr>
      </w:pPr>
      <w:r>
        <w:rPr>
          <w:rFonts w:ascii="Times New Roman" w:hAnsi="Times New Roman"/>
        </w:rPr>
        <w:t>谈判文件</w:t>
      </w:r>
    </w:p>
    <w:p>
      <w:pPr>
        <w:pStyle w:val="329"/>
        <w:rPr>
          <w:rFonts w:ascii="Times New Roman" w:hAnsi="Times New Roman"/>
        </w:rPr>
      </w:pPr>
      <w:r>
        <w:rPr>
          <w:rFonts w:ascii="Times New Roman" w:hAnsi="Times New Roman"/>
        </w:rPr>
        <w:t>公开招标失败项目转为单一来源谈判方式采购的，原招标文件转为谈判文件。</w:t>
      </w:r>
    </w:p>
    <w:p>
      <w:pPr>
        <w:pStyle w:val="328"/>
        <w:rPr>
          <w:rFonts w:ascii="Times New Roman" w:hAnsi="Times New Roman"/>
        </w:rPr>
      </w:pPr>
      <w:r>
        <w:rPr>
          <w:rFonts w:ascii="Times New Roman" w:hAnsi="Times New Roman"/>
        </w:rPr>
        <w:t>谈判小组</w:t>
      </w:r>
    </w:p>
    <w:p>
      <w:pPr>
        <w:pStyle w:val="329"/>
        <w:rPr>
          <w:rFonts w:ascii="Times New Roman" w:hAnsi="Times New Roman"/>
        </w:rPr>
      </w:pPr>
      <w:r>
        <w:rPr>
          <w:rFonts w:ascii="Times New Roman" w:hAnsi="Times New Roman"/>
        </w:rPr>
        <w:t>公开招标失败项目转为单一来源谈判方式采购后，评标委员会转为谈判小组，专家可重新抽取也可继续采用评标委员会内专家。</w:t>
      </w:r>
    </w:p>
    <w:p>
      <w:pPr>
        <w:pStyle w:val="329"/>
        <w:rPr>
          <w:rFonts w:ascii="Times New Roman" w:hAnsi="Times New Roman"/>
        </w:rPr>
      </w:pPr>
      <w:r>
        <w:rPr>
          <w:rFonts w:ascii="Times New Roman" w:hAnsi="Times New Roman"/>
        </w:rPr>
        <w:t>谈判前，谈判小组将对单一来源供应商的谈判应答文件进行审查，当谈判应答文件出现下列情况之一的将视为无效，按投标无效处理，不得进入谈判，具体内容见原招标文件中“资格、符合性评审条款”部分以及谈判邀请中相应的变动部分。</w:t>
      </w:r>
    </w:p>
    <w:p>
      <w:pPr>
        <w:pStyle w:val="328"/>
        <w:rPr>
          <w:rFonts w:ascii="Times New Roman" w:hAnsi="Times New Roman"/>
        </w:rPr>
      </w:pPr>
      <w:r>
        <w:rPr>
          <w:rFonts w:ascii="Times New Roman" w:hAnsi="Times New Roman"/>
        </w:rPr>
        <w:t>谈判程序</w:t>
      </w:r>
    </w:p>
    <w:p>
      <w:pPr>
        <w:pStyle w:val="329"/>
        <w:rPr>
          <w:rFonts w:ascii="Times New Roman" w:hAnsi="Times New Roman"/>
        </w:rPr>
      </w:pPr>
      <w:r>
        <w:rPr>
          <w:rFonts w:ascii="Times New Roman" w:hAnsi="Times New Roman"/>
        </w:rPr>
        <w:t>参加谈判的供应商和谈判小组成员填写谈判登记表，并交验证明文件（法定代表人证明书、法人授权委托书、被授权的谈判代表身份证原件）。</w:t>
      </w:r>
    </w:p>
    <w:p>
      <w:pPr>
        <w:pStyle w:val="329"/>
        <w:rPr>
          <w:rFonts w:ascii="Times New Roman" w:hAnsi="Times New Roman"/>
        </w:rPr>
      </w:pPr>
      <w:r>
        <w:rPr>
          <w:rFonts w:ascii="Times New Roman" w:hAnsi="Times New Roman"/>
        </w:rPr>
        <w:t>谈判小组主持人宣布谈判规则和谈判纪律。</w:t>
      </w:r>
    </w:p>
    <w:p>
      <w:pPr>
        <w:pStyle w:val="329"/>
        <w:rPr>
          <w:rFonts w:ascii="Times New Roman" w:hAnsi="Times New Roman"/>
        </w:rPr>
      </w:pPr>
      <w:r>
        <w:rPr>
          <w:rFonts w:ascii="Times New Roman" w:hAnsi="Times New Roman"/>
        </w:rPr>
        <w:t>在谈判中，谈判小组将就以下谈判内容跟供应商进行谈判：</w:t>
      </w:r>
    </w:p>
    <w:p>
      <w:pPr>
        <w:pStyle w:val="305"/>
        <w:rPr>
          <w:rFonts w:ascii="Times New Roman" w:hAnsi="Times New Roman"/>
        </w:rPr>
      </w:pPr>
      <w:r>
        <w:rPr>
          <w:rFonts w:ascii="Times New Roman" w:hAnsi="Times New Roman"/>
        </w:rPr>
        <w:t>（1）项目方案；</w:t>
      </w:r>
    </w:p>
    <w:p>
      <w:pPr>
        <w:pStyle w:val="305"/>
        <w:rPr>
          <w:rFonts w:ascii="Times New Roman" w:hAnsi="Times New Roman"/>
        </w:rPr>
      </w:pPr>
      <w:r>
        <w:rPr>
          <w:rFonts w:ascii="Times New Roman" w:hAnsi="Times New Roman"/>
        </w:rPr>
        <w:t>（2）报价；</w:t>
      </w:r>
    </w:p>
    <w:p>
      <w:pPr>
        <w:pStyle w:val="305"/>
        <w:rPr>
          <w:rFonts w:ascii="Times New Roman" w:hAnsi="Times New Roman"/>
        </w:rPr>
      </w:pPr>
      <w:r>
        <w:rPr>
          <w:rFonts w:ascii="Times New Roman" w:hAnsi="Times New Roman"/>
        </w:rPr>
        <w:t>（3）其它相关事项。</w:t>
      </w:r>
    </w:p>
    <w:p>
      <w:pPr>
        <w:pStyle w:val="329"/>
        <w:rPr>
          <w:rFonts w:ascii="Times New Roman" w:hAnsi="Times New Roman"/>
        </w:rPr>
      </w:pPr>
      <w:r>
        <w:rPr>
          <w:rFonts w:ascii="Times New Roman" w:hAnsi="Times New Roman"/>
        </w:rPr>
        <w:t>原招标文件或谈判邀请文件有实质性变动的，谈判小组应当通过采购代理机构通知供应商。</w:t>
      </w:r>
    </w:p>
    <w:p>
      <w:pPr>
        <w:pStyle w:val="329"/>
        <w:rPr>
          <w:rFonts w:ascii="Times New Roman" w:hAnsi="Times New Roman"/>
        </w:rPr>
      </w:pPr>
      <w:r>
        <w:rPr>
          <w:rFonts w:ascii="Times New Roman" w:hAnsi="Times New Roman"/>
        </w:rPr>
        <w:t>谈判小组可以用书面形式要求供应商对其谈判应答文件含义不明确的内容作必要的澄清或者说明，重要问题供应商应以书面形式进行澄清、说明。</w:t>
      </w:r>
    </w:p>
    <w:p>
      <w:pPr>
        <w:pStyle w:val="329"/>
        <w:rPr>
          <w:rFonts w:ascii="Times New Roman" w:hAnsi="Times New Roman"/>
        </w:rPr>
      </w:pPr>
      <w:r>
        <w:rPr>
          <w:rFonts w:ascii="Times New Roman" w:hAnsi="Times New Roman"/>
        </w:rPr>
        <w:t>允许供应商在谈判结束之前根据谈判小组提出的内容进行澄清、修改或完善，或对项目方案进行相应的调整。</w:t>
      </w:r>
    </w:p>
    <w:p>
      <w:pPr>
        <w:pStyle w:val="329"/>
        <w:rPr>
          <w:rFonts w:ascii="Times New Roman" w:hAnsi="Times New Roman"/>
        </w:rPr>
      </w:pPr>
      <w:r>
        <w:rPr>
          <w:rFonts w:ascii="Times New Roman" w:hAnsi="Times New Roman"/>
        </w:rPr>
        <w:t>供应商对谈判应答文件进行修改，都应形成文字材料，并经供应商谈判授权人签字认可。</w:t>
      </w:r>
    </w:p>
    <w:p>
      <w:pPr>
        <w:pStyle w:val="329"/>
        <w:rPr>
          <w:rFonts w:ascii="Times New Roman" w:hAnsi="Times New Roman"/>
        </w:rPr>
      </w:pPr>
      <w:r>
        <w:rPr>
          <w:rFonts w:ascii="Times New Roman" w:hAnsi="Times New Roman"/>
        </w:rPr>
        <w:t>谈判小组与单一来源供应商进行谈判。供应商有两次更改机会；供应商应在规定的时间内提出最后更改及书面承诺。</w:t>
      </w:r>
    </w:p>
    <w:p>
      <w:pPr>
        <w:pStyle w:val="329"/>
        <w:rPr>
          <w:rFonts w:ascii="Times New Roman" w:hAnsi="Times New Roman"/>
        </w:rPr>
      </w:pPr>
      <w:r>
        <w:rPr>
          <w:rFonts w:ascii="Times New Roman" w:hAnsi="Times New Roman"/>
        </w:rPr>
        <w:t>有下列情形之一的，供应商的谈判结果作投标无效处理，具体内容见原招标文件中不符合“资格、符合性评审条款”部分以及谈判邀请中相应的变动部分。</w:t>
      </w:r>
    </w:p>
    <w:p>
      <w:pPr>
        <w:pStyle w:val="329"/>
        <w:rPr>
          <w:rFonts w:ascii="Times New Roman" w:hAnsi="Times New Roman"/>
        </w:rPr>
      </w:pPr>
      <w:r>
        <w:rPr>
          <w:rFonts w:ascii="Times New Roman" w:hAnsi="Times New Roman"/>
        </w:rPr>
        <w:t>谈判结束后，谈判小组根据供应商提供的谈判应答文件、谈判过程中产生的相关资料，对供应商谈判应答文件进行评估与比较，提出书面评审意见。</w:t>
      </w:r>
    </w:p>
    <w:p>
      <w:pPr>
        <w:pStyle w:val="329"/>
        <w:rPr>
          <w:rFonts w:ascii="Times New Roman" w:hAnsi="Times New Roman"/>
        </w:rPr>
      </w:pPr>
      <w:r>
        <w:rPr>
          <w:rFonts w:ascii="Times New Roman" w:hAnsi="Times New Roman"/>
        </w:rPr>
        <w:t>谈判小组将对谈判过程进行记录，以存档备查。</w:t>
      </w:r>
    </w:p>
    <w:p>
      <w:pPr>
        <w:pStyle w:val="328"/>
        <w:rPr>
          <w:rFonts w:ascii="Times New Roman" w:hAnsi="Times New Roman"/>
        </w:rPr>
      </w:pPr>
      <w:r>
        <w:rPr>
          <w:rFonts w:ascii="Times New Roman" w:hAnsi="Times New Roman"/>
        </w:rPr>
        <w:t>45.4评标方法和定标原则</w:t>
      </w:r>
    </w:p>
    <w:p>
      <w:pPr>
        <w:pStyle w:val="329"/>
        <w:rPr>
          <w:rFonts w:ascii="Times New Roman" w:hAnsi="Times New Roman"/>
        </w:rPr>
      </w:pPr>
      <w:r>
        <w:rPr>
          <w:rFonts w:ascii="Times New Roman" w:hAnsi="Times New Roman"/>
        </w:rPr>
        <w:t>单一来源谈判采用最低评标价法。原招标文件若采用最低评标价法以外的评标方法，转为单一来源谈判后，评标方法改为最低评标价法。谈判小组对谈判应答文件进行评审和比较，对供应商最终的方案、服务和投资等谈判结果按本通用条款第37.1.1的最低评标价法进行评审。</w:t>
      </w:r>
    </w:p>
    <w:p>
      <w:pPr>
        <w:pStyle w:val="329"/>
        <w:rPr>
          <w:rFonts w:ascii="Times New Roman" w:hAnsi="Times New Roman"/>
        </w:rPr>
      </w:pPr>
      <w:r>
        <w:rPr>
          <w:rFonts w:ascii="Times New Roman" w:hAnsi="Times New Roman"/>
        </w:rPr>
        <w:t>谈判小组向采购代理机构提交书面评标报告，并推荐候选中标供应商或确定中标人。</w:t>
      </w:r>
    </w:p>
    <w:p>
      <w:pPr>
        <w:pStyle w:val="309"/>
        <w:shd w:val="clear" w:color="auto" w:fill="auto"/>
        <w:ind w:firstLine="562"/>
        <w:rPr>
          <w:rFonts w:ascii="Times New Roman" w:hAnsi="Times New Roman"/>
        </w:rPr>
      </w:pPr>
      <w:bookmarkStart w:id="58" w:name="_Toc169101023"/>
      <w:bookmarkStart w:id="59" w:name="_Toc41557717"/>
      <w:r>
        <w:rPr>
          <w:rFonts w:ascii="Times New Roman" w:hAnsi="Times New Roman"/>
        </w:rPr>
        <w:t>第九章 合同的授予与备案</w:t>
      </w:r>
      <w:bookmarkEnd w:id="58"/>
      <w:bookmarkEnd w:id="59"/>
    </w:p>
    <w:p>
      <w:pPr>
        <w:pStyle w:val="326"/>
        <w:shd w:val="clear" w:color="auto" w:fill="auto"/>
        <w:ind w:firstLine="482"/>
        <w:rPr>
          <w:rFonts w:ascii="Times New Roman" w:hAnsi="Times New Roman" w:cs="Times New Roman"/>
        </w:rPr>
      </w:pPr>
      <w:r>
        <w:rPr>
          <w:rFonts w:ascii="Times New Roman" w:hAnsi="Times New Roman" w:cs="Times New Roman"/>
        </w:rPr>
        <w:t>履约担保</w:t>
      </w:r>
    </w:p>
    <w:p>
      <w:pPr>
        <w:pStyle w:val="328"/>
        <w:rPr>
          <w:rFonts w:ascii="Times New Roman" w:hAnsi="Times New Roman"/>
        </w:rPr>
      </w:pPr>
      <w:r>
        <w:rPr>
          <w:rFonts w:ascii="Times New Roman" w:hAnsi="Times New Roman"/>
        </w:rPr>
        <w:t>本项目履约担保的相关要求：详见“投标须知前附表”。</w:t>
      </w:r>
    </w:p>
    <w:p>
      <w:pPr>
        <w:pStyle w:val="328"/>
        <w:rPr>
          <w:rFonts w:ascii="Times New Roman" w:hAnsi="Times New Roman"/>
        </w:rPr>
      </w:pPr>
      <w:r>
        <w:rPr>
          <w:rFonts w:ascii="Times New Roman" w:hAnsi="Times New Roman"/>
        </w:rPr>
        <w:t>在签订合同前，中标人应按规定向采购人提交履约担保，采用履约保函形式的可参照使用本招标文件提供的格式。</w:t>
      </w:r>
    </w:p>
    <w:p>
      <w:pPr>
        <w:pStyle w:val="328"/>
        <w:rPr>
          <w:rFonts w:ascii="Times New Roman" w:hAnsi="Times New Roman"/>
        </w:rPr>
      </w:pPr>
      <w:r>
        <w:rPr>
          <w:rFonts w:ascii="Times New Roman" w:hAnsi="Times New Roman"/>
        </w:rPr>
        <w:t>联合体中标的，其履约担保由联合体牵头人提交，并应符合本节第42.1条、第45.2条的规定。</w:t>
      </w:r>
    </w:p>
    <w:p>
      <w:pPr>
        <w:pStyle w:val="328"/>
        <w:rPr>
          <w:rFonts w:ascii="Times New Roman" w:hAnsi="Times New Roman"/>
        </w:rPr>
      </w:pPr>
      <w:r>
        <w:rPr>
          <w:rFonts w:ascii="Times New Roman" w:hAnsi="Times New Roman"/>
        </w:rPr>
        <w:t>如果中标人拒不提交本节第42.1条、第42.2条要求的履约担保的，采购人可取消其中标资格，并没收其投标担保。</w:t>
      </w:r>
    </w:p>
    <w:p>
      <w:pPr>
        <w:pStyle w:val="326"/>
        <w:shd w:val="clear" w:color="auto" w:fill="auto"/>
        <w:ind w:firstLine="482"/>
        <w:rPr>
          <w:rFonts w:ascii="Times New Roman" w:hAnsi="Times New Roman" w:cs="Times New Roman"/>
        </w:rPr>
      </w:pPr>
      <w:r>
        <w:rPr>
          <w:rFonts w:ascii="Times New Roman" w:hAnsi="Times New Roman" w:cs="Times New Roman"/>
        </w:rPr>
        <w:t>签订合同</w:t>
      </w:r>
    </w:p>
    <w:p>
      <w:pPr>
        <w:pStyle w:val="328"/>
        <w:rPr>
          <w:rFonts w:ascii="Times New Roman" w:hAnsi="Times New Roman"/>
        </w:rPr>
      </w:pPr>
      <w:r>
        <w:rPr>
          <w:rFonts w:ascii="Times New Roman" w:hAnsi="Times New Roman"/>
        </w:rPr>
        <w:t>采购人和中标人应当按“投标须知前附表”的规定，依据招标文件和中标人的投标文件订立书面合同。</w:t>
      </w:r>
    </w:p>
    <w:p>
      <w:pPr>
        <w:pStyle w:val="328"/>
        <w:rPr>
          <w:rFonts w:ascii="Times New Roman" w:hAnsi="Times New Roman"/>
        </w:rPr>
      </w:pPr>
      <w:r>
        <w:rPr>
          <w:rFonts w:ascii="Times New Roman" w:hAnsi="Times New Roman"/>
        </w:rPr>
        <w:t>中标人无正当理由拒签合同的，或者在签订合同时向采购人提出附加条件或者更改合同实质性内容的，采购人可取消其中标资格，并没收其投标担保；给采购人的损失超过其投标担保数额的，中标人应当对超过部分予以赔偿。</w:t>
      </w:r>
    </w:p>
    <w:p>
      <w:pPr>
        <w:pStyle w:val="309"/>
        <w:shd w:val="clear" w:color="auto" w:fill="auto"/>
        <w:ind w:firstLine="562"/>
        <w:rPr>
          <w:rFonts w:ascii="Times New Roman" w:hAnsi="Times New Roman"/>
        </w:rPr>
      </w:pPr>
      <w:bookmarkStart w:id="60" w:name="_Toc169101024"/>
      <w:bookmarkStart w:id="61" w:name="_Toc41557718"/>
      <w:r>
        <w:rPr>
          <w:rFonts w:ascii="Times New Roman" w:hAnsi="Times New Roman"/>
        </w:rPr>
        <w:t>第十章 质疑受理</w:t>
      </w:r>
      <w:bookmarkEnd w:id="60"/>
      <w:bookmarkEnd w:id="61"/>
    </w:p>
    <w:p>
      <w:pPr>
        <w:pStyle w:val="326"/>
        <w:shd w:val="clear" w:color="auto" w:fill="auto"/>
        <w:ind w:firstLine="482"/>
        <w:rPr>
          <w:rFonts w:ascii="Times New Roman" w:hAnsi="Times New Roman" w:cs="Times New Roman"/>
        </w:rPr>
      </w:pPr>
      <w:r>
        <w:rPr>
          <w:rFonts w:ascii="Times New Roman" w:hAnsi="Times New Roman" w:cs="Times New Roman"/>
        </w:rPr>
        <w:t>质疑受理机构</w:t>
      </w:r>
    </w:p>
    <w:p>
      <w:pPr>
        <w:pStyle w:val="328"/>
        <w:rPr>
          <w:rFonts w:ascii="Times New Roman" w:hAnsi="Times New Roman"/>
        </w:rPr>
      </w:pPr>
      <w:r>
        <w:rPr>
          <w:rFonts w:ascii="Times New Roman" w:hAnsi="Times New Roman"/>
        </w:rPr>
        <w:t>采购代理机构及采购人负责受理和答复质疑。</w:t>
      </w:r>
    </w:p>
    <w:p>
      <w:pPr>
        <w:pStyle w:val="326"/>
        <w:shd w:val="clear" w:color="auto" w:fill="auto"/>
        <w:ind w:firstLine="482"/>
        <w:rPr>
          <w:rFonts w:ascii="Times New Roman" w:hAnsi="Times New Roman" w:cs="Times New Roman"/>
        </w:rPr>
      </w:pPr>
      <w:r>
        <w:rPr>
          <w:rFonts w:ascii="Times New Roman" w:hAnsi="Times New Roman" w:cs="Times New Roman"/>
        </w:rPr>
        <w:t>质疑处理原则</w:t>
      </w:r>
    </w:p>
    <w:p>
      <w:pPr>
        <w:pStyle w:val="328"/>
        <w:rPr>
          <w:rFonts w:ascii="Times New Roman" w:hAnsi="Times New Roman"/>
        </w:rPr>
      </w:pPr>
      <w:r>
        <w:rPr>
          <w:rFonts w:ascii="Times New Roman" w:hAnsi="Times New Roman"/>
        </w:rPr>
        <w:t>质疑处理遵循公平、公正、规范、高效的原则。</w:t>
      </w:r>
    </w:p>
    <w:p>
      <w:pPr>
        <w:pStyle w:val="328"/>
        <w:rPr>
          <w:rFonts w:ascii="Times New Roman" w:hAnsi="Times New Roman"/>
        </w:rPr>
      </w:pPr>
      <w:r>
        <w:rPr>
          <w:rFonts w:ascii="Times New Roman" w:hAnsi="Times New Roman"/>
        </w:rPr>
        <w:t>供应商质疑实行实名制和“谁质疑，谁举证”的原则，质疑应有具体的事项及事实根据。</w:t>
      </w:r>
    </w:p>
    <w:p>
      <w:pPr>
        <w:pStyle w:val="326"/>
        <w:shd w:val="clear" w:color="auto" w:fill="auto"/>
        <w:ind w:firstLine="482"/>
        <w:rPr>
          <w:rFonts w:ascii="Times New Roman" w:hAnsi="Times New Roman" w:cs="Times New Roman"/>
        </w:rPr>
      </w:pPr>
      <w:r>
        <w:rPr>
          <w:rFonts w:ascii="Times New Roman" w:hAnsi="Times New Roman" w:cs="Times New Roman"/>
        </w:rPr>
        <w:t>质疑受理的时效和范围</w:t>
      </w:r>
    </w:p>
    <w:p>
      <w:pPr>
        <w:pStyle w:val="328"/>
        <w:rPr>
          <w:rFonts w:ascii="Times New Roman" w:hAnsi="Times New Roman"/>
        </w:rPr>
      </w:pPr>
      <w:r>
        <w:rPr>
          <w:rFonts w:ascii="Times New Roman" w:hAnsi="Times New Roman"/>
        </w:rPr>
        <w:t>供应商认为采购文件、采购过程和中标、成交结果使自己权益受到损害的，可以在知道或者应知其权益受到损害之日起七个工作日内，以书面形式向采购代理机构提出质疑。</w:t>
      </w:r>
    </w:p>
    <w:p>
      <w:pPr>
        <w:pStyle w:val="328"/>
        <w:rPr>
          <w:rFonts w:ascii="Times New Roman" w:hAnsi="Times New Roman"/>
        </w:rPr>
      </w:pPr>
      <w:r>
        <w:rPr>
          <w:rFonts w:ascii="Times New Roman" w:hAnsi="Times New Roman"/>
        </w:rPr>
        <w:t>供应商对采购文件有疑问的，采购代理机构及采购人按答疑程序处理；供应商对采购文件有异议的，按质疑程序处理。</w:t>
      </w:r>
    </w:p>
    <w:p>
      <w:pPr>
        <w:pStyle w:val="326"/>
        <w:shd w:val="clear" w:color="auto" w:fill="auto"/>
        <w:ind w:firstLine="482"/>
        <w:rPr>
          <w:rFonts w:ascii="Times New Roman" w:hAnsi="Times New Roman" w:cs="Times New Roman"/>
        </w:rPr>
      </w:pPr>
      <w:r>
        <w:rPr>
          <w:rFonts w:ascii="Times New Roman" w:hAnsi="Times New Roman" w:cs="Times New Roman"/>
        </w:rPr>
        <w:t>质疑条件</w:t>
      </w:r>
    </w:p>
    <w:p>
      <w:pPr>
        <w:pStyle w:val="328"/>
        <w:rPr>
          <w:rFonts w:ascii="Times New Roman" w:hAnsi="Times New Roman"/>
        </w:rPr>
      </w:pPr>
      <w:r>
        <w:rPr>
          <w:rFonts w:ascii="Times New Roman" w:hAnsi="Times New Roman"/>
        </w:rPr>
        <w:t>提出质疑的应是直接参与相应采购项目的供应商。以联合体形式参与的，由联合体共同提出；</w:t>
      </w:r>
    </w:p>
    <w:p>
      <w:pPr>
        <w:pStyle w:val="328"/>
        <w:rPr>
          <w:rFonts w:ascii="Times New Roman" w:hAnsi="Times New Roman"/>
        </w:rPr>
      </w:pPr>
      <w:r>
        <w:rPr>
          <w:rFonts w:ascii="Times New Roman" w:hAnsi="Times New Roman"/>
        </w:rPr>
        <w:t>提供质疑的项目名称和编号、质疑供应商的单位名称、详细地址、邮政编码、联系人及联系电话等基本情况；</w:t>
      </w:r>
    </w:p>
    <w:p>
      <w:pPr>
        <w:pStyle w:val="328"/>
        <w:rPr>
          <w:rFonts w:ascii="Times New Roman" w:hAnsi="Times New Roman"/>
        </w:rPr>
      </w:pPr>
      <w:r>
        <w:rPr>
          <w:rFonts w:ascii="Times New Roman" w:hAnsi="Times New Roman"/>
        </w:rPr>
        <w:t>有质疑的具体事项、请求及理由，并附相关证据材料；</w:t>
      </w:r>
    </w:p>
    <w:p>
      <w:pPr>
        <w:pStyle w:val="328"/>
        <w:rPr>
          <w:rFonts w:ascii="Times New Roman" w:hAnsi="Times New Roman"/>
        </w:rPr>
      </w:pPr>
      <w:r>
        <w:rPr>
          <w:rFonts w:ascii="Times New Roman" w:hAnsi="Times New Roman"/>
        </w:rPr>
        <w:t>质疑书加盖公章，被授权人进行质疑的同时提交法人授权委托书；</w:t>
      </w:r>
    </w:p>
    <w:p>
      <w:pPr>
        <w:pStyle w:val="328"/>
        <w:rPr>
          <w:rFonts w:ascii="Times New Roman" w:hAnsi="Times New Roman"/>
        </w:rPr>
      </w:pPr>
      <w:r>
        <w:rPr>
          <w:rFonts w:ascii="Times New Roman" w:hAnsi="Times New Roman"/>
        </w:rPr>
        <w:t>质疑材料中有外文资料的，应一并附上中文译本，并以中文译本为准。</w:t>
      </w:r>
    </w:p>
    <w:p>
      <w:pPr>
        <w:pStyle w:val="328"/>
        <w:rPr>
          <w:rFonts w:ascii="Times New Roman" w:hAnsi="Times New Roman"/>
        </w:rPr>
      </w:pPr>
      <w:r>
        <w:rPr>
          <w:rFonts w:ascii="Times New Roman" w:hAnsi="Times New Roman"/>
        </w:rPr>
        <w:t>质疑不得超过质疑受理的时效和范围。</w:t>
      </w:r>
    </w:p>
    <w:p>
      <w:pPr>
        <w:pStyle w:val="328"/>
        <w:rPr>
          <w:rFonts w:ascii="Times New Roman" w:hAnsi="Times New Roman"/>
        </w:rPr>
      </w:pPr>
      <w:r>
        <w:rPr>
          <w:rFonts w:ascii="Times New Roman" w:hAnsi="Times New Roman"/>
        </w:rPr>
        <w:t>不符合上述条件的，我采购代理机构不予受理。</w:t>
      </w:r>
    </w:p>
    <w:p>
      <w:pPr>
        <w:pStyle w:val="326"/>
        <w:shd w:val="clear" w:color="auto" w:fill="auto"/>
        <w:ind w:firstLine="482"/>
        <w:rPr>
          <w:rFonts w:ascii="Times New Roman" w:hAnsi="Times New Roman" w:cs="Times New Roman"/>
        </w:rPr>
      </w:pPr>
      <w:r>
        <w:rPr>
          <w:rFonts w:ascii="Times New Roman" w:hAnsi="Times New Roman" w:cs="Times New Roman"/>
        </w:rPr>
        <w:t>受理质疑办理程序</w:t>
      </w:r>
    </w:p>
    <w:p>
      <w:pPr>
        <w:pStyle w:val="328"/>
        <w:rPr>
          <w:rFonts w:ascii="Times New Roman" w:hAnsi="Times New Roman"/>
        </w:rPr>
      </w:pPr>
      <w:r>
        <w:rPr>
          <w:rFonts w:ascii="Times New Roman" w:hAnsi="Times New Roman"/>
        </w:rPr>
        <w:t>先与质疑供应商进行沟通，以消除因误解或对采购规则和程序的不了解而引起的质疑。对沟通情况满意的，供应商撤回质疑，质疑处理程序终止。</w:t>
      </w:r>
    </w:p>
    <w:p>
      <w:pPr>
        <w:pStyle w:val="328"/>
        <w:rPr>
          <w:rFonts w:ascii="Times New Roman" w:hAnsi="Times New Roman"/>
        </w:rPr>
      </w:pPr>
      <w:r>
        <w:rPr>
          <w:rFonts w:ascii="Times New Roman" w:hAnsi="Times New Roman"/>
        </w:rPr>
        <w:t>处理质疑一般进行书面审查；必要时听取各方当事人的陈述和申辩、进行相关调查；组织原评标委员会或谈判小组进行复议。</w:t>
      </w:r>
    </w:p>
    <w:p>
      <w:pPr>
        <w:pStyle w:val="328"/>
        <w:rPr>
          <w:rFonts w:ascii="Times New Roman" w:hAnsi="Times New Roman"/>
        </w:rPr>
      </w:pPr>
      <w:r>
        <w:rPr>
          <w:rFonts w:ascii="Times New Roman" w:hAnsi="Times New Roman"/>
        </w:rPr>
        <w:t>在质疑处理期间，采购代理机构视情形决定暂停采购活动。</w:t>
      </w:r>
    </w:p>
    <w:p>
      <w:pPr>
        <w:pStyle w:val="328"/>
        <w:rPr>
          <w:rFonts w:ascii="Times New Roman" w:hAnsi="Times New Roman"/>
        </w:rPr>
      </w:pPr>
      <w:r>
        <w:rPr>
          <w:rFonts w:ascii="Times New Roman" w:hAnsi="Times New Roman"/>
        </w:rPr>
        <w:t>采购代理机构原则上在质疑受理之日起十个工作日内书面答复质疑供应商。答复函以直接领取、传真或邮寄方式送达。</w:t>
      </w:r>
    </w:p>
    <w:p>
      <w:pPr>
        <w:pStyle w:val="328"/>
        <w:rPr>
          <w:rFonts w:ascii="Times New Roman" w:hAnsi="Times New Roman"/>
        </w:rPr>
      </w:pPr>
      <w:r>
        <w:rPr>
          <w:rFonts w:ascii="Times New Roman" w:hAnsi="Times New Roman"/>
        </w:rPr>
        <w:t>供应商向采购代理机构提出质疑后，在质疑处理期限内，不得同时向其他方面提起同一质疑。质疑供应商如已就同一事项提起投诉、提请行政复议或诉讼的，质疑程序终止。</w:t>
      </w:r>
    </w:p>
    <w:p>
      <w:pPr>
        <w:pStyle w:val="326"/>
        <w:shd w:val="clear" w:color="auto" w:fill="auto"/>
        <w:ind w:firstLine="482"/>
        <w:rPr>
          <w:rFonts w:ascii="Times New Roman" w:hAnsi="Times New Roman" w:cs="Times New Roman"/>
        </w:rPr>
      </w:pPr>
      <w:r>
        <w:rPr>
          <w:rFonts w:ascii="Times New Roman" w:hAnsi="Times New Roman" w:cs="Times New Roman"/>
        </w:rPr>
        <w:t>相关责任与义务</w:t>
      </w:r>
    </w:p>
    <w:p>
      <w:pPr>
        <w:pStyle w:val="328"/>
        <w:rPr>
          <w:rFonts w:ascii="Times New Roman" w:hAnsi="Times New Roman"/>
        </w:rPr>
      </w:pPr>
      <w:r>
        <w:rPr>
          <w:rFonts w:ascii="Times New Roman" w:hAnsi="Times New Roman"/>
        </w:rPr>
        <w:t>采购单位、评标专家和相关供应商等当事人应积极配合采购代理机构进行质疑调查，如实反映情况，及时提供证明材料。</w:t>
      </w:r>
    </w:p>
    <w:p>
      <w:pPr>
        <w:pStyle w:val="328"/>
        <w:rPr>
          <w:rFonts w:ascii="Times New Roman" w:hAnsi="Times New Roman"/>
        </w:rPr>
      </w:pPr>
      <w:r>
        <w:rPr>
          <w:rFonts w:ascii="Times New Roman" w:hAnsi="Times New Roman"/>
        </w:rPr>
        <w:t>质疑供应商有下列情形之一的，属于虚假、恶意质疑，采购代理机构将有权力将质疑供应商虚假、恶意质疑的行为上报政府采购监督管理部门，并视情节提请政府采购监督管理部门给予一定年限内禁止参与政府采购活动资格或其他处罚：</w:t>
      </w:r>
    </w:p>
    <w:p>
      <w:pPr>
        <w:pStyle w:val="329"/>
        <w:rPr>
          <w:rFonts w:ascii="Times New Roman" w:hAnsi="Times New Roman"/>
        </w:rPr>
      </w:pPr>
      <w:r>
        <w:rPr>
          <w:rFonts w:ascii="Times New Roman" w:hAnsi="Times New Roman"/>
        </w:rPr>
        <w:t>捏造事实或提供虚假证明材料的；</w:t>
      </w:r>
    </w:p>
    <w:p>
      <w:pPr>
        <w:pStyle w:val="329"/>
        <w:rPr>
          <w:rFonts w:ascii="Times New Roman" w:hAnsi="Times New Roman"/>
        </w:rPr>
      </w:pPr>
      <w:r>
        <w:rPr>
          <w:rFonts w:ascii="Times New Roman" w:hAnsi="Times New Roman"/>
        </w:rPr>
        <w:t>假冒他人名义进行质疑的；</w:t>
      </w:r>
    </w:p>
    <w:p>
      <w:pPr>
        <w:pStyle w:val="329"/>
        <w:rPr>
          <w:rFonts w:ascii="Times New Roman" w:hAnsi="Times New Roman"/>
        </w:rPr>
      </w:pPr>
      <w:r>
        <w:rPr>
          <w:rFonts w:ascii="Times New Roman" w:hAnsi="Times New Roman"/>
        </w:rPr>
        <w:t>拒不配合进行有关调查、情节严重的。</w:t>
      </w:r>
    </w:p>
    <w:p>
      <w:pPr>
        <w:pStyle w:val="326"/>
        <w:shd w:val="clear" w:color="auto" w:fill="auto"/>
        <w:ind w:firstLine="482"/>
        <w:rPr>
          <w:rFonts w:ascii="Times New Roman" w:hAnsi="Times New Roman" w:cs="Times New Roman"/>
        </w:rPr>
      </w:pPr>
      <w:r>
        <w:rPr>
          <w:rFonts w:ascii="Times New Roman" w:hAnsi="Times New Roman" w:cs="Times New Roman"/>
        </w:rPr>
        <w:t>其他</w:t>
      </w:r>
    </w:p>
    <w:p>
      <w:pPr>
        <w:pStyle w:val="328"/>
        <w:rPr>
          <w:rFonts w:ascii="Times New Roman" w:hAnsi="Times New Roman"/>
        </w:rPr>
      </w:pPr>
      <w:r>
        <w:rPr>
          <w:rFonts w:ascii="Times New Roman" w:hAnsi="Times New Roman"/>
        </w:rPr>
        <w:t>本招标文件的解释权归采购代理机构所有，采购代理机构在征得采购人或相关主管部门同意后，有权在法律允许范围内调整本次招标活动的细节及保留最终解释权。</w:t>
      </w:r>
    </w:p>
    <w:p>
      <w:pPr>
        <w:pStyle w:val="328"/>
        <w:rPr>
          <w:rFonts w:ascii="Times New Roman" w:hAnsi="Times New Roman"/>
        </w:rPr>
      </w:pPr>
      <w:r>
        <w:rPr>
          <w:rFonts w:ascii="Times New Roman" w:hAnsi="Times New Roman"/>
        </w:rPr>
        <w:t>采购代理机构向投标人提供的资料和数据，是采购代理机构现有的能供投标人利用的资料，采购代理机构对投标人由此而作出的推论、理解和结论概不负责。</w:t>
      </w:r>
    </w:p>
    <w:p>
      <w:pPr>
        <w:pStyle w:val="328"/>
        <w:rPr>
          <w:rFonts w:ascii="Times New Roman" w:hAnsi="Times New Roman"/>
        </w:rPr>
      </w:pPr>
      <w:r>
        <w:rPr>
          <w:rFonts w:ascii="Times New Roman" w:hAnsi="Times New Roman"/>
        </w:rPr>
        <w:t>如果投标人实质上不符合投标资格，即使已购买招标文件、参加投标并缴纳各种费用，采购代理机构或采购人可以随时取消其投标或中标资格，采购代理机构或采购人对该投标人的一切损失概不责任。</w:t>
      </w:r>
    </w:p>
    <w:p>
      <w:pPr>
        <w:pStyle w:val="328"/>
        <w:rPr>
          <w:rFonts w:ascii="Times New Roman" w:hAnsi="Times New Roman"/>
        </w:rPr>
      </w:pPr>
      <w:r>
        <w:rPr>
          <w:rFonts w:ascii="Times New Roman" w:hAnsi="Times New Roman"/>
        </w:rPr>
        <w:t>中标无效的，发出的中标通知书和签订的合同自始没有法律约束力，但不影响合同中存在的有关解决争议方法的条款的效力。</w:t>
      </w:r>
    </w:p>
    <w:p>
      <w:pPr>
        <w:pStyle w:val="328"/>
        <w:rPr>
          <w:rFonts w:ascii="Times New Roman" w:hAnsi="Times New Roman"/>
        </w:rPr>
      </w:pPr>
      <w:r>
        <w:rPr>
          <w:rFonts w:ascii="Times New Roman" w:hAnsi="Times New Roman"/>
        </w:rPr>
        <w:t>本招标文件所有的附件与本招标文件具有同等效力。</w:t>
      </w:r>
    </w:p>
    <w:sectPr>
      <w:footerReference r:id="rId10" w:type="even"/>
      <w:pgSz w:w="11906" w:h="16838"/>
      <w:pgMar w:top="1134" w:right="1134" w:bottom="1134" w:left="1418" w:header="851" w:footer="992" w:gutter="0"/>
      <w:cols w:space="425" w:num="1"/>
      <w:titlePg/>
      <w:docGrid w:linePitch="46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长城仿宋">
    <w:altName w:val="微软雅黑"/>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rPr>
        <w:rStyle w:val="49"/>
      </w:rPr>
    </w:pPr>
    <w:r>
      <w:rPr>
        <w:rStyle w:val="49"/>
      </w:rPr>
      <w:fldChar w:fldCharType="begin"/>
    </w:r>
    <w:r>
      <w:rPr>
        <w:rStyle w:val="49"/>
      </w:rPr>
      <w:instrText xml:space="preserve">PAGE  </w:instrText>
    </w:r>
    <w:r>
      <w:rPr>
        <w:rStyle w:val="49"/>
      </w:rPr>
      <w:fldChar w:fldCharType="separate"/>
    </w:r>
    <w:r>
      <w:rPr>
        <w:rStyle w:val="49"/>
      </w:rPr>
      <w:t>65</w:t>
    </w:r>
    <w:r>
      <w:rPr>
        <w:rStyle w:val="49"/>
      </w:rPr>
      <w:fldChar w:fldCharType="end"/>
    </w:r>
  </w:p>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rPr>
        <w:lang w:val="zh-CN"/>
      </w:rPr>
      <w:fldChar w:fldCharType="begin"/>
    </w:r>
    <w:r>
      <w:rPr>
        <w:lang w:val="zh-CN"/>
      </w:rPr>
      <w:instrText xml:space="preserve"> PAGE   \* MERGEFORMAT </w:instrText>
    </w:r>
    <w:r>
      <w:rPr>
        <w:lang w:val="zh-CN"/>
      </w:rPr>
      <w:fldChar w:fldCharType="separate"/>
    </w:r>
    <w:r>
      <w:rPr>
        <w:lang w:val="zh-CN"/>
      </w:rPr>
      <w:t>20</w:t>
    </w:r>
    <w:r>
      <w:rPr>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rPr>
        <w:lang w:val="zh-CN"/>
      </w:rPr>
      <w:fldChar w:fldCharType="begin"/>
    </w:r>
    <w:r>
      <w:rPr>
        <w:lang w:val="zh-CN"/>
      </w:rPr>
      <w:instrText xml:space="preserve"> PAGE   \* MERGEFORMAT </w:instrText>
    </w:r>
    <w:r>
      <w:rPr>
        <w:lang w:val="zh-CN"/>
      </w:rPr>
      <w:fldChar w:fldCharType="separate"/>
    </w:r>
    <w:r>
      <w:rPr>
        <w:lang w:val="zh-CN"/>
      </w:rPr>
      <w:t>1</w:t>
    </w:r>
    <w:r>
      <w:rPr>
        <w:lang w:val="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firstLine="360"/>
      <w:rPr>
        <w:rStyle w:val="49"/>
      </w:rPr>
    </w:pPr>
    <w:r>
      <w:rPr>
        <w:rStyle w:val="49"/>
      </w:rPr>
      <w:fldChar w:fldCharType="begin"/>
    </w:r>
    <w:r>
      <w:rPr>
        <w:rStyle w:val="49"/>
      </w:rPr>
      <w:instrText xml:space="preserve">PAGE  </w:instrText>
    </w:r>
    <w:r>
      <w:rPr>
        <w:rStyle w:val="49"/>
      </w:rPr>
      <w:fldChar w:fldCharType="separate"/>
    </w:r>
    <w:r>
      <w:rPr>
        <w:rStyle w:val="49"/>
      </w:rPr>
      <w:t>65</w:t>
    </w:r>
    <w:r>
      <w:rPr>
        <w:rStyle w:val="49"/>
      </w:rPr>
      <w:fldChar w:fldCharType="end"/>
    </w:r>
  </w:p>
  <w:p>
    <w:pPr>
      <w:pStyle w:val="29"/>
      <w:ind w:firstLine="360"/>
    </w:pPr>
  </w:p>
  <w:p>
    <w:pPr>
      <w:ind w:firstLine="420"/>
    </w:pPr>
  </w:p>
  <w:p/>
  <w:p/>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spacing w:line="240" w:lineRule="auto"/>
    </w:pPr>
    <w:r>
      <w:rPr>
        <w:rFonts w:hint="eastAsia"/>
      </w:rPr>
      <w:t>深圳市深水水务咨询有限公司政府采购招标文件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3"/>
    </w:pPr>
    <w:r>
      <w:rPr>
        <w:rFonts w:hint="eastAsia"/>
      </w:rPr>
      <w:t>深圳市深水水务咨询有限公司政府采购招标文件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BFCD96"/>
    <w:multiLevelType w:val="singleLevel"/>
    <w:tmpl w:val="BFBFCD96"/>
    <w:lvl w:ilvl="0" w:tentative="0">
      <w:start w:val="4"/>
      <w:numFmt w:val="decimal"/>
      <w:lvlText w:val="%1."/>
      <w:lvlJc w:val="left"/>
      <w:pPr>
        <w:tabs>
          <w:tab w:val="left" w:pos="312"/>
        </w:tabs>
      </w:pPr>
    </w:lvl>
  </w:abstractNum>
  <w:abstractNum w:abstractNumId="1">
    <w:nsid w:val="00000004"/>
    <w:multiLevelType w:val="multilevel"/>
    <w:tmpl w:val="00000004"/>
    <w:lvl w:ilvl="0" w:tentative="0">
      <w:start w:val="1"/>
      <w:numFmt w:val="bullet"/>
      <w:pStyle w:val="124"/>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0000000A"/>
    <w:multiLevelType w:val="multilevel"/>
    <w:tmpl w:val="0000000A"/>
    <w:lvl w:ilvl="0" w:tentative="0">
      <w:start w:val="1"/>
      <w:numFmt w:val="bullet"/>
      <w:pStyle w:val="211"/>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3">
    <w:nsid w:val="00DB0158"/>
    <w:multiLevelType w:val="multilevel"/>
    <w:tmpl w:val="00DB0158"/>
    <w:lvl w:ilvl="0" w:tentative="0">
      <w:start w:val="1"/>
      <w:numFmt w:val="bullet"/>
      <w:pStyle w:val="93"/>
      <w:lvlText w:val=""/>
      <w:lvlJc w:val="left"/>
      <w:pPr>
        <w:ind w:left="780" w:hanging="420"/>
      </w:pPr>
      <w:rPr>
        <w:rFonts w:hint="default" w:ascii="Wingdings" w:hAnsi="Wingdings"/>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4">
    <w:nsid w:val="01D320DE"/>
    <w:multiLevelType w:val="multilevel"/>
    <w:tmpl w:val="01D320DE"/>
    <w:lvl w:ilvl="0" w:tentative="0">
      <w:start w:val="1"/>
      <w:numFmt w:val="chineseCountingThousand"/>
      <w:pStyle w:val="134"/>
      <w:lvlText w:val="第%1章"/>
      <w:lvlJc w:val="left"/>
      <w:pPr>
        <w:tabs>
          <w:tab w:val="left" w:pos="1440"/>
        </w:tabs>
        <w:ind w:left="0" w:firstLine="0"/>
      </w:pPr>
      <w:rPr>
        <w:rFonts w:hint="eastAsia"/>
      </w:rPr>
    </w:lvl>
    <w:lvl w:ilvl="1" w:tentative="0">
      <w:start w:val="1"/>
      <w:numFmt w:val="decimal"/>
      <w:pStyle w:val="135"/>
      <w:isLgl/>
      <w:lvlText w:val="%1.%2"/>
      <w:lvlJc w:val="left"/>
      <w:pPr>
        <w:tabs>
          <w:tab w:val="left" w:pos="720"/>
        </w:tabs>
        <w:ind w:left="0" w:firstLine="0"/>
      </w:pPr>
      <w:rPr>
        <w:rFonts w:hint="eastAsia"/>
      </w:rPr>
    </w:lvl>
    <w:lvl w:ilvl="2" w:tentative="0">
      <w:start w:val="1"/>
      <w:numFmt w:val="decimal"/>
      <w:pStyle w:val="136"/>
      <w:isLgl/>
      <w:suff w:val="space"/>
      <w:lvlText w:val="%1.%2.%3"/>
      <w:lvlJc w:val="left"/>
      <w:pPr>
        <w:ind w:left="0" w:firstLine="0"/>
      </w:pPr>
      <w:rPr>
        <w:rFonts w:hint="eastAsia"/>
      </w:rPr>
    </w:lvl>
    <w:lvl w:ilvl="3" w:tentative="0">
      <w:start w:val="1"/>
      <w:numFmt w:val="decimal"/>
      <w:lvlText w:val=""/>
      <w:lvlJc w:val="left"/>
      <w:pPr>
        <w:tabs>
          <w:tab w:val="left" w:pos="360"/>
        </w:tabs>
        <w:ind w:left="0" w:firstLine="0"/>
      </w:pPr>
      <w:rPr>
        <w:rFonts w:hint="eastAsia"/>
      </w:rPr>
    </w:lvl>
    <w:lvl w:ilvl="4" w:tentative="0">
      <w:start w:val="1"/>
      <w:numFmt w:val="decimal"/>
      <w:lvlText w:val=""/>
      <w:lvlJc w:val="left"/>
      <w:pPr>
        <w:tabs>
          <w:tab w:val="left" w:pos="360"/>
        </w:tabs>
        <w:ind w:left="0" w:firstLine="0"/>
      </w:pPr>
      <w:rPr>
        <w:rFonts w:hint="eastAsia"/>
      </w:rPr>
    </w:lvl>
    <w:lvl w:ilvl="5" w:tentative="0">
      <w:start w:val="1"/>
      <w:numFmt w:val="decimal"/>
      <w:lvlText w:val=""/>
      <w:lvlJc w:val="left"/>
      <w:pPr>
        <w:tabs>
          <w:tab w:val="left" w:pos="360"/>
        </w:tabs>
        <w:ind w:left="0" w:firstLine="0"/>
      </w:pPr>
      <w:rPr>
        <w:rFonts w:hint="eastAsia"/>
      </w:rPr>
    </w:lvl>
    <w:lvl w:ilvl="6" w:tentative="0">
      <w:start w:val="1"/>
      <w:numFmt w:val="decimal"/>
      <w:lvlText w:val=""/>
      <w:lvlJc w:val="left"/>
      <w:pPr>
        <w:tabs>
          <w:tab w:val="left" w:pos="360"/>
        </w:tabs>
        <w:ind w:left="0" w:firstLine="0"/>
      </w:pPr>
      <w:rPr>
        <w:rFonts w:hint="eastAsia"/>
      </w:rPr>
    </w:lvl>
    <w:lvl w:ilvl="7" w:tentative="0">
      <w:start w:val="1"/>
      <w:numFmt w:val="decimal"/>
      <w:lvlText w:val=""/>
      <w:lvlJc w:val="left"/>
      <w:pPr>
        <w:tabs>
          <w:tab w:val="left" w:pos="360"/>
        </w:tabs>
        <w:ind w:left="0" w:firstLine="0"/>
      </w:pPr>
      <w:rPr>
        <w:rFonts w:hint="eastAsia"/>
      </w:rPr>
    </w:lvl>
    <w:lvl w:ilvl="8" w:tentative="0">
      <w:start w:val="1"/>
      <w:numFmt w:val="decimal"/>
      <w:lvlText w:val=""/>
      <w:lvlJc w:val="left"/>
      <w:pPr>
        <w:tabs>
          <w:tab w:val="left" w:pos="360"/>
        </w:tabs>
        <w:ind w:left="0" w:firstLine="0"/>
      </w:pPr>
      <w:rPr>
        <w:rFonts w:hint="eastAsia"/>
      </w:rPr>
    </w:lvl>
  </w:abstractNum>
  <w:abstractNum w:abstractNumId="5">
    <w:nsid w:val="06C154E2"/>
    <w:multiLevelType w:val="multilevel"/>
    <w:tmpl w:val="06C154E2"/>
    <w:lvl w:ilvl="0" w:tentative="0">
      <w:start w:val="1"/>
      <w:numFmt w:val="chineseCountingThousand"/>
      <w:pStyle w:val="315"/>
      <w:suff w:val="nothing"/>
      <w:lvlText w:val="%1、"/>
      <w:lvlJc w:val="left"/>
      <w:pPr>
        <w:ind w:left="70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2F0412C"/>
    <w:multiLevelType w:val="multilevel"/>
    <w:tmpl w:val="12F0412C"/>
    <w:lvl w:ilvl="0" w:tentative="0">
      <w:start w:val="1"/>
      <w:numFmt w:val="decimal"/>
      <w:suff w:val="nothing"/>
      <w:lvlText w:val="%1"/>
      <w:lvlJc w:val="left"/>
      <w:pPr>
        <w:ind w:left="0" w:firstLine="0"/>
      </w:pPr>
      <w:rPr>
        <w:rFonts w:hint="eastAsia" w:ascii="宋体" w:hAnsi="宋体" w:eastAsia="宋体"/>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6AE5335"/>
    <w:multiLevelType w:val="multilevel"/>
    <w:tmpl w:val="16AE5335"/>
    <w:lvl w:ilvl="0" w:tentative="0">
      <w:start w:val="1"/>
      <w:numFmt w:val="decimal"/>
      <w:pStyle w:val="88"/>
      <w:lvlText w:val="图4-%1."/>
      <w:lvlJc w:val="center"/>
      <w:pPr>
        <w:tabs>
          <w:tab w:val="left" w:pos="737"/>
        </w:tabs>
        <w:ind w:left="737" w:hanging="449"/>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96850B8"/>
    <w:multiLevelType w:val="multilevel"/>
    <w:tmpl w:val="196850B8"/>
    <w:lvl w:ilvl="0" w:tentative="0">
      <w:start w:val="1"/>
      <w:numFmt w:val="decimal"/>
      <w:suff w:val="nothing"/>
      <w:lvlText w:val="%1."/>
      <w:lvlJc w:val="left"/>
      <w:pPr>
        <w:ind w:left="0" w:firstLine="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19881A83"/>
    <w:multiLevelType w:val="multilevel"/>
    <w:tmpl w:val="19881A83"/>
    <w:lvl w:ilvl="0" w:tentative="0">
      <w:start w:val="1"/>
      <w:numFmt w:val="decimal"/>
      <w:pStyle w:val="326"/>
      <w:suff w:val="nothing"/>
      <w:lvlText w:val="%1."/>
      <w:lvlJc w:val="left"/>
      <w:pPr>
        <w:ind w:left="0" w:firstLine="403"/>
      </w:pPr>
      <w:rPr>
        <w:rFonts w:hint="eastAsia"/>
      </w:rPr>
    </w:lvl>
    <w:lvl w:ilvl="1" w:tentative="0">
      <w:start w:val="1"/>
      <w:numFmt w:val="decimal"/>
      <w:pStyle w:val="328"/>
      <w:suff w:val="nothing"/>
      <w:lvlText w:val="%1.%2."/>
      <w:lvlJc w:val="left"/>
      <w:pPr>
        <w:ind w:left="0" w:firstLine="403"/>
      </w:pPr>
      <w:rPr>
        <w:rFonts w:hint="eastAsia"/>
      </w:rPr>
    </w:lvl>
    <w:lvl w:ilvl="2" w:tentative="0">
      <w:start w:val="1"/>
      <w:numFmt w:val="decimal"/>
      <w:pStyle w:val="329"/>
      <w:suff w:val="nothing"/>
      <w:lvlText w:val="%1.%2.%3."/>
      <w:lvlJc w:val="left"/>
      <w:pPr>
        <w:ind w:left="0" w:firstLine="403"/>
      </w:pPr>
      <w:rPr>
        <w:rFonts w:hint="eastAsia"/>
      </w:rPr>
    </w:lvl>
    <w:lvl w:ilvl="3" w:tentative="0">
      <w:start w:val="1"/>
      <w:numFmt w:val="decimal"/>
      <w:lvlText w:val="%1.%2.%3.%4."/>
      <w:lvlJc w:val="left"/>
      <w:pPr>
        <w:tabs>
          <w:tab w:val="left" w:pos="851"/>
        </w:tabs>
        <w:ind w:left="0" w:firstLine="403"/>
      </w:pPr>
      <w:rPr>
        <w:rFonts w:hint="eastAsia"/>
      </w:rPr>
    </w:lvl>
    <w:lvl w:ilvl="4" w:tentative="0">
      <w:start w:val="1"/>
      <w:numFmt w:val="decimal"/>
      <w:lvlText w:val="%1.%2.%3.%4.%5."/>
      <w:lvlJc w:val="left"/>
      <w:pPr>
        <w:tabs>
          <w:tab w:val="left" w:pos="992"/>
        </w:tabs>
        <w:ind w:left="0" w:firstLine="403"/>
      </w:pPr>
      <w:rPr>
        <w:rFonts w:hint="eastAsia"/>
      </w:rPr>
    </w:lvl>
    <w:lvl w:ilvl="5" w:tentative="0">
      <w:start w:val="1"/>
      <w:numFmt w:val="decimal"/>
      <w:lvlText w:val="%1.%2.%3.%4.%5.%6."/>
      <w:lvlJc w:val="left"/>
      <w:pPr>
        <w:tabs>
          <w:tab w:val="left" w:pos="1134"/>
        </w:tabs>
        <w:ind w:left="0" w:firstLine="403"/>
      </w:pPr>
      <w:rPr>
        <w:rFonts w:hint="eastAsia"/>
      </w:rPr>
    </w:lvl>
    <w:lvl w:ilvl="6" w:tentative="0">
      <w:start w:val="1"/>
      <w:numFmt w:val="decimal"/>
      <w:lvlText w:val="%1.%2.%3.%4.%5.%6.%7."/>
      <w:lvlJc w:val="left"/>
      <w:pPr>
        <w:tabs>
          <w:tab w:val="left" w:pos="1276"/>
        </w:tabs>
        <w:ind w:left="0" w:firstLine="403"/>
      </w:pPr>
      <w:rPr>
        <w:rFonts w:hint="eastAsia"/>
      </w:rPr>
    </w:lvl>
    <w:lvl w:ilvl="7" w:tentative="0">
      <w:start w:val="1"/>
      <w:numFmt w:val="decimal"/>
      <w:lvlText w:val="%1.%2.%3.%4.%5.%6.%7.%8."/>
      <w:lvlJc w:val="left"/>
      <w:pPr>
        <w:tabs>
          <w:tab w:val="left" w:pos="1418"/>
        </w:tabs>
        <w:ind w:left="0" w:firstLine="403"/>
      </w:pPr>
      <w:rPr>
        <w:rFonts w:hint="eastAsia"/>
      </w:rPr>
    </w:lvl>
    <w:lvl w:ilvl="8" w:tentative="0">
      <w:start w:val="1"/>
      <w:numFmt w:val="decimal"/>
      <w:lvlText w:val="%1.%2.%3.%4.%5.%6.%7.%8.%9."/>
      <w:lvlJc w:val="left"/>
      <w:pPr>
        <w:tabs>
          <w:tab w:val="left" w:pos="1559"/>
        </w:tabs>
        <w:ind w:left="0" w:firstLine="403"/>
      </w:pPr>
      <w:rPr>
        <w:rFonts w:hint="eastAsia"/>
      </w:rPr>
    </w:lvl>
  </w:abstractNum>
  <w:abstractNum w:abstractNumId="10">
    <w:nsid w:val="1A1E1C4B"/>
    <w:multiLevelType w:val="multilevel"/>
    <w:tmpl w:val="1A1E1C4B"/>
    <w:lvl w:ilvl="0" w:tentative="0">
      <w:start w:val="1"/>
      <w:numFmt w:val="chineseCountingThousand"/>
      <w:pStyle w:val="92"/>
      <w:lvlText w:val="第%1章"/>
      <w:lvlJc w:val="left"/>
      <w:pPr>
        <w:ind w:left="420" w:hanging="420"/>
      </w:pPr>
      <w:rPr>
        <w:rFonts w:hint="eastAsia"/>
      </w:rPr>
    </w:lvl>
    <w:lvl w:ilvl="1" w:tentative="0">
      <w:start w:val="1"/>
      <w:numFmt w:val="decimal"/>
      <w:lvlText w:val="1.%2"/>
      <w:lvlJc w:val="left"/>
      <w:pPr>
        <w:ind w:left="420" w:hanging="420"/>
      </w:pPr>
      <w:rPr>
        <w:rFonts w:hint="default" w:ascii="Calibri Light" w:hAnsi="Calibri Light" w:eastAsia="宋体" w:cs="Calibri"/>
        <w:sz w:val="32"/>
        <w:szCs w:val="32"/>
      </w:rPr>
    </w:lvl>
    <w:lvl w:ilvl="2" w:tentative="0">
      <w:start w:val="1"/>
      <w:numFmt w:val="decimal"/>
      <w:lvlText w:val="1.1.%3"/>
      <w:lvlJc w:val="left"/>
      <w:pPr>
        <w:ind w:left="420" w:firstLine="147"/>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4212C01"/>
    <w:multiLevelType w:val="multilevel"/>
    <w:tmpl w:val="24212C01"/>
    <w:lvl w:ilvl="0" w:tentative="0">
      <w:start w:val="1"/>
      <w:numFmt w:val="chineseCountingThousand"/>
      <w:lvlText w:val="%1、"/>
      <w:lvlJc w:val="left"/>
      <w:pPr>
        <w:tabs>
          <w:tab w:val="left" w:pos="420"/>
        </w:tabs>
        <w:ind w:left="420" w:hanging="420"/>
      </w:pPr>
      <w:rPr>
        <w:rFonts w:hint="eastAsia"/>
      </w:rPr>
    </w:lvl>
    <w:lvl w:ilvl="1" w:tentative="0">
      <w:start w:val="1"/>
      <w:numFmt w:val="decimal"/>
      <w:suff w:val="nothing"/>
      <w:lvlText w:val="%2."/>
      <w:lvlJc w:val="left"/>
      <w:pPr>
        <w:ind w:left="840" w:hanging="420"/>
      </w:pPr>
      <w:rPr>
        <w:rFonts w:hint="eastAsia" w:ascii="宋体" w:hAnsi="宋体" w:eastAsia="宋体"/>
        <w:b w:val="0"/>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2">
    <w:nsid w:val="28200F5E"/>
    <w:multiLevelType w:val="multilevel"/>
    <w:tmpl w:val="28200F5E"/>
    <w:lvl w:ilvl="0" w:tentative="0">
      <w:start w:val="1"/>
      <w:numFmt w:val="decimal"/>
      <w:pStyle w:val="96"/>
      <w:lvlText w:val="%1)"/>
      <w:lvlJc w:val="left"/>
      <w:pPr>
        <w:ind w:left="420" w:hanging="420"/>
      </w:pPr>
      <w:rPr>
        <w:rFonts w:hint="default"/>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3">
    <w:nsid w:val="2D2470EB"/>
    <w:multiLevelType w:val="multilevel"/>
    <w:tmpl w:val="2D2470EB"/>
    <w:lvl w:ilvl="0" w:tentative="0">
      <w:start w:val="1"/>
      <w:numFmt w:val="bullet"/>
      <w:lvlText w:val=""/>
      <w:lvlJc w:val="left"/>
      <w:pPr>
        <w:ind w:left="420" w:hanging="420"/>
      </w:pPr>
      <w:rPr>
        <w:rFonts w:hint="default" w:ascii="Wingdings" w:hAnsi="Wingdings"/>
      </w:rPr>
    </w:lvl>
    <w:lvl w:ilvl="1" w:tentative="0">
      <w:start w:val="1"/>
      <w:numFmt w:val="decimal"/>
      <w:pStyle w:val="262"/>
      <w:lvlText w:val="%2)"/>
      <w:lvlJc w:val="left"/>
      <w:pPr>
        <w:ind w:left="840" w:hanging="420"/>
      </w:pPr>
      <w:rPr>
        <w:rFonts w:hint="default"/>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2E8F6958"/>
    <w:multiLevelType w:val="multilevel"/>
    <w:tmpl w:val="2E8F6958"/>
    <w:lvl w:ilvl="0" w:tentative="0">
      <w:start w:val="1"/>
      <w:numFmt w:val="decimal"/>
      <w:pStyle w:val="244"/>
      <w:lvlText w:val="%1)"/>
      <w:lvlJc w:val="left"/>
      <w:pPr>
        <w:ind w:left="620" w:hanging="420"/>
      </w:p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15">
    <w:nsid w:val="30555EAE"/>
    <w:multiLevelType w:val="multilevel"/>
    <w:tmpl w:val="30555EAE"/>
    <w:lvl w:ilvl="0" w:tentative="0">
      <w:start w:val="1"/>
      <w:numFmt w:val="decimal"/>
      <w:lvlText w:val="%1."/>
      <w:lvlJc w:val="left"/>
      <w:pPr>
        <w:tabs>
          <w:tab w:val="left" w:pos="420"/>
        </w:tabs>
        <w:ind w:left="0" w:firstLine="420"/>
      </w:pPr>
      <w:rPr>
        <w:rFonts w:hint="eastAsia"/>
      </w:rPr>
    </w:lvl>
    <w:lvl w:ilvl="1" w:tentative="0">
      <w:start w:val="1"/>
      <w:numFmt w:val="decimal"/>
      <w:lvlText w:val="(%2)"/>
      <w:lvlJc w:val="left"/>
      <w:pPr>
        <w:tabs>
          <w:tab w:val="left" w:pos="420"/>
        </w:tabs>
        <w:ind w:left="800" w:hanging="380"/>
      </w:pPr>
      <w:rPr>
        <w:rFonts w:hint="eastAsia"/>
      </w:rPr>
    </w:lvl>
    <w:lvl w:ilvl="2" w:tentative="0">
      <w:start w:val="1"/>
      <w:numFmt w:val="none"/>
      <w:lvlText w:val=""/>
      <w:lvlJc w:val="left"/>
      <w:pPr>
        <w:tabs>
          <w:tab w:val="left" w:pos="-328"/>
        </w:tabs>
        <w:ind w:left="-1462" w:firstLine="400"/>
      </w:pPr>
      <w:rPr>
        <w:rFonts w:hint="eastAsia"/>
      </w:rPr>
    </w:lvl>
    <w:lvl w:ilvl="3" w:tentative="0">
      <w:start w:val="1"/>
      <w:numFmt w:val="none"/>
      <w:lvlText w:val=""/>
      <w:lvlJc w:val="left"/>
      <w:pPr>
        <w:tabs>
          <w:tab w:val="left" w:pos="-1059"/>
        </w:tabs>
        <w:ind w:left="-2193" w:firstLine="400"/>
      </w:pPr>
      <w:rPr>
        <w:rFonts w:hint="eastAsia"/>
      </w:rPr>
    </w:lvl>
    <w:lvl w:ilvl="4" w:tentative="0">
      <w:start w:val="1"/>
      <w:numFmt w:val="none"/>
      <w:lvlText w:val=""/>
      <w:lvlJc w:val="left"/>
      <w:pPr>
        <w:tabs>
          <w:tab w:val="left" w:pos="-1790"/>
        </w:tabs>
        <w:ind w:left="-2924" w:firstLine="400"/>
      </w:pPr>
      <w:rPr>
        <w:rFonts w:hint="eastAsia"/>
      </w:rPr>
    </w:lvl>
    <w:lvl w:ilvl="5" w:tentative="0">
      <w:start w:val="1"/>
      <w:numFmt w:val="decimal"/>
      <w:lvlText w:val="%1.%2.%3.%4.%5.%6"/>
      <w:lvlJc w:val="left"/>
      <w:pPr>
        <w:tabs>
          <w:tab w:val="left" w:pos="-2521"/>
        </w:tabs>
        <w:ind w:left="-3655" w:firstLine="400"/>
      </w:pPr>
      <w:rPr>
        <w:rFonts w:hint="eastAsia"/>
      </w:rPr>
    </w:lvl>
    <w:lvl w:ilvl="6" w:tentative="0">
      <w:start w:val="1"/>
      <w:numFmt w:val="decimal"/>
      <w:lvlText w:val="%1.%2.%3.%4.%5.%6.%7"/>
      <w:lvlJc w:val="left"/>
      <w:pPr>
        <w:tabs>
          <w:tab w:val="left" w:pos="-3252"/>
        </w:tabs>
        <w:ind w:left="-4386" w:firstLine="400"/>
      </w:pPr>
      <w:rPr>
        <w:rFonts w:hint="eastAsia"/>
      </w:rPr>
    </w:lvl>
    <w:lvl w:ilvl="7" w:tentative="0">
      <w:start w:val="1"/>
      <w:numFmt w:val="decimal"/>
      <w:lvlText w:val="%1.%2.%3.%4.%5.%6.%7.%8"/>
      <w:lvlJc w:val="left"/>
      <w:pPr>
        <w:tabs>
          <w:tab w:val="left" w:pos="-3983"/>
        </w:tabs>
        <w:ind w:left="-5117" w:firstLine="400"/>
      </w:pPr>
      <w:rPr>
        <w:rFonts w:hint="eastAsia"/>
      </w:rPr>
    </w:lvl>
    <w:lvl w:ilvl="8" w:tentative="0">
      <w:start w:val="1"/>
      <w:numFmt w:val="decimal"/>
      <w:lvlText w:val="%1.%2.%3.%4.%5.%6.%7.%8.%9"/>
      <w:lvlJc w:val="left"/>
      <w:pPr>
        <w:tabs>
          <w:tab w:val="left" w:pos="-4714"/>
        </w:tabs>
        <w:ind w:left="-5848" w:firstLine="400"/>
      </w:pPr>
      <w:rPr>
        <w:rFonts w:hint="eastAsia"/>
      </w:rPr>
    </w:lvl>
  </w:abstractNum>
  <w:abstractNum w:abstractNumId="16">
    <w:nsid w:val="37D3508F"/>
    <w:multiLevelType w:val="multilevel"/>
    <w:tmpl w:val="37D3508F"/>
    <w:lvl w:ilvl="0" w:tentative="0">
      <w:start w:val="5"/>
      <w:numFmt w:val="decimal"/>
      <w:lvlText w:val="%1"/>
      <w:lvlJc w:val="left"/>
      <w:pPr>
        <w:tabs>
          <w:tab w:val="left" w:pos="425"/>
        </w:tabs>
        <w:ind w:left="425" w:hanging="425"/>
      </w:pPr>
      <w:rPr>
        <w:rFonts w:hint="eastAsia"/>
      </w:rPr>
    </w:lvl>
    <w:lvl w:ilvl="1" w:tentative="0">
      <w:start w:val="1"/>
      <w:numFmt w:val="decimal"/>
      <w:pStyle w:val="87"/>
      <w:lvlText w:val="%1.%2"/>
      <w:lvlJc w:val="left"/>
      <w:pPr>
        <w:tabs>
          <w:tab w:val="left" w:pos="510"/>
        </w:tabs>
        <w:ind w:left="420" w:hanging="420"/>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7">
    <w:nsid w:val="3C287EEF"/>
    <w:multiLevelType w:val="multilevel"/>
    <w:tmpl w:val="3C287EEF"/>
    <w:lvl w:ilvl="0" w:tentative="0">
      <w:start w:val="1"/>
      <w:numFmt w:val="decimal"/>
      <w:pStyle w:val="259"/>
      <w:lvlText w:val="%1)"/>
      <w:lvlJc w:val="left"/>
      <w:pPr>
        <w:ind w:left="420" w:hanging="420"/>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4AF300E9"/>
    <w:multiLevelType w:val="multilevel"/>
    <w:tmpl w:val="4AF300E9"/>
    <w:lvl w:ilvl="0" w:tentative="0">
      <w:start w:val="2"/>
      <w:numFmt w:val="decimal"/>
      <w:lvlText w:val="(%1)"/>
      <w:lvlJc w:val="left"/>
      <w:pPr>
        <w:tabs>
          <w:tab w:val="left" w:pos="1200"/>
        </w:tabs>
        <w:ind w:left="1200" w:hanging="360"/>
      </w:pPr>
      <w:rPr>
        <w:rFonts w:hint="default"/>
      </w:rPr>
    </w:lvl>
    <w:lvl w:ilvl="1" w:tentative="0">
      <w:start w:val="1"/>
      <w:numFmt w:val="decimal"/>
      <w:suff w:val="nothing"/>
      <w:lvlText w:val="%2．"/>
      <w:lvlJc w:val="left"/>
      <w:pPr>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9">
    <w:nsid w:val="4CAA55CD"/>
    <w:multiLevelType w:val="multilevel"/>
    <w:tmpl w:val="4CAA55CD"/>
    <w:lvl w:ilvl="0" w:tentative="0">
      <w:start w:val="1"/>
      <w:numFmt w:val="bullet"/>
      <w:pStyle w:val="14"/>
      <w:lvlText w:val=""/>
      <w:lvlJc w:val="left"/>
      <w:pPr>
        <w:ind w:left="988"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20">
    <w:nsid w:val="569F5659"/>
    <w:multiLevelType w:val="multilevel"/>
    <w:tmpl w:val="569F5659"/>
    <w:lvl w:ilvl="0" w:tentative="0">
      <w:start w:val="1"/>
      <w:numFmt w:val="chineseCountingThousand"/>
      <w:suff w:val="nothing"/>
      <w:lvlText w:val="%1、"/>
      <w:lvlJc w:val="left"/>
      <w:pPr>
        <w:ind w:left="84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570941F9"/>
    <w:multiLevelType w:val="multilevel"/>
    <w:tmpl w:val="570941F9"/>
    <w:lvl w:ilvl="0" w:tentative="0">
      <w:start w:val="1"/>
      <w:numFmt w:val="decimal"/>
      <w:pStyle w:val="139"/>
      <w:lvlText w:val="%1."/>
      <w:lvlJc w:val="left"/>
      <w:pPr>
        <w:tabs>
          <w:tab w:val="left" w:pos="900"/>
        </w:tabs>
        <w:ind w:left="90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5D4A37DC"/>
    <w:multiLevelType w:val="multilevel"/>
    <w:tmpl w:val="5D4A37DC"/>
    <w:lvl w:ilvl="0" w:tentative="0">
      <w:start w:val="1"/>
      <w:numFmt w:val="decimal"/>
      <w:pStyle w:val="250"/>
      <w:lvlText w:val="%1)"/>
      <w:lvlJc w:val="left"/>
      <w:pPr>
        <w:ind w:left="982" w:hanging="420"/>
      </w:pPr>
    </w:lvl>
    <w:lvl w:ilvl="1" w:tentative="0">
      <w:start w:val="1"/>
      <w:numFmt w:val="lowerLetter"/>
      <w:pStyle w:val="247"/>
      <w:lvlText w:val="%2)"/>
      <w:lvlJc w:val="left"/>
      <w:pPr>
        <w:ind w:left="1402" w:hanging="420"/>
      </w:pPr>
    </w:lvl>
    <w:lvl w:ilvl="2" w:tentative="0">
      <w:start w:val="1"/>
      <w:numFmt w:val="lowerRoman"/>
      <w:pStyle w:val="248"/>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23">
    <w:nsid w:val="5F8239D3"/>
    <w:multiLevelType w:val="singleLevel"/>
    <w:tmpl w:val="5F8239D3"/>
    <w:lvl w:ilvl="0" w:tentative="0">
      <w:start w:val="1"/>
      <w:numFmt w:val="bullet"/>
      <w:pStyle w:val="162"/>
      <w:lvlText w:val=""/>
      <w:lvlJc w:val="left"/>
      <w:pPr>
        <w:tabs>
          <w:tab w:val="left" w:pos="360"/>
        </w:tabs>
        <w:ind w:left="360" w:hanging="360"/>
      </w:pPr>
      <w:rPr>
        <w:rFonts w:hint="default" w:ascii="Wingdings" w:hAnsi="Wingdings"/>
      </w:rPr>
    </w:lvl>
  </w:abstractNum>
  <w:abstractNum w:abstractNumId="24">
    <w:nsid w:val="64253DA1"/>
    <w:multiLevelType w:val="multilevel"/>
    <w:tmpl w:val="64253DA1"/>
    <w:lvl w:ilvl="0" w:tentative="0">
      <w:start w:val="1"/>
      <w:numFmt w:val="decimal"/>
      <w:suff w:val="nothing"/>
      <w:lvlText w:val="%1"/>
      <w:lvlJc w:val="left"/>
      <w:pPr>
        <w:ind w:left="846" w:hanging="420"/>
      </w:pPr>
      <w:rPr>
        <w:rFonts w:hint="eastAsia"/>
      </w:rPr>
    </w:lvl>
    <w:lvl w:ilvl="1" w:tentative="0">
      <w:start w:val="1"/>
      <w:numFmt w:val="lowerLetter"/>
      <w:lvlText w:val="%2)"/>
      <w:lvlJc w:val="left"/>
      <w:pPr>
        <w:tabs>
          <w:tab w:val="left" w:pos="1016"/>
        </w:tabs>
        <w:ind w:left="1016" w:hanging="420"/>
      </w:pPr>
      <w:rPr>
        <w:rFonts w:hint="eastAsia"/>
      </w:rPr>
    </w:lvl>
    <w:lvl w:ilvl="2" w:tentative="0">
      <w:start w:val="1"/>
      <w:numFmt w:val="lowerRoman"/>
      <w:lvlText w:val="%3."/>
      <w:lvlJc w:val="right"/>
      <w:pPr>
        <w:tabs>
          <w:tab w:val="left" w:pos="1436"/>
        </w:tabs>
        <w:ind w:left="1436" w:hanging="420"/>
      </w:pPr>
      <w:rPr>
        <w:rFonts w:hint="eastAsia"/>
      </w:rPr>
    </w:lvl>
    <w:lvl w:ilvl="3" w:tentative="0">
      <w:start w:val="1"/>
      <w:numFmt w:val="decimal"/>
      <w:lvlText w:val="%4."/>
      <w:lvlJc w:val="left"/>
      <w:pPr>
        <w:tabs>
          <w:tab w:val="left" w:pos="1856"/>
        </w:tabs>
        <w:ind w:left="1856" w:hanging="420"/>
      </w:pPr>
      <w:rPr>
        <w:rFonts w:hint="eastAsia"/>
      </w:rPr>
    </w:lvl>
    <w:lvl w:ilvl="4" w:tentative="0">
      <w:start w:val="1"/>
      <w:numFmt w:val="lowerLetter"/>
      <w:lvlText w:val="%5)"/>
      <w:lvlJc w:val="left"/>
      <w:pPr>
        <w:tabs>
          <w:tab w:val="left" w:pos="2276"/>
        </w:tabs>
        <w:ind w:left="2276" w:hanging="420"/>
      </w:pPr>
      <w:rPr>
        <w:rFonts w:hint="eastAsia"/>
      </w:rPr>
    </w:lvl>
    <w:lvl w:ilvl="5" w:tentative="0">
      <w:start w:val="1"/>
      <w:numFmt w:val="lowerRoman"/>
      <w:lvlText w:val="%6."/>
      <w:lvlJc w:val="right"/>
      <w:pPr>
        <w:tabs>
          <w:tab w:val="left" w:pos="2696"/>
        </w:tabs>
        <w:ind w:left="2696" w:hanging="420"/>
      </w:pPr>
      <w:rPr>
        <w:rFonts w:hint="eastAsia"/>
      </w:rPr>
    </w:lvl>
    <w:lvl w:ilvl="6" w:tentative="0">
      <w:start w:val="1"/>
      <w:numFmt w:val="decimal"/>
      <w:lvlText w:val="%7."/>
      <w:lvlJc w:val="left"/>
      <w:pPr>
        <w:tabs>
          <w:tab w:val="left" w:pos="3116"/>
        </w:tabs>
        <w:ind w:left="3116" w:hanging="420"/>
      </w:pPr>
      <w:rPr>
        <w:rFonts w:hint="eastAsia"/>
      </w:rPr>
    </w:lvl>
    <w:lvl w:ilvl="7" w:tentative="0">
      <w:start w:val="1"/>
      <w:numFmt w:val="lowerLetter"/>
      <w:lvlText w:val="%8)"/>
      <w:lvlJc w:val="left"/>
      <w:pPr>
        <w:tabs>
          <w:tab w:val="left" w:pos="3536"/>
        </w:tabs>
        <w:ind w:left="3536" w:hanging="420"/>
      </w:pPr>
      <w:rPr>
        <w:rFonts w:hint="eastAsia"/>
      </w:rPr>
    </w:lvl>
    <w:lvl w:ilvl="8" w:tentative="0">
      <w:start w:val="1"/>
      <w:numFmt w:val="lowerRoman"/>
      <w:lvlText w:val="%9."/>
      <w:lvlJc w:val="right"/>
      <w:pPr>
        <w:tabs>
          <w:tab w:val="left" w:pos="3956"/>
        </w:tabs>
        <w:ind w:left="3956" w:hanging="420"/>
      </w:pPr>
      <w:rPr>
        <w:rFonts w:hint="eastAsia"/>
      </w:rPr>
    </w:lvl>
  </w:abstractNum>
  <w:abstractNum w:abstractNumId="25">
    <w:nsid w:val="682F2EA2"/>
    <w:multiLevelType w:val="multilevel"/>
    <w:tmpl w:val="682F2EA2"/>
    <w:lvl w:ilvl="0" w:tentative="0">
      <w:start w:val="1"/>
      <w:numFmt w:val="chineseCountingThousand"/>
      <w:pStyle w:val="230"/>
      <w:lvlText w:val="第%1章"/>
      <w:lvlJc w:val="left"/>
      <w:pPr>
        <w:tabs>
          <w:tab w:val="left" w:pos="340"/>
        </w:tabs>
        <w:ind w:left="0" w:firstLine="0"/>
      </w:pPr>
      <w:rPr>
        <w:rFonts w:hint="eastAsia"/>
      </w:rPr>
    </w:lvl>
    <w:lvl w:ilvl="1" w:tentative="0">
      <w:start w:val="1"/>
      <w:numFmt w:val="decimal"/>
      <w:pStyle w:val="231"/>
      <w:isLgl/>
      <w:suff w:val="space"/>
      <w:lvlText w:val="%1.%2"/>
      <w:lvlJc w:val="left"/>
      <w:pPr>
        <w:ind w:left="0" w:firstLine="0"/>
      </w:pPr>
      <w:rPr>
        <w:rFonts w:hint="eastAsia"/>
      </w:rPr>
    </w:lvl>
    <w:lvl w:ilvl="2" w:tentative="0">
      <w:start w:val="1"/>
      <w:numFmt w:val="decimal"/>
      <w:pStyle w:val="233"/>
      <w:isLgl/>
      <w:suff w:val="space"/>
      <w:lvlText w:val="%1.%2.%3"/>
      <w:lvlJc w:val="left"/>
      <w:pPr>
        <w:ind w:left="0" w:firstLine="0"/>
      </w:pPr>
      <w:rPr>
        <w:rFonts w:hint="eastAsia"/>
      </w:rPr>
    </w:lvl>
    <w:lvl w:ilvl="3" w:tentative="0">
      <w:start w:val="1"/>
      <w:numFmt w:val="decimal"/>
      <w:pStyle w:val="235"/>
      <w:isLgl/>
      <w:suff w:val="space"/>
      <w:lvlText w:val="%1.%2.%3.%4"/>
      <w:lvlJc w:val="left"/>
      <w:pPr>
        <w:ind w:left="0" w:firstLine="0"/>
      </w:pPr>
      <w:rPr>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4" w:tentative="0">
      <w:start w:val="1"/>
      <w:numFmt w:val="decimal"/>
      <w:pStyle w:val="237"/>
      <w:isLgl/>
      <w:suff w:val="space"/>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26">
    <w:nsid w:val="6D314D68"/>
    <w:multiLevelType w:val="multilevel"/>
    <w:tmpl w:val="6D314D68"/>
    <w:lvl w:ilvl="0" w:tentative="0">
      <w:start w:val="1"/>
      <w:numFmt w:val="decimal"/>
      <w:pStyle w:val="255"/>
      <w:lvlText w:val="%1)"/>
      <w:lvlJc w:val="left"/>
      <w:pPr>
        <w:ind w:left="980" w:hanging="420"/>
      </w:pPr>
      <w:rPr>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7">
    <w:nsid w:val="6FAA0F15"/>
    <w:multiLevelType w:val="multilevel"/>
    <w:tmpl w:val="6FAA0F15"/>
    <w:lvl w:ilvl="0" w:tentative="0">
      <w:start w:val="1"/>
      <w:numFmt w:val="chineseCountingThousand"/>
      <w:pStyle w:val="332"/>
      <w:suff w:val="space"/>
      <w:lvlText w:val="第%1条"/>
      <w:lvlJc w:val="left"/>
      <w:pPr>
        <w:ind w:left="0" w:firstLine="422"/>
      </w:pPr>
      <w:rPr>
        <w:rFonts w:hint="eastAsia" w:ascii="宋体" w:hAnsi="宋体" w:eastAsia="宋体"/>
        <w:b/>
        <w:bCs/>
        <w:sz w:val="21"/>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abstractNum w:abstractNumId="28">
    <w:nsid w:val="726C71F1"/>
    <w:multiLevelType w:val="multilevel"/>
    <w:tmpl w:val="726C71F1"/>
    <w:lvl w:ilvl="0" w:tentative="0">
      <w:start w:val="1"/>
      <w:numFmt w:val="chineseCountingThousand"/>
      <w:pStyle w:val="319"/>
      <w:suff w:val="nothing"/>
      <w:lvlText w:val="%1、"/>
      <w:lvlJc w:val="left"/>
      <w:pPr>
        <w:ind w:left="0" w:firstLine="0"/>
      </w:pPr>
      <w:rPr>
        <w:rFonts w:hint="eastAsia"/>
        <w:b/>
        <w:lang w:val="en-US"/>
      </w:rPr>
    </w:lvl>
    <w:lvl w:ilvl="1" w:tentative="0">
      <w:start w:val="1"/>
      <w:numFmt w:val="decimal"/>
      <w:lvlText w:val="%1.%2"/>
      <w:lvlJc w:val="left"/>
      <w:pPr>
        <w:ind w:left="0" w:firstLine="0"/>
      </w:pPr>
      <w:rPr>
        <w:rFonts w:hint="eastAsia"/>
      </w:rPr>
    </w:lvl>
    <w:lvl w:ilvl="2" w:tentative="0">
      <w:start w:val="1"/>
      <w:numFmt w:val="decimal"/>
      <w:lvlText w:val="%1.%2.%3"/>
      <w:lvlJc w:val="left"/>
      <w:pPr>
        <w:ind w:left="0" w:firstLine="0"/>
      </w:pPr>
      <w:rPr>
        <w:rFonts w:hint="eastAsia"/>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29">
    <w:nsid w:val="734F656C"/>
    <w:multiLevelType w:val="multilevel"/>
    <w:tmpl w:val="734F656C"/>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7B0E2BCA"/>
    <w:multiLevelType w:val="multilevel"/>
    <w:tmpl w:val="7B0E2BCA"/>
    <w:lvl w:ilvl="0" w:tentative="0">
      <w:start w:val="1"/>
      <w:numFmt w:val="bullet"/>
      <w:pStyle w:val="130"/>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1">
    <w:nsid w:val="7DD51E1B"/>
    <w:multiLevelType w:val="multilevel"/>
    <w:tmpl w:val="7DD51E1B"/>
    <w:lvl w:ilvl="0" w:tentative="0">
      <w:start w:val="1"/>
      <w:numFmt w:val="decimal"/>
      <w:pStyle w:val="220"/>
      <w:suff w:val="space"/>
      <w:lvlText w:val="%1"/>
      <w:lvlJc w:val="left"/>
      <w:pPr>
        <w:ind w:left="0" w:firstLine="0"/>
      </w:pPr>
      <w:rPr>
        <w:rFonts w:hint="eastAsia"/>
      </w:rPr>
    </w:lvl>
    <w:lvl w:ilvl="1" w:tentative="0">
      <w:start w:val="1"/>
      <w:numFmt w:val="decimal"/>
      <w:pStyle w:val="222"/>
      <w:suff w:val="space"/>
      <w:lvlText w:val="%1.%2"/>
      <w:lvlJc w:val="left"/>
      <w:pPr>
        <w:ind w:left="0" w:firstLine="0"/>
      </w:pPr>
      <w:rPr>
        <w:rFonts w:hint="eastAsia"/>
      </w:rPr>
    </w:lvl>
    <w:lvl w:ilvl="2" w:tentative="0">
      <w:start w:val="1"/>
      <w:numFmt w:val="decimal"/>
      <w:pStyle w:val="224"/>
      <w:suff w:val="space"/>
      <w:lvlText w:val="%1.%2.%3"/>
      <w:lvlJc w:val="left"/>
      <w:pPr>
        <w:ind w:left="0" w:firstLine="0"/>
      </w:pPr>
      <w:rPr>
        <w:rFonts w:hint="eastAsia"/>
      </w:rPr>
    </w:lvl>
    <w:lvl w:ilvl="3" w:tentative="0">
      <w:start w:val="1"/>
      <w:numFmt w:val="decimal"/>
      <w:pStyle w:val="226"/>
      <w:suff w:val="space"/>
      <w:lvlText w:val="%1.%2.%3.%4"/>
      <w:lvlJc w:val="left"/>
      <w:pPr>
        <w:ind w:left="0" w:firstLine="0"/>
      </w:pPr>
      <w:rPr>
        <w:rFonts w:hint="eastAsia"/>
      </w:rPr>
    </w:lvl>
    <w:lvl w:ilvl="4" w:tentative="0">
      <w:start w:val="1"/>
      <w:numFmt w:val="decimal"/>
      <w:pStyle w:val="228"/>
      <w:suff w:val="space"/>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19"/>
  </w:num>
  <w:num w:numId="2">
    <w:abstractNumId w:val="16"/>
  </w:num>
  <w:num w:numId="3">
    <w:abstractNumId w:val="7"/>
  </w:num>
  <w:num w:numId="4">
    <w:abstractNumId w:val="10"/>
  </w:num>
  <w:num w:numId="5">
    <w:abstractNumId w:val="3"/>
  </w:num>
  <w:num w:numId="6">
    <w:abstractNumId w:val="12"/>
  </w:num>
  <w:num w:numId="7">
    <w:abstractNumId w:val="15"/>
    <w:lvlOverride w:ilvl="0">
      <w:lvl w:ilvl="0" w:tentative="1">
        <w:start w:val="1"/>
        <w:numFmt w:val="decimal"/>
        <w:pStyle w:val="116"/>
        <w:lvlText w:val="%1."/>
        <w:lvlJc w:val="left"/>
        <w:pPr>
          <w:tabs>
            <w:tab w:val="left" w:pos="420"/>
          </w:tabs>
          <w:ind w:left="0" w:firstLine="420"/>
        </w:pPr>
        <w:rPr>
          <w:rFonts w:hint="eastAsia"/>
        </w:rPr>
      </w:lvl>
    </w:lvlOverride>
    <w:lvlOverride w:ilvl="1">
      <w:lvl w:ilvl="1" w:tentative="1">
        <w:start w:val="1"/>
        <w:numFmt w:val="decimal"/>
        <w:pStyle w:val="117"/>
        <w:lvlText w:val="(%2)"/>
        <w:lvlJc w:val="left"/>
        <w:pPr>
          <w:tabs>
            <w:tab w:val="left" w:pos="420"/>
          </w:tabs>
          <w:ind w:left="800" w:hanging="380"/>
        </w:pPr>
        <w:rPr>
          <w:rFonts w:hint="eastAsia"/>
        </w:rPr>
      </w:lvl>
    </w:lvlOverride>
    <w:lvlOverride w:ilvl="2">
      <w:lvl w:ilvl="2" w:tentative="1">
        <w:start w:val="1"/>
        <w:numFmt w:val="none"/>
        <w:lvlText w:val=""/>
        <w:lvlJc w:val="left"/>
        <w:pPr>
          <w:tabs>
            <w:tab w:val="left" w:pos="-328"/>
          </w:tabs>
          <w:ind w:left="-1462" w:firstLine="400"/>
        </w:pPr>
        <w:rPr>
          <w:rFonts w:hint="eastAsia"/>
        </w:rPr>
      </w:lvl>
    </w:lvlOverride>
    <w:lvlOverride w:ilvl="3">
      <w:lvl w:ilvl="3" w:tentative="1">
        <w:start w:val="1"/>
        <w:numFmt w:val="none"/>
        <w:lvlText w:val=""/>
        <w:lvlJc w:val="left"/>
        <w:pPr>
          <w:tabs>
            <w:tab w:val="left" w:pos="-1059"/>
          </w:tabs>
          <w:ind w:left="-2193" w:firstLine="400"/>
        </w:pPr>
        <w:rPr>
          <w:rFonts w:hint="eastAsia"/>
        </w:rPr>
      </w:lvl>
    </w:lvlOverride>
    <w:lvlOverride w:ilvl="4">
      <w:lvl w:ilvl="4" w:tentative="1">
        <w:start w:val="1"/>
        <w:numFmt w:val="none"/>
        <w:lvlText w:val=""/>
        <w:lvlJc w:val="left"/>
        <w:pPr>
          <w:tabs>
            <w:tab w:val="left" w:pos="-1790"/>
          </w:tabs>
          <w:ind w:left="-2924" w:firstLine="400"/>
        </w:pPr>
        <w:rPr>
          <w:rFonts w:hint="eastAsia"/>
        </w:rPr>
      </w:lvl>
    </w:lvlOverride>
    <w:lvlOverride w:ilvl="5">
      <w:lvl w:ilvl="5" w:tentative="1">
        <w:start w:val="1"/>
        <w:numFmt w:val="decimal"/>
        <w:lvlText w:val="%1.%2.%3.%4.%5.%6"/>
        <w:lvlJc w:val="left"/>
        <w:pPr>
          <w:tabs>
            <w:tab w:val="left" w:pos="-2521"/>
          </w:tabs>
          <w:ind w:left="-3655" w:firstLine="400"/>
        </w:pPr>
        <w:rPr>
          <w:rFonts w:hint="eastAsia"/>
        </w:rPr>
      </w:lvl>
    </w:lvlOverride>
    <w:lvlOverride w:ilvl="6">
      <w:lvl w:ilvl="6" w:tentative="1">
        <w:start w:val="1"/>
        <w:numFmt w:val="decimal"/>
        <w:lvlText w:val="%1.%2.%3.%4.%5.%6.%7"/>
        <w:lvlJc w:val="left"/>
        <w:pPr>
          <w:tabs>
            <w:tab w:val="left" w:pos="-3252"/>
          </w:tabs>
          <w:ind w:left="-4386" w:firstLine="400"/>
        </w:pPr>
        <w:rPr>
          <w:rFonts w:hint="eastAsia"/>
        </w:rPr>
      </w:lvl>
    </w:lvlOverride>
    <w:lvlOverride w:ilvl="7">
      <w:lvl w:ilvl="7" w:tentative="1">
        <w:start w:val="1"/>
        <w:numFmt w:val="decimal"/>
        <w:lvlText w:val="%1.%2.%3.%4.%5.%6.%7.%8"/>
        <w:lvlJc w:val="left"/>
        <w:pPr>
          <w:tabs>
            <w:tab w:val="left" w:pos="-3983"/>
          </w:tabs>
          <w:ind w:left="-5117" w:firstLine="400"/>
        </w:pPr>
        <w:rPr>
          <w:rFonts w:hint="eastAsia"/>
        </w:rPr>
      </w:lvl>
    </w:lvlOverride>
    <w:lvlOverride w:ilvl="8">
      <w:lvl w:ilvl="8" w:tentative="1">
        <w:start w:val="1"/>
        <w:numFmt w:val="decimal"/>
        <w:lvlText w:val="%1.%2.%3.%4.%5.%6.%7.%8.%9"/>
        <w:lvlJc w:val="left"/>
        <w:pPr>
          <w:tabs>
            <w:tab w:val="left" w:pos="-4714"/>
          </w:tabs>
          <w:ind w:left="-5848" w:firstLine="400"/>
        </w:pPr>
        <w:rPr>
          <w:rFonts w:hint="eastAsia"/>
        </w:rPr>
      </w:lvl>
    </w:lvlOverride>
  </w:num>
  <w:num w:numId="8">
    <w:abstractNumId w:val="1"/>
  </w:num>
  <w:num w:numId="9">
    <w:abstractNumId w:val="30"/>
  </w:num>
  <w:num w:numId="10">
    <w:abstractNumId w:val="4"/>
  </w:num>
  <w:num w:numId="11">
    <w:abstractNumId w:val="21"/>
  </w:num>
  <w:num w:numId="12">
    <w:abstractNumId w:val="23"/>
  </w:num>
  <w:num w:numId="13">
    <w:abstractNumId w:val="2"/>
  </w:num>
  <w:num w:numId="14">
    <w:abstractNumId w:val="31"/>
  </w:num>
  <w:num w:numId="15">
    <w:abstractNumId w:val="25"/>
  </w:num>
  <w:num w:numId="16">
    <w:abstractNumId w:val="14"/>
  </w:num>
  <w:num w:numId="17">
    <w:abstractNumId w:val="22"/>
  </w:num>
  <w:num w:numId="18">
    <w:abstractNumId w:val="26"/>
  </w:num>
  <w:num w:numId="19">
    <w:abstractNumId w:val="17"/>
  </w:num>
  <w:num w:numId="20">
    <w:abstractNumId w:val="13"/>
  </w:num>
  <w:num w:numId="21">
    <w:abstractNumId w:val="5"/>
  </w:num>
  <w:num w:numId="22">
    <w:abstractNumId w:val="28"/>
  </w:num>
  <w:num w:numId="23">
    <w:abstractNumId w:val="9"/>
  </w:num>
  <w:num w:numId="24">
    <w:abstractNumId w:val="27"/>
  </w:num>
  <w:num w:numId="25">
    <w:abstractNumId w:val="29"/>
  </w:num>
  <w:num w:numId="26">
    <w:abstractNumId w:val="24"/>
  </w:num>
  <w:num w:numId="27">
    <w:abstractNumId w:val="8"/>
  </w:num>
  <w:num w:numId="28">
    <w:abstractNumId w:val="6"/>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20"/>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Q4NzIwNzA4ZTJjN2M2YzAzODJmMmZmNWFlZjU1OTAifQ=="/>
  </w:docVars>
  <w:rsids>
    <w:rsidRoot w:val="006C5683"/>
    <w:rsid w:val="0000037F"/>
    <w:rsid w:val="000006B9"/>
    <w:rsid w:val="000008E6"/>
    <w:rsid w:val="00000915"/>
    <w:rsid w:val="00000941"/>
    <w:rsid w:val="00000AFB"/>
    <w:rsid w:val="00000D22"/>
    <w:rsid w:val="00000DA4"/>
    <w:rsid w:val="000010E1"/>
    <w:rsid w:val="000011F7"/>
    <w:rsid w:val="0000145B"/>
    <w:rsid w:val="0000159C"/>
    <w:rsid w:val="00001AEA"/>
    <w:rsid w:val="00001CE0"/>
    <w:rsid w:val="00002C01"/>
    <w:rsid w:val="00002DB5"/>
    <w:rsid w:val="00002F9F"/>
    <w:rsid w:val="00003242"/>
    <w:rsid w:val="000035C7"/>
    <w:rsid w:val="000036F7"/>
    <w:rsid w:val="000038EB"/>
    <w:rsid w:val="00003BF3"/>
    <w:rsid w:val="00003CC2"/>
    <w:rsid w:val="00004225"/>
    <w:rsid w:val="00004251"/>
    <w:rsid w:val="0000430D"/>
    <w:rsid w:val="00004654"/>
    <w:rsid w:val="00004677"/>
    <w:rsid w:val="0000488C"/>
    <w:rsid w:val="00004952"/>
    <w:rsid w:val="00004C87"/>
    <w:rsid w:val="00005215"/>
    <w:rsid w:val="00005790"/>
    <w:rsid w:val="00005A10"/>
    <w:rsid w:val="00005AB7"/>
    <w:rsid w:val="00005AFC"/>
    <w:rsid w:val="00006255"/>
    <w:rsid w:val="00006660"/>
    <w:rsid w:val="00006839"/>
    <w:rsid w:val="00006D66"/>
    <w:rsid w:val="00007531"/>
    <w:rsid w:val="00007E0C"/>
    <w:rsid w:val="00007FCD"/>
    <w:rsid w:val="00010102"/>
    <w:rsid w:val="00010129"/>
    <w:rsid w:val="00010A6F"/>
    <w:rsid w:val="00010CED"/>
    <w:rsid w:val="00011500"/>
    <w:rsid w:val="0001175B"/>
    <w:rsid w:val="000123AB"/>
    <w:rsid w:val="000124E2"/>
    <w:rsid w:val="0001275D"/>
    <w:rsid w:val="000128AD"/>
    <w:rsid w:val="00012C0A"/>
    <w:rsid w:val="000132C1"/>
    <w:rsid w:val="00013FCB"/>
    <w:rsid w:val="00014026"/>
    <w:rsid w:val="00014E10"/>
    <w:rsid w:val="00014F58"/>
    <w:rsid w:val="000151D5"/>
    <w:rsid w:val="00015204"/>
    <w:rsid w:val="00015433"/>
    <w:rsid w:val="000154D8"/>
    <w:rsid w:val="00015968"/>
    <w:rsid w:val="00015D82"/>
    <w:rsid w:val="00015E98"/>
    <w:rsid w:val="0001634A"/>
    <w:rsid w:val="00016D58"/>
    <w:rsid w:val="00017112"/>
    <w:rsid w:val="0001716B"/>
    <w:rsid w:val="0001792D"/>
    <w:rsid w:val="0001794C"/>
    <w:rsid w:val="00020150"/>
    <w:rsid w:val="00020321"/>
    <w:rsid w:val="000207D0"/>
    <w:rsid w:val="0002080C"/>
    <w:rsid w:val="0002084D"/>
    <w:rsid w:val="000208EF"/>
    <w:rsid w:val="000211EA"/>
    <w:rsid w:val="0002176D"/>
    <w:rsid w:val="000218B0"/>
    <w:rsid w:val="000218B8"/>
    <w:rsid w:val="00021FA4"/>
    <w:rsid w:val="00022196"/>
    <w:rsid w:val="00022548"/>
    <w:rsid w:val="00022E19"/>
    <w:rsid w:val="000234B2"/>
    <w:rsid w:val="00023787"/>
    <w:rsid w:val="0002382E"/>
    <w:rsid w:val="00023975"/>
    <w:rsid w:val="0002401D"/>
    <w:rsid w:val="000244E1"/>
    <w:rsid w:val="000245FE"/>
    <w:rsid w:val="00024AF9"/>
    <w:rsid w:val="000252D1"/>
    <w:rsid w:val="00025429"/>
    <w:rsid w:val="000255E0"/>
    <w:rsid w:val="00025673"/>
    <w:rsid w:val="00025E39"/>
    <w:rsid w:val="000265CD"/>
    <w:rsid w:val="00026A09"/>
    <w:rsid w:val="00027D88"/>
    <w:rsid w:val="0003018E"/>
    <w:rsid w:val="000301E0"/>
    <w:rsid w:val="0003053A"/>
    <w:rsid w:val="000306B1"/>
    <w:rsid w:val="0003072D"/>
    <w:rsid w:val="00031196"/>
    <w:rsid w:val="0003142E"/>
    <w:rsid w:val="0003148B"/>
    <w:rsid w:val="00031700"/>
    <w:rsid w:val="00031D94"/>
    <w:rsid w:val="00031E25"/>
    <w:rsid w:val="00031F18"/>
    <w:rsid w:val="00031F6E"/>
    <w:rsid w:val="00032001"/>
    <w:rsid w:val="00032090"/>
    <w:rsid w:val="000324C6"/>
    <w:rsid w:val="000325A7"/>
    <w:rsid w:val="00032AF9"/>
    <w:rsid w:val="00032B23"/>
    <w:rsid w:val="00032BA5"/>
    <w:rsid w:val="00032C22"/>
    <w:rsid w:val="0003373D"/>
    <w:rsid w:val="000339DE"/>
    <w:rsid w:val="00033B7B"/>
    <w:rsid w:val="00034B41"/>
    <w:rsid w:val="0003503F"/>
    <w:rsid w:val="00035163"/>
    <w:rsid w:val="00035A15"/>
    <w:rsid w:val="0003617B"/>
    <w:rsid w:val="00036562"/>
    <w:rsid w:val="00036E72"/>
    <w:rsid w:val="0003705B"/>
    <w:rsid w:val="00037161"/>
    <w:rsid w:val="00037281"/>
    <w:rsid w:val="000372DD"/>
    <w:rsid w:val="000377F6"/>
    <w:rsid w:val="00037F52"/>
    <w:rsid w:val="00037F54"/>
    <w:rsid w:val="0004000A"/>
    <w:rsid w:val="00040715"/>
    <w:rsid w:val="00040A4B"/>
    <w:rsid w:val="00040D3C"/>
    <w:rsid w:val="0004120F"/>
    <w:rsid w:val="000412AB"/>
    <w:rsid w:val="0004154A"/>
    <w:rsid w:val="00041B72"/>
    <w:rsid w:val="00041B9A"/>
    <w:rsid w:val="00041E1A"/>
    <w:rsid w:val="00041E58"/>
    <w:rsid w:val="00041F04"/>
    <w:rsid w:val="00042BE4"/>
    <w:rsid w:val="00042CE2"/>
    <w:rsid w:val="00043131"/>
    <w:rsid w:val="0004348E"/>
    <w:rsid w:val="00043819"/>
    <w:rsid w:val="00043956"/>
    <w:rsid w:val="00043A89"/>
    <w:rsid w:val="00043F34"/>
    <w:rsid w:val="00044204"/>
    <w:rsid w:val="00044591"/>
    <w:rsid w:val="00044926"/>
    <w:rsid w:val="00044F3A"/>
    <w:rsid w:val="00045167"/>
    <w:rsid w:val="000451DF"/>
    <w:rsid w:val="0004538E"/>
    <w:rsid w:val="00045739"/>
    <w:rsid w:val="000457A8"/>
    <w:rsid w:val="00045AD6"/>
    <w:rsid w:val="0004685B"/>
    <w:rsid w:val="00046F68"/>
    <w:rsid w:val="0004790E"/>
    <w:rsid w:val="00047A43"/>
    <w:rsid w:val="00047EF0"/>
    <w:rsid w:val="0005087F"/>
    <w:rsid w:val="000510B6"/>
    <w:rsid w:val="0005157F"/>
    <w:rsid w:val="00051D3E"/>
    <w:rsid w:val="00051F3F"/>
    <w:rsid w:val="0005204E"/>
    <w:rsid w:val="00052798"/>
    <w:rsid w:val="00052B63"/>
    <w:rsid w:val="00052BC1"/>
    <w:rsid w:val="000530A4"/>
    <w:rsid w:val="0005328F"/>
    <w:rsid w:val="00053715"/>
    <w:rsid w:val="0005381C"/>
    <w:rsid w:val="000538BE"/>
    <w:rsid w:val="00053A25"/>
    <w:rsid w:val="00053CFE"/>
    <w:rsid w:val="0005468B"/>
    <w:rsid w:val="00054E27"/>
    <w:rsid w:val="0005506C"/>
    <w:rsid w:val="00055256"/>
    <w:rsid w:val="000557BC"/>
    <w:rsid w:val="0005582B"/>
    <w:rsid w:val="00055996"/>
    <w:rsid w:val="00055BF3"/>
    <w:rsid w:val="00055C4B"/>
    <w:rsid w:val="00055F5C"/>
    <w:rsid w:val="000566D1"/>
    <w:rsid w:val="0005677F"/>
    <w:rsid w:val="00056E39"/>
    <w:rsid w:val="00057332"/>
    <w:rsid w:val="0005740C"/>
    <w:rsid w:val="00057630"/>
    <w:rsid w:val="000576F3"/>
    <w:rsid w:val="00060095"/>
    <w:rsid w:val="000601F6"/>
    <w:rsid w:val="0006026B"/>
    <w:rsid w:val="000602D1"/>
    <w:rsid w:val="0006039A"/>
    <w:rsid w:val="00060CA8"/>
    <w:rsid w:val="00060E5A"/>
    <w:rsid w:val="000612D5"/>
    <w:rsid w:val="0006171E"/>
    <w:rsid w:val="00061AC1"/>
    <w:rsid w:val="00061BBA"/>
    <w:rsid w:val="00061BDE"/>
    <w:rsid w:val="00061DCB"/>
    <w:rsid w:val="0006249F"/>
    <w:rsid w:val="0006267A"/>
    <w:rsid w:val="0006269C"/>
    <w:rsid w:val="00062882"/>
    <w:rsid w:val="00062BA0"/>
    <w:rsid w:val="00062C42"/>
    <w:rsid w:val="00062E92"/>
    <w:rsid w:val="00063131"/>
    <w:rsid w:val="000638E3"/>
    <w:rsid w:val="00063BC7"/>
    <w:rsid w:val="00063CD3"/>
    <w:rsid w:val="00063F40"/>
    <w:rsid w:val="00063FD9"/>
    <w:rsid w:val="00064AF3"/>
    <w:rsid w:val="00065A1B"/>
    <w:rsid w:val="00065C1B"/>
    <w:rsid w:val="00065FC1"/>
    <w:rsid w:val="00066377"/>
    <w:rsid w:val="0006640B"/>
    <w:rsid w:val="0006670C"/>
    <w:rsid w:val="00067317"/>
    <w:rsid w:val="00067390"/>
    <w:rsid w:val="00067A02"/>
    <w:rsid w:val="00067B7F"/>
    <w:rsid w:val="00067D5E"/>
    <w:rsid w:val="000702E0"/>
    <w:rsid w:val="00070409"/>
    <w:rsid w:val="0007051D"/>
    <w:rsid w:val="00070736"/>
    <w:rsid w:val="000709E4"/>
    <w:rsid w:val="00071793"/>
    <w:rsid w:val="00072DD1"/>
    <w:rsid w:val="00073180"/>
    <w:rsid w:val="000732C9"/>
    <w:rsid w:val="00073489"/>
    <w:rsid w:val="000736F6"/>
    <w:rsid w:val="00073E77"/>
    <w:rsid w:val="000740B8"/>
    <w:rsid w:val="000741C5"/>
    <w:rsid w:val="000744B3"/>
    <w:rsid w:val="0007455E"/>
    <w:rsid w:val="000750DC"/>
    <w:rsid w:val="0007542D"/>
    <w:rsid w:val="00075C4A"/>
    <w:rsid w:val="00076380"/>
    <w:rsid w:val="000764D8"/>
    <w:rsid w:val="0007689C"/>
    <w:rsid w:val="00077188"/>
    <w:rsid w:val="0007777F"/>
    <w:rsid w:val="000777B6"/>
    <w:rsid w:val="00080925"/>
    <w:rsid w:val="00080BCD"/>
    <w:rsid w:val="0008103C"/>
    <w:rsid w:val="0008112F"/>
    <w:rsid w:val="000815C6"/>
    <w:rsid w:val="00081A6E"/>
    <w:rsid w:val="000820FF"/>
    <w:rsid w:val="00082667"/>
    <w:rsid w:val="00083479"/>
    <w:rsid w:val="0008398E"/>
    <w:rsid w:val="00083A13"/>
    <w:rsid w:val="00083AAF"/>
    <w:rsid w:val="00083DA4"/>
    <w:rsid w:val="00083DC6"/>
    <w:rsid w:val="0008409D"/>
    <w:rsid w:val="00084A85"/>
    <w:rsid w:val="00085023"/>
    <w:rsid w:val="0008505A"/>
    <w:rsid w:val="00085592"/>
    <w:rsid w:val="00085624"/>
    <w:rsid w:val="0008570C"/>
    <w:rsid w:val="00085B5B"/>
    <w:rsid w:val="000862AC"/>
    <w:rsid w:val="000864B8"/>
    <w:rsid w:val="000869D8"/>
    <w:rsid w:val="00086A1E"/>
    <w:rsid w:val="00086C4F"/>
    <w:rsid w:val="00087553"/>
    <w:rsid w:val="00087A08"/>
    <w:rsid w:val="00090A99"/>
    <w:rsid w:val="00090F71"/>
    <w:rsid w:val="00091179"/>
    <w:rsid w:val="0009141A"/>
    <w:rsid w:val="0009154A"/>
    <w:rsid w:val="00091843"/>
    <w:rsid w:val="00091BDA"/>
    <w:rsid w:val="00091DAC"/>
    <w:rsid w:val="000924E5"/>
    <w:rsid w:val="00092590"/>
    <w:rsid w:val="0009269A"/>
    <w:rsid w:val="000927D9"/>
    <w:rsid w:val="00092881"/>
    <w:rsid w:val="00092CD0"/>
    <w:rsid w:val="00092FC7"/>
    <w:rsid w:val="00093003"/>
    <w:rsid w:val="00094373"/>
    <w:rsid w:val="00094A99"/>
    <w:rsid w:val="00094EB7"/>
    <w:rsid w:val="000950A7"/>
    <w:rsid w:val="00095368"/>
    <w:rsid w:val="00095480"/>
    <w:rsid w:val="000954D5"/>
    <w:rsid w:val="0009550F"/>
    <w:rsid w:val="00095747"/>
    <w:rsid w:val="00095778"/>
    <w:rsid w:val="00095A25"/>
    <w:rsid w:val="0009618D"/>
    <w:rsid w:val="000961F2"/>
    <w:rsid w:val="00096665"/>
    <w:rsid w:val="00096ED1"/>
    <w:rsid w:val="0009709B"/>
    <w:rsid w:val="00097545"/>
    <w:rsid w:val="0009778F"/>
    <w:rsid w:val="000A0441"/>
    <w:rsid w:val="000A0B8E"/>
    <w:rsid w:val="000A1206"/>
    <w:rsid w:val="000A14DF"/>
    <w:rsid w:val="000A15F4"/>
    <w:rsid w:val="000A1DFD"/>
    <w:rsid w:val="000A1ECE"/>
    <w:rsid w:val="000A21C8"/>
    <w:rsid w:val="000A21E9"/>
    <w:rsid w:val="000A2346"/>
    <w:rsid w:val="000A2470"/>
    <w:rsid w:val="000A2927"/>
    <w:rsid w:val="000A2B24"/>
    <w:rsid w:val="000A2C6D"/>
    <w:rsid w:val="000A48A7"/>
    <w:rsid w:val="000A4E91"/>
    <w:rsid w:val="000A5537"/>
    <w:rsid w:val="000A599B"/>
    <w:rsid w:val="000A63BC"/>
    <w:rsid w:val="000A6B4F"/>
    <w:rsid w:val="000A6BCB"/>
    <w:rsid w:val="000A6BD4"/>
    <w:rsid w:val="000A6EE8"/>
    <w:rsid w:val="000A6F39"/>
    <w:rsid w:val="000A71B6"/>
    <w:rsid w:val="000A7726"/>
    <w:rsid w:val="000A7E35"/>
    <w:rsid w:val="000A7F52"/>
    <w:rsid w:val="000A7F87"/>
    <w:rsid w:val="000B00F8"/>
    <w:rsid w:val="000B05E2"/>
    <w:rsid w:val="000B10EB"/>
    <w:rsid w:val="000B11E0"/>
    <w:rsid w:val="000B1345"/>
    <w:rsid w:val="000B2568"/>
    <w:rsid w:val="000B2BAE"/>
    <w:rsid w:val="000B2BB0"/>
    <w:rsid w:val="000B31D3"/>
    <w:rsid w:val="000B381C"/>
    <w:rsid w:val="000B3AFE"/>
    <w:rsid w:val="000B3E2A"/>
    <w:rsid w:val="000B3E92"/>
    <w:rsid w:val="000B428A"/>
    <w:rsid w:val="000B44C8"/>
    <w:rsid w:val="000B456B"/>
    <w:rsid w:val="000B4591"/>
    <w:rsid w:val="000B4777"/>
    <w:rsid w:val="000B4988"/>
    <w:rsid w:val="000B4A23"/>
    <w:rsid w:val="000B524E"/>
    <w:rsid w:val="000B5447"/>
    <w:rsid w:val="000B56CC"/>
    <w:rsid w:val="000B5B15"/>
    <w:rsid w:val="000B6142"/>
    <w:rsid w:val="000B6616"/>
    <w:rsid w:val="000B6961"/>
    <w:rsid w:val="000B69EB"/>
    <w:rsid w:val="000B6B59"/>
    <w:rsid w:val="000B6DE4"/>
    <w:rsid w:val="000B738D"/>
    <w:rsid w:val="000B73D3"/>
    <w:rsid w:val="000B7745"/>
    <w:rsid w:val="000B7AF7"/>
    <w:rsid w:val="000C0173"/>
    <w:rsid w:val="000C01EA"/>
    <w:rsid w:val="000C0332"/>
    <w:rsid w:val="000C0559"/>
    <w:rsid w:val="000C0A07"/>
    <w:rsid w:val="000C198E"/>
    <w:rsid w:val="000C1C71"/>
    <w:rsid w:val="000C1E5E"/>
    <w:rsid w:val="000C1EE4"/>
    <w:rsid w:val="000C2377"/>
    <w:rsid w:val="000C2446"/>
    <w:rsid w:val="000C247F"/>
    <w:rsid w:val="000C2722"/>
    <w:rsid w:val="000C2758"/>
    <w:rsid w:val="000C2783"/>
    <w:rsid w:val="000C2983"/>
    <w:rsid w:val="000C2FC5"/>
    <w:rsid w:val="000C3224"/>
    <w:rsid w:val="000C32DF"/>
    <w:rsid w:val="000C3360"/>
    <w:rsid w:val="000C37DA"/>
    <w:rsid w:val="000C3C43"/>
    <w:rsid w:val="000C3D9C"/>
    <w:rsid w:val="000C40A6"/>
    <w:rsid w:val="000C427C"/>
    <w:rsid w:val="000C4425"/>
    <w:rsid w:val="000C5044"/>
    <w:rsid w:val="000C50BE"/>
    <w:rsid w:val="000C5129"/>
    <w:rsid w:val="000C580F"/>
    <w:rsid w:val="000C5B89"/>
    <w:rsid w:val="000C5F59"/>
    <w:rsid w:val="000C61EA"/>
    <w:rsid w:val="000C6975"/>
    <w:rsid w:val="000C6BA7"/>
    <w:rsid w:val="000C70F7"/>
    <w:rsid w:val="000C7CA5"/>
    <w:rsid w:val="000C7D81"/>
    <w:rsid w:val="000D056E"/>
    <w:rsid w:val="000D0D27"/>
    <w:rsid w:val="000D1003"/>
    <w:rsid w:val="000D1055"/>
    <w:rsid w:val="000D1275"/>
    <w:rsid w:val="000D12AA"/>
    <w:rsid w:val="000D1A7D"/>
    <w:rsid w:val="000D1C28"/>
    <w:rsid w:val="000D2309"/>
    <w:rsid w:val="000D2363"/>
    <w:rsid w:val="000D2390"/>
    <w:rsid w:val="000D23AD"/>
    <w:rsid w:val="000D28BC"/>
    <w:rsid w:val="000D2C15"/>
    <w:rsid w:val="000D336F"/>
    <w:rsid w:val="000D350D"/>
    <w:rsid w:val="000D35B7"/>
    <w:rsid w:val="000D38F9"/>
    <w:rsid w:val="000D3BBC"/>
    <w:rsid w:val="000D40F0"/>
    <w:rsid w:val="000D43FD"/>
    <w:rsid w:val="000D495E"/>
    <w:rsid w:val="000D4AB2"/>
    <w:rsid w:val="000D4CFC"/>
    <w:rsid w:val="000D4E09"/>
    <w:rsid w:val="000D53B3"/>
    <w:rsid w:val="000D54E8"/>
    <w:rsid w:val="000D5864"/>
    <w:rsid w:val="000D58D2"/>
    <w:rsid w:val="000D5DD9"/>
    <w:rsid w:val="000D601C"/>
    <w:rsid w:val="000D6197"/>
    <w:rsid w:val="000D66C8"/>
    <w:rsid w:val="000D695F"/>
    <w:rsid w:val="000D6AF1"/>
    <w:rsid w:val="000D6DA4"/>
    <w:rsid w:val="000D7130"/>
    <w:rsid w:val="000D774A"/>
    <w:rsid w:val="000D7BA2"/>
    <w:rsid w:val="000E0040"/>
    <w:rsid w:val="000E01F1"/>
    <w:rsid w:val="000E0227"/>
    <w:rsid w:val="000E02DA"/>
    <w:rsid w:val="000E065D"/>
    <w:rsid w:val="000E0885"/>
    <w:rsid w:val="000E0B82"/>
    <w:rsid w:val="000E121E"/>
    <w:rsid w:val="000E14A4"/>
    <w:rsid w:val="000E14C6"/>
    <w:rsid w:val="000E166A"/>
    <w:rsid w:val="000E1759"/>
    <w:rsid w:val="000E1C23"/>
    <w:rsid w:val="000E2131"/>
    <w:rsid w:val="000E2254"/>
    <w:rsid w:val="000E23C2"/>
    <w:rsid w:val="000E27E1"/>
    <w:rsid w:val="000E2EC0"/>
    <w:rsid w:val="000E2F34"/>
    <w:rsid w:val="000E301B"/>
    <w:rsid w:val="000E31A3"/>
    <w:rsid w:val="000E34E1"/>
    <w:rsid w:val="000E35D4"/>
    <w:rsid w:val="000E3626"/>
    <w:rsid w:val="000E3B90"/>
    <w:rsid w:val="000E4687"/>
    <w:rsid w:val="000E4C05"/>
    <w:rsid w:val="000E4DE8"/>
    <w:rsid w:val="000E5CC7"/>
    <w:rsid w:val="000E5D44"/>
    <w:rsid w:val="000E60B2"/>
    <w:rsid w:val="000E62D4"/>
    <w:rsid w:val="000E69FE"/>
    <w:rsid w:val="000E6C5E"/>
    <w:rsid w:val="000E6C9A"/>
    <w:rsid w:val="000E6EC0"/>
    <w:rsid w:val="000E7D2D"/>
    <w:rsid w:val="000F0300"/>
    <w:rsid w:val="000F087F"/>
    <w:rsid w:val="000F179C"/>
    <w:rsid w:val="000F1FA3"/>
    <w:rsid w:val="000F2065"/>
    <w:rsid w:val="000F2359"/>
    <w:rsid w:val="000F2A88"/>
    <w:rsid w:val="000F2D1B"/>
    <w:rsid w:val="000F353A"/>
    <w:rsid w:val="000F3A80"/>
    <w:rsid w:val="000F3ADB"/>
    <w:rsid w:val="000F3FA1"/>
    <w:rsid w:val="000F4200"/>
    <w:rsid w:val="000F4351"/>
    <w:rsid w:val="000F45A9"/>
    <w:rsid w:val="000F4752"/>
    <w:rsid w:val="000F4753"/>
    <w:rsid w:val="000F48D9"/>
    <w:rsid w:val="000F4B7E"/>
    <w:rsid w:val="000F4C57"/>
    <w:rsid w:val="000F4E82"/>
    <w:rsid w:val="000F4FAD"/>
    <w:rsid w:val="000F514E"/>
    <w:rsid w:val="000F51DA"/>
    <w:rsid w:val="000F5577"/>
    <w:rsid w:val="000F565B"/>
    <w:rsid w:val="000F57BF"/>
    <w:rsid w:val="000F5A30"/>
    <w:rsid w:val="000F5F3F"/>
    <w:rsid w:val="000F6124"/>
    <w:rsid w:val="000F67AA"/>
    <w:rsid w:val="000F7D24"/>
    <w:rsid w:val="000F7F23"/>
    <w:rsid w:val="0010004A"/>
    <w:rsid w:val="001005C3"/>
    <w:rsid w:val="00101366"/>
    <w:rsid w:val="001018E7"/>
    <w:rsid w:val="00101ACF"/>
    <w:rsid w:val="00101C3F"/>
    <w:rsid w:val="00101DD0"/>
    <w:rsid w:val="00102555"/>
    <w:rsid w:val="00102F06"/>
    <w:rsid w:val="0010311C"/>
    <w:rsid w:val="00103308"/>
    <w:rsid w:val="0010339A"/>
    <w:rsid w:val="00103DFC"/>
    <w:rsid w:val="001047E8"/>
    <w:rsid w:val="00104B2A"/>
    <w:rsid w:val="00104BD5"/>
    <w:rsid w:val="00104F15"/>
    <w:rsid w:val="001051A9"/>
    <w:rsid w:val="001055FD"/>
    <w:rsid w:val="0010562D"/>
    <w:rsid w:val="00105B3E"/>
    <w:rsid w:val="00105BA0"/>
    <w:rsid w:val="00105CCD"/>
    <w:rsid w:val="001061D3"/>
    <w:rsid w:val="00106748"/>
    <w:rsid w:val="00106787"/>
    <w:rsid w:val="001068B3"/>
    <w:rsid w:val="001075B1"/>
    <w:rsid w:val="001078A4"/>
    <w:rsid w:val="00107958"/>
    <w:rsid w:val="00107D54"/>
    <w:rsid w:val="00110079"/>
    <w:rsid w:val="00110173"/>
    <w:rsid w:val="00110614"/>
    <w:rsid w:val="00110A90"/>
    <w:rsid w:val="0011108B"/>
    <w:rsid w:val="001111F7"/>
    <w:rsid w:val="00111A14"/>
    <w:rsid w:val="00111AE0"/>
    <w:rsid w:val="001123DA"/>
    <w:rsid w:val="00112E7A"/>
    <w:rsid w:val="00113890"/>
    <w:rsid w:val="001138DA"/>
    <w:rsid w:val="00113D88"/>
    <w:rsid w:val="00114744"/>
    <w:rsid w:val="00114DBB"/>
    <w:rsid w:val="0011556E"/>
    <w:rsid w:val="00115711"/>
    <w:rsid w:val="001157B1"/>
    <w:rsid w:val="0011585F"/>
    <w:rsid w:val="00115A55"/>
    <w:rsid w:val="00115AD7"/>
    <w:rsid w:val="001167F1"/>
    <w:rsid w:val="00116971"/>
    <w:rsid w:val="00116C1E"/>
    <w:rsid w:val="00116DA4"/>
    <w:rsid w:val="001172D4"/>
    <w:rsid w:val="00117316"/>
    <w:rsid w:val="00117A19"/>
    <w:rsid w:val="001208AF"/>
    <w:rsid w:val="001209BD"/>
    <w:rsid w:val="00120A84"/>
    <w:rsid w:val="00120D59"/>
    <w:rsid w:val="00121047"/>
    <w:rsid w:val="001212EF"/>
    <w:rsid w:val="001215C5"/>
    <w:rsid w:val="001217DC"/>
    <w:rsid w:val="001218E3"/>
    <w:rsid w:val="00121AA9"/>
    <w:rsid w:val="00121F79"/>
    <w:rsid w:val="0012203F"/>
    <w:rsid w:val="0012251B"/>
    <w:rsid w:val="00122873"/>
    <w:rsid w:val="001229E5"/>
    <w:rsid w:val="00122EAA"/>
    <w:rsid w:val="00123243"/>
    <w:rsid w:val="00123455"/>
    <w:rsid w:val="00123CC6"/>
    <w:rsid w:val="001240F8"/>
    <w:rsid w:val="001241FC"/>
    <w:rsid w:val="00125202"/>
    <w:rsid w:val="00125AEC"/>
    <w:rsid w:val="00125C68"/>
    <w:rsid w:val="00125C8A"/>
    <w:rsid w:val="00125D0A"/>
    <w:rsid w:val="00125E70"/>
    <w:rsid w:val="00125E74"/>
    <w:rsid w:val="00126080"/>
    <w:rsid w:val="001264D8"/>
    <w:rsid w:val="00126953"/>
    <w:rsid w:val="00126AD5"/>
    <w:rsid w:val="00126C43"/>
    <w:rsid w:val="00126E4A"/>
    <w:rsid w:val="00126EEB"/>
    <w:rsid w:val="00127777"/>
    <w:rsid w:val="00127828"/>
    <w:rsid w:val="00127D68"/>
    <w:rsid w:val="001305BF"/>
    <w:rsid w:val="001307D9"/>
    <w:rsid w:val="00130827"/>
    <w:rsid w:val="001308A2"/>
    <w:rsid w:val="00130C56"/>
    <w:rsid w:val="00131668"/>
    <w:rsid w:val="001318C4"/>
    <w:rsid w:val="001319AB"/>
    <w:rsid w:val="001321FC"/>
    <w:rsid w:val="0013288F"/>
    <w:rsid w:val="00132A32"/>
    <w:rsid w:val="00132C86"/>
    <w:rsid w:val="00132F55"/>
    <w:rsid w:val="00132FAF"/>
    <w:rsid w:val="001330B3"/>
    <w:rsid w:val="0013315D"/>
    <w:rsid w:val="001333A3"/>
    <w:rsid w:val="00133D2B"/>
    <w:rsid w:val="00133D89"/>
    <w:rsid w:val="00133F4C"/>
    <w:rsid w:val="001342FB"/>
    <w:rsid w:val="00134374"/>
    <w:rsid w:val="001343C8"/>
    <w:rsid w:val="00134AF9"/>
    <w:rsid w:val="00134B47"/>
    <w:rsid w:val="00134B53"/>
    <w:rsid w:val="00134C5F"/>
    <w:rsid w:val="00134D6D"/>
    <w:rsid w:val="0013562E"/>
    <w:rsid w:val="00135640"/>
    <w:rsid w:val="00135771"/>
    <w:rsid w:val="00136467"/>
    <w:rsid w:val="00136543"/>
    <w:rsid w:val="00136648"/>
    <w:rsid w:val="001375DE"/>
    <w:rsid w:val="00137694"/>
    <w:rsid w:val="00137D09"/>
    <w:rsid w:val="001400C7"/>
    <w:rsid w:val="0014046D"/>
    <w:rsid w:val="00140F01"/>
    <w:rsid w:val="00141596"/>
    <w:rsid w:val="00141CCD"/>
    <w:rsid w:val="00141CFC"/>
    <w:rsid w:val="00142592"/>
    <w:rsid w:val="00142838"/>
    <w:rsid w:val="00143282"/>
    <w:rsid w:val="00143653"/>
    <w:rsid w:val="0014396B"/>
    <w:rsid w:val="0014396D"/>
    <w:rsid w:val="00143B3A"/>
    <w:rsid w:val="00144298"/>
    <w:rsid w:val="001446E6"/>
    <w:rsid w:val="00144A9F"/>
    <w:rsid w:val="00144EC9"/>
    <w:rsid w:val="0014521C"/>
    <w:rsid w:val="0014549B"/>
    <w:rsid w:val="00145C26"/>
    <w:rsid w:val="00146AE7"/>
    <w:rsid w:val="001471ED"/>
    <w:rsid w:val="00147350"/>
    <w:rsid w:val="00147AE8"/>
    <w:rsid w:val="00147B3F"/>
    <w:rsid w:val="00150829"/>
    <w:rsid w:val="00151B71"/>
    <w:rsid w:val="001520F3"/>
    <w:rsid w:val="00152CBF"/>
    <w:rsid w:val="0015305A"/>
    <w:rsid w:val="001530CC"/>
    <w:rsid w:val="001530FC"/>
    <w:rsid w:val="00153212"/>
    <w:rsid w:val="00153237"/>
    <w:rsid w:val="00153387"/>
    <w:rsid w:val="0015340E"/>
    <w:rsid w:val="0015359C"/>
    <w:rsid w:val="00154156"/>
    <w:rsid w:val="00154845"/>
    <w:rsid w:val="00154A21"/>
    <w:rsid w:val="00154CC9"/>
    <w:rsid w:val="00155965"/>
    <w:rsid w:val="001559C0"/>
    <w:rsid w:val="001560BF"/>
    <w:rsid w:val="001560F0"/>
    <w:rsid w:val="00156D80"/>
    <w:rsid w:val="00157361"/>
    <w:rsid w:val="0015788F"/>
    <w:rsid w:val="00157A54"/>
    <w:rsid w:val="00157BDA"/>
    <w:rsid w:val="00157E23"/>
    <w:rsid w:val="00157F18"/>
    <w:rsid w:val="00157FC3"/>
    <w:rsid w:val="0016005F"/>
    <w:rsid w:val="0016028E"/>
    <w:rsid w:val="00160352"/>
    <w:rsid w:val="00160819"/>
    <w:rsid w:val="00160854"/>
    <w:rsid w:val="00160B8F"/>
    <w:rsid w:val="00160D51"/>
    <w:rsid w:val="00160DD2"/>
    <w:rsid w:val="00160EAC"/>
    <w:rsid w:val="001610A3"/>
    <w:rsid w:val="00161B15"/>
    <w:rsid w:val="00161C84"/>
    <w:rsid w:val="0016221D"/>
    <w:rsid w:val="001623F2"/>
    <w:rsid w:val="00162651"/>
    <w:rsid w:val="001626BD"/>
    <w:rsid w:val="00163075"/>
    <w:rsid w:val="001635AE"/>
    <w:rsid w:val="001635DB"/>
    <w:rsid w:val="00163604"/>
    <w:rsid w:val="0016379F"/>
    <w:rsid w:val="00163812"/>
    <w:rsid w:val="00163865"/>
    <w:rsid w:val="0016459D"/>
    <w:rsid w:val="0016482C"/>
    <w:rsid w:val="0016483A"/>
    <w:rsid w:val="00164A38"/>
    <w:rsid w:val="00164E23"/>
    <w:rsid w:val="001650F8"/>
    <w:rsid w:val="00165222"/>
    <w:rsid w:val="00165768"/>
    <w:rsid w:val="0016595F"/>
    <w:rsid w:val="00165A06"/>
    <w:rsid w:val="00166372"/>
    <w:rsid w:val="00166A2C"/>
    <w:rsid w:val="001674FF"/>
    <w:rsid w:val="00167E9C"/>
    <w:rsid w:val="00170E88"/>
    <w:rsid w:val="00171077"/>
    <w:rsid w:val="001715B6"/>
    <w:rsid w:val="0017276E"/>
    <w:rsid w:val="00172D74"/>
    <w:rsid w:val="0017320F"/>
    <w:rsid w:val="0017350C"/>
    <w:rsid w:val="001735A6"/>
    <w:rsid w:val="001739D1"/>
    <w:rsid w:val="001746C2"/>
    <w:rsid w:val="0017584B"/>
    <w:rsid w:val="00175AE4"/>
    <w:rsid w:val="00175B85"/>
    <w:rsid w:val="00175E0B"/>
    <w:rsid w:val="00175E43"/>
    <w:rsid w:val="00175EEA"/>
    <w:rsid w:val="00176286"/>
    <w:rsid w:val="00176657"/>
    <w:rsid w:val="00176BC7"/>
    <w:rsid w:val="00176EED"/>
    <w:rsid w:val="00176F9F"/>
    <w:rsid w:val="00177167"/>
    <w:rsid w:val="001775A3"/>
    <w:rsid w:val="00180511"/>
    <w:rsid w:val="00180E64"/>
    <w:rsid w:val="00180F96"/>
    <w:rsid w:val="00181682"/>
    <w:rsid w:val="00181F4B"/>
    <w:rsid w:val="0018205E"/>
    <w:rsid w:val="00182A09"/>
    <w:rsid w:val="00182A92"/>
    <w:rsid w:val="00183354"/>
    <w:rsid w:val="001834DC"/>
    <w:rsid w:val="00183959"/>
    <w:rsid w:val="00183B08"/>
    <w:rsid w:val="00183C79"/>
    <w:rsid w:val="00183C8B"/>
    <w:rsid w:val="00183E75"/>
    <w:rsid w:val="00183F5D"/>
    <w:rsid w:val="0018405F"/>
    <w:rsid w:val="00184465"/>
    <w:rsid w:val="001845CF"/>
    <w:rsid w:val="00184BF0"/>
    <w:rsid w:val="00184D10"/>
    <w:rsid w:val="001857BB"/>
    <w:rsid w:val="001861AA"/>
    <w:rsid w:val="001865BB"/>
    <w:rsid w:val="001868B4"/>
    <w:rsid w:val="00186919"/>
    <w:rsid w:val="00187339"/>
    <w:rsid w:val="00187438"/>
    <w:rsid w:val="00187518"/>
    <w:rsid w:val="00187941"/>
    <w:rsid w:val="00187A32"/>
    <w:rsid w:val="001902DD"/>
    <w:rsid w:val="00190FB6"/>
    <w:rsid w:val="001912E3"/>
    <w:rsid w:val="001913D0"/>
    <w:rsid w:val="00191C85"/>
    <w:rsid w:val="00192A33"/>
    <w:rsid w:val="00193368"/>
    <w:rsid w:val="001933A1"/>
    <w:rsid w:val="001934E6"/>
    <w:rsid w:val="00193911"/>
    <w:rsid w:val="001939F6"/>
    <w:rsid w:val="00194444"/>
    <w:rsid w:val="00194852"/>
    <w:rsid w:val="00194984"/>
    <w:rsid w:val="00194FD4"/>
    <w:rsid w:val="001952F2"/>
    <w:rsid w:val="0019560F"/>
    <w:rsid w:val="00195AC6"/>
    <w:rsid w:val="00195B0A"/>
    <w:rsid w:val="00195C22"/>
    <w:rsid w:val="00195D58"/>
    <w:rsid w:val="00195DE8"/>
    <w:rsid w:val="00195DED"/>
    <w:rsid w:val="00196B4E"/>
    <w:rsid w:val="0019785B"/>
    <w:rsid w:val="00197BE9"/>
    <w:rsid w:val="00197F24"/>
    <w:rsid w:val="00197F3E"/>
    <w:rsid w:val="001A01E7"/>
    <w:rsid w:val="001A0210"/>
    <w:rsid w:val="001A0279"/>
    <w:rsid w:val="001A027A"/>
    <w:rsid w:val="001A0922"/>
    <w:rsid w:val="001A0926"/>
    <w:rsid w:val="001A0C05"/>
    <w:rsid w:val="001A0D2C"/>
    <w:rsid w:val="001A0E40"/>
    <w:rsid w:val="001A1039"/>
    <w:rsid w:val="001A18BF"/>
    <w:rsid w:val="001A30FB"/>
    <w:rsid w:val="001A33C2"/>
    <w:rsid w:val="001A3425"/>
    <w:rsid w:val="001A35A9"/>
    <w:rsid w:val="001A398D"/>
    <w:rsid w:val="001A3F62"/>
    <w:rsid w:val="001A405E"/>
    <w:rsid w:val="001A41EA"/>
    <w:rsid w:val="001A422B"/>
    <w:rsid w:val="001A440A"/>
    <w:rsid w:val="001A4441"/>
    <w:rsid w:val="001A4797"/>
    <w:rsid w:val="001A4A55"/>
    <w:rsid w:val="001A4F44"/>
    <w:rsid w:val="001A54DC"/>
    <w:rsid w:val="001A639F"/>
    <w:rsid w:val="001A6401"/>
    <w:rsid w:val="001A6652"/>
    <w:rsid w:val="001A6863"/>
    <w:rsid w:val="001A6A4F"/>
    <w:rsid w:val="001A6DDD"/>
    <w:rsid w:val="001A7298"/>
    <w:rsid w:val="001A7602"/>
    <w:rsid w:val="001A7695"/>
    <w:rsid w:val="001A76B7"/>
    <w:rsid w:val="001A7B3F"/>
    <w:rsid w:val="001B0379"/>
    <w:rsid w:val="001B0973"/>
    <w:rsid w:val="001B0C8A"/>
    <w:rsid w:val="001B0DE7"/>
    <w:rsid w:val="001B132F"/>
    <w:rsid w:val="001B1339"/>
    <w:rsid w:val="001B13B3"/>
    <w:rsid w:val="001B17D4"/>
    <w:rsid w:val="001B197E"/>
    <w:rsid w:val="001B1F31"/>
    <w:rsid w:val="001B1FC5"/>
    <w:rsid w:val="001B2485"/>
    <w:rsid w:val="001B2613"/>
    <w:rsid w:val="001B2B50"/>
    <w:rsid w:val="001B2B6A"/>
    <w:rsid w:val="001B32B8"/>
    <w:rsid w:val="001B3CF4"/>
    <w:rsid w:val="001B3D28"/>
    <w:rsid w:val="001B41B1"/>
    <w:rsid w:val="001B4A03"/>
    <w:rsid w:val="001B4AD1"/>
    <w:rsid w:val="001B4DC8"/>
    <w:rsid w:val="001B5B57"/>
    <w:rsid w:val="001B68B0"/>
    <w:rsid w:val="001B6B20"/>
    <w:rsid w:val="001B783E"/>
    <w:rsid w:val="001B7BEC"/>
    <w:rsid w:val="001B7E2B"/>
    <w:rsid w:val="001C02C5"/>
    <w:rsid w:val="001C04B2"/>
    <w:rsid w:val="001C0D59"/>
    <w:rsid w:val="001C0DED"/>
    <w:rsid w:val="001C0E2D"/>
    <w:rsid w:val="001C0EBA"/>
    <w:rsid w:val="001C11EB"/>
    <w:rsid w:val="001C17E0"/>
    <w:rsid w:val="001C17FA"/>
    <w:rsid w:val="001C1ACC"/>
    <w:rsid w:val="001C1FC1"/>
    <w:rsid w:val="001C1FDE"/>
    <w:rsid w:val="001C2140"/>
    <w:rsid w:val="001C2369"/>
    <w:rsid w:val="001C2412"/>
    <w:rsid w:val="001C2493"/>
    <w:rsid w:val="001C2A9D"/>
    <w:rsid w:val="001C2C77"/>
    <w:rsid w:val="001C3021"/>
    <w:rsid w:val="001C33A2"/>
    <w:rsid w:val="001C3737"/>
    <w:rsid w:val="001C3A06"/>
    <w:rsid w:val="001C3CC2"/>
    <w:rsid w:val="001C3ECC"/>
    <w:rsid w:val="001C3F78"/>
    <w:rsid w:val="001C44BE"/>
    <w:rsid w:val="001C4592"/>
    <w:rsid w:val="001C49A3"/>
    <w:rsid w:val="001C4BD7"/>
    <w:rsid w:val="001C4D4E"/>
    <w:rsid w:val="001C5137"/>
    <w:rsid w:val="001C578F"/>
    <w:rsid w:val="001C5839"/>
    <w:rsid w:val="001C5994"/>
    <w:rsid w:val="001C61B1"/>
    <w:rsid w:val="001C6AF5"/>
    <w:rsid w:val="001C6FFB"/>
    <w:rsid w:val="001C725D"/>
    <w:rsid w:val="001C753A"/>
    <w:rsid w:val="001C77E1"/>
    <w:rsid w:val="001C7ADA"/>
    <w:rsid w:val="001D06AA"/>
    <w:rsid w:val="001D0ED5"/>
    <w:rsid w:val="001D12B2"/>
    <w:rsid w:val="001D16FF"/>
    <w:rsid w:val="001D1872"/>
    <w:rsid w:val="001D1C05"/>
    <w:rsid w:val="001D1C72"/>
    <w:rsid w:val="001D24A1"/>
    <w:rsid w:val="001D28A3"/>
    <w:rsid w:val="001D2C4D"/>
    <w:rsid w:val="001D2D9C"/>
    <w:rsid w:val="001D2F0C"/>
    <w:rsid w:val="001D33D9"/>
    <w:rsid w:val="001D3543"/>
    <w:rsid w:val="001D3CC7"/>
    <w:rsid w:val="001D46EF"/>
    <w:rsid w:val="001D4933"/>
    <w:rsid w:val="001D4AF5"/>
    <w:rsid w:val="001D4D2D"/>
    <w:rsid w:val="001D58E1"/>
    <w:rsid w:val="001D58E5"/>
    <w:rsid w:val="001D5FAE"/>
    <w:rsid w:val="001D6191"/>
    <w:rsid w:val="001D650B"/>
    <w:rsid w:val="001D65A3"/>
    <w:rsid w:val="001D6CA4"/>
    <w:rsid w:val="001D7185"/>
    <w:rsid w:val="001D73A7"/>
    <w:rsid w:val="001D76AD"/>
    <w:rsid w:val="001D78FF"/>
    <w:rsid w:val="001D7A5C"/>
    <w:rsid w:val="001D7C7D"/>
    <w:rsid w:val="001E086E"/>
    <w:rsid w:val="001E08AE"/>
    <w:rsid w:val="001E0B26"/>
    <w:rsid w:val="001E226F"/>
    <w:rsid w:val="001E24A9"/>
    <w:rsid w:val="001E2502"/>
    <w:rsid w:val="001E292F"/>
    <w:rsid w:val="001E2B56"/>
    <w:rsid w:val="001E3202"/>
    <w:rsid w:val="001E3448"/>
    <w:rsid w:val="001E3AB7"/>
    <w:rsid w:val="001E3C2F"/>
    <w:rsid w:val="001E3E8E"/>
    <w:rsid w:val="001E474D"/>
    <w:rsid w:val="001E47E9"/>
    <w:rsid w:val="001E4CBA"/>
    <w:rsid w:val="001E4F0E"/>
    <w:rsid w:val="001E5210"/>
    <w:rsid w:val="001E53B7"/>
    <w:rsid w:val="001E5580"/>
    <w:rsid w:val="001E582A"/>
    <w:rsid w:val="001E5A81"/>
    <w:rsid w:val="001E5AFC"/>
    <w:rsid w:val="001E6263"/>
    <w:rsid w:val="001E64AB"/>
    <w:rsid w:val="001E6964"/>
    <w:rsid w:val="001E72B2"/>
    <w:rsid w:val="001E72E6"/>
    <w:rsid w:val="001F0169"/>
    <w:rsid w:val="001F01B8"/>
    <w:rsid w:val="001F0349"/>
    <w:rsid w:val="001F0458"/>
    <w:rsid w:val="001F09FD"/>
    <w:rsid w:val="001F0A27"/>
    <w:rsid w:val="001F0B74"/>
    <w:rsid w:val="001F15EE"/>
    <w:rsid w:val="001F1A0D"/>
    <w:rsid w:val="001F1DE6"/>
    <w:rsid w:val="001F1E59"/>
    <w:rsid w:val="001F2254"/>
    <w:rsid w:val="001F2B19"/>
    <w:rsid w:val="001F2EB0"/>
    <w:rsid w:val="001F3219"/>
    <w:rsid w:val="001F3699"/>
    <w:rsid w:val="001F40A5"/>
    <w:rsid w:val="001F41F6"/>
    <w:rsid w:val="001F4EB8"/>
    <w:rsid w:val="001F59B4"/>
    <w:rsid w:val="001F59DC"/>
    <w:rsid w:val="001F6D9D"/>
    <w:rsid w:val="001F6E89"/>
    <w:rsid w:val="001F6F6A"/>
    <w:rsid w:val="001F7595"/>
    <w:rsid w:val="002001D6"/>
    <w:rsid w:val="0020064E"/>
    <w:rsid w:val="00200B34"/>
    <w:rsid w:val="00200B4C"/>
    <w:rsid w:val="00201290"/>
    <w:rsid w:val="00201810"/>
    <w:rsid w:val="002019F2"/>
    <w:rsid w:val="00201C2A"/>
    <w:rsid w:val="00201CDA"/>
    <w:rsid w:val="0020207C"/>
    <w:rsid w:val="002021A8"/>
    <w:rsid w:val="00202326"/>
    <w:rsid w:val="002027C7"/>
    <w:rsid w:val="00202E03"/>
    <w:rsid w:val="00203267"/>
    <w:rsid w:val="0020391D"/>
    <w:rsid w:val="002040A2"/>
    <w:rsid w:val="00204482"/>
    <w:rsid w:val="002044BC"/>
    <w:rsid w:val="00204EFE"/>
    <w:rsid w:val="00204FAB"/>
    <w:rsid w:val="00205010"/>
    <w:rsid w:val="00205657"/>
    <w:rsid w:val="00205AD9"/>
    <w:rsid w:val="00205F9C"/>
    <w:rsid w:val="002061AC"/>
    <w:rsid w:val="00206F27"/>
    <w:rsid w:val="00206F2F"/>
    <w:rsid w:val="00207369"/>
    <w:rsid w:val="00207466"/>
    <w:rsid w:val="002079DF"/>
    <w:rsid w:val="00207BDB"/>
    <w:rsid w:val="00207C8F"/>
    <w:rsid w:val="00210771"/>
    <w:rsid w:val="00210BDA"/>
    <w:rsid w:val="00210EF8"/>
    <w:rsid w:val="00211885"/>
    <w:rsid w:val="00211AB7"/>
    <w:rsid w:val="00211C59"/>
    <w:rsid w:val="00212819"/>
    <w:rsid w:val="00212B38"/>
    <w:rsid w:val="0021428F"/>
    <w:rsid w:val="00214715"/>
    <w:rsid w:val="00214CBB"/>
    <w:rsid w:val="002152A1"/>
    <w:rsid w:val="0021535F"/>
    <w:rsid w:val="002154D6"/>
    <w:rsid w:val="00215693"/>
    <w:rsid w:val="00215699"/>
    <w:rsid w:val="002159DE"/>
    <w:rsid w:val="00215C67"/>
    <w:rsid w:val="00215CE6"/>
    <w:rsid w:val="00215E99"/>
    <w:rsid w:val="00215F8F"/>
    <w:rsid w:val="0021637C"/>
    <w:rsid w:val="002166A6"/>
    <w:rsid w:val="002166D5"/>
    <w:rsid w:val="00216A61"/>
    <w:rsid w:val="00216BB6"/>
    <w:rsid w:val="00216C30"/>
    <w:rsid w:val="002178C8"/>
    <w:rsid w:val="00217B45"/>
    <w:rsid w:val="00217F26"/>
    <w:rsid w:val="0022048B"/>
    <w:rsid w:val="00220692"/>
    <w:rsid w:val="00222078"/>
    <w:rsid w:val="002220D9"/>
    <w:rsid w:val="00222103"/>
    <w:rsid w:val="00222261"/>
    <w:rsid w:val="002223F5"/>
    <w:rsid w:val="00222616"/>
    <w:rsid w:val="00222D3C"/>
    <w:rsid w:val="0022318A"/>
    <w:rsid w:val="00223249"/>
    <w:rsid w:val="002237D3"/>
    <w:rsid w:val="00223960"/>
    <w:rsid w:val="00223B07"/>
    <w:rsid w:val="0022435D"/>
    <w:rsid w:val="0022436A"/>
    <w:rsid w:val="00224E52"/>
    <w:rsid w:val="00225736"/>
    <w:rsid w:val="00225884"/>
    <w:rsid w:val="0022590D"/>
    <w:rsid w:val="00225E64"/>
    <w:rsid w:val="002267CE"/>
    <w:rsid w:val="00227018"/>
    <w:rsid w:val="002272AB"/>
    <w:rsid w:val="00227605"/>
    <w:rsid w:val="00227663"/>
    <w:rsid w:val="00227D47"/>
    <w:rsid w:val="00227D49"/>
    <w:rsid w:val="00227FC7"/>
    <w:rsid w:val="002304F9"/>
    <w:rsid w:val="00230C43"/>
    <w:rsid w:val="002314FD"/>
    <w:rsid w:val="00231740"/>
    <w:rsid w:val="002319E6"/>
    <w:rsid w:val="002325A8"/>
    <w:rsid w:val="00232DA1"/>
    <w:rsid w:val="00232E18"/>
    <w:rsid w:val="00232EED"/>
    <w:rsid w:val="00234189"/>
    <w:rsid w:val="002341F6"/>
    <w:rsid w:val="0023440D"/>
    <w:rsid w:val="0023451E"/>
    <w:rsid w:val="00234753"/>
    <w:rsid w:val="002347B1"/>
    <w:rsid w:val="00234DDE"/>
    <w:rsid w:val="00235059"/>
    <w:rsid w:val="0023552A"/>
    <w:rsid w:val="00235A21"/>
    <w:rsid w:val="00235B72"/>
    <w:rsid w:val="00235BBF"/>
    <w:rsid w:val="00235C11"/>
    <w:rsid w:val="00235D25"/>
    <w:rsid w:val="00235DF4"/>
    <w:rsid w:val="00235E13"/>
    <w:rsid w:val="0023670D"/>
    <w:rsid w:val="00236E72"/>
    <w:rsid w:val="00236F13"/>
    <w:rsid w:val="0023706D"/>
    <w:rsid w:val="00237095"/>
    <w:rsid w:val="002372F4"/>
    <w:rsid w:val="002376FB"/>
    <w:rsid w:val="002377D2"/>
    <w:rsid w:val="00237B47"/>
    <w:rsid w:val="00237FEC"/>
    <w:rsid w:val="0024029A"/>
    <w:rsid w:val="002407C8"/>
    <w:rsid w:val="0024088F"/>
    <w:rsid w:val="00240E2B"/>
    <w:rsid w:val="00240E64"/>
    <w:rsid w:val="00240F69"/>
    <w:rsid w:val="00241113"/>
    <w:rsid w:val="00241699"/>
    <w:rsid w:val="002417F8"/>
    <w:rsid w:val="00241FC8"/>
    <w:rsid w:val="00242328"/>
    <w:rsid w:val="0024283F"/>
    <w:rsid w:val="00243011"/>
    <w:rsid w:val="0024324A"/>
    <w:rsid w:val="0024393F"/>
    <w:rsid w:val="00243D7D"/>
    <w:rsid w:val="002440FD"/>
    <w:rsid w:val="002446A3"/>
    <w:rsid w:val="0024472B"/>
    <w:rsid w:val="002449D0"/>
    <w:rsid w:val="00244E56"/>
    <w:rsid w:val="002452E7"/>
    <w:rsid w:val="002454BE"/>
    <w:rsid w:val="002459E8"/>
    <w:rsid w:val="00245A60"/>
    <w:rsid w:val="00245C4C"/>
    <w:rsid w:val="00246112"/>
    <w:rsid w:val="00246221"/>
    <w:rsid w:val="002463E0"/>
    <w:rsid w:val="00246447"/>
    <w:rsid w:val="00246971"/>
    <w:rsid w:val="00246A8C"/>
    <w:rsid w:val="00246CCD"/>
    <w:rsid w:val="00246D03"/>
    <w:rsid w:val="00246F8B"/>
    <w:rsid w:val="00247705"/>
    <w:rsid w:val="0024786E"/>
    <w:rsid w:val="002478E5"/>
    <w:rsid w:val="00247EE0"/>
    <w:rsid w:val="0025073C"/>
    <w:rsid w:val="00250F42"/>
    <w:rsid w:val="00250FAD"/>
    <w:rsid w:val="00250FD2"/>
    <w:rsid w:val="002515C0"/>
    <w:rsid w:val="002518B6"/>
    <w:rsid w:val="00251A8F"/>
    <w:rsid w:val="00252488"/>
    <w:rsid w:val="002525D4"/>
    <w:rsid w:val="00252E93"/>
    <w:rsid w:val="00253EA0"/>
    <w:rsid w:val="00254B44"/>
    <w:rsid w:val="00254E99"/>
    <w:rsid w:val="00255689"/>
    <w:rsid w:val="0025597B"/>
    <w:rsid w:val="00255BAF"/>
    <w:rsid w:val="00255C41"/>
    <w:rsid w:val="00255DE9"/>
    <w:rsid w:val="00256277"/>
    <w:rsid w:val="002566A5"/>
    <w:rsid w:val="00257212"/>
    <w:rsid w:val="0025753B"/>
    <w:rsid w:val="00257907"/>
    <w:rsid w:val="00257AAE"/>
    <w:rsid w:val="0026010B"/>
    <w:rsid w:val="0026027A"/>
    <w:rsid w:val="00260423"/>
    <w:rsid w:val="00260533"/>
    <w:rsid w:val="00260ED8"/>
    <w:rsid w:val="002615F8"/>
    <w:rsid w:val="002616C8"/>
    <w:rsid w:val="002618AB"/>
    <w:rsid w:val="00261A54"/>
    <w:rsid w:val="00261D37"/>
    <w:rsid w:val="00261E00"/>
    <w:rsid w:val="002622D8"/>
    <w:rsid w:val="00262341"/>
    <w:rsid w:val="00262EB0"/>
    <w:rsid w:val="00262FD2"/>
    <w:rsid w:val="00263081"/>
    <w:rsid w:val="002632C8"/>
    <w:rsid w:val="00263607"/>
    <w:rsid w:val="00263874"/>
    <w:rsid w:val="002638E2"/>
    <w:rsid w:val="00263B13"/>
    <w:rsid w:val="00263D34"/>
    <w:rsid w:val="00263EF1"/>
    <w:rsid w:val="0026411A"/>
    <w:rsid w:val="002649C2"/>
    <w:rsid w:val="00264FC8"/>
    <w:rsid w:val="002654BF"/>
    <w:rsid w:val="002654E8"/>
    <w:rsid w:val="002656E1"/>
    <w:rsid w:val="00265968"/>
    <w:rsid w:val="00265CFF"/>
    <w:rsid w:val="002661CB"/>
    <w:rsid w:val="002662F8"/>
    <w:rsid w:val="002674E3"/>
    <w:rsid w:val="00267755"/>
    <w:rsid w:val="00267B24"/>
    <w:rsid w:val="002700B1"/>
    <w:rsid w:val="002705FE"/>
    <w:rsid w:val="00270649"/>
    <w:rsid w:val="002706F0"/>
    <w:rsid w:val="00270F75"/>
    <w:rsid w:val="00271224"/>
    <w:rsid w:val="002713DB"/>
    <w:rsid w:val="002715AC"/>
    <w:rsid w:val="00271866"/>
    <w:rsid w:val="00271B95"/>
    <w:rsid w:val="002720B4"/>
    <w:rsid w:val="00272219"/>
    <w:rsid w:val="0027238C"/>
    <w:rsid w:val="00272D7E"/>
    <w:rsid w:val="00273278"/>
    <w:rsid w:val="002737C2"/>
    <w:rsid w:val="00273AFD"/>
    <w:rsid w:val="002741A0"/>
    <w:rsid w:val="00274502"/>
    <w:rsid w:val="002746D8"/>
    <w:rsid w:val="00274893"/>
    <w:rsid w:val="00275343"/>
    <w:rsid w:val="00275641"/>
    <w:rsid w:val="00275705"/>
    <w:rsid w:val="00275EDC"/>
    <w:rsid w:val="002762E6"/>
    <w:rsid w:val="00276862"/>
    <w:rsid w:val="00276AE0"/>
    <w:rsid w:val="00276D6A"/>
    <w:rsid w:val="002774A6"/>
    <w:rsid w:val="00277E64"/>
    <w:rsid w:val="0028002C"/>
    <w:rsid w:val="00280AB5"/>
    <w:rsid w:val="00280B32"/>
    <w:rsid w:val="00280BB5"/>
    <w:rsid w:val="002811A8"/>
    <w:rsid w:val="00281BD0"/>
    <w:rsid w:val="0028218E"/>
    <w:rsid w:val="002821E9"/>
    <w:rsid w:val="002822EF"/>
    <w:rsid w:val="00282360"/>
    <w:rsid w:val="00282B10"/>
    <w:rsid w:val="002832CE"/>
    <w:rsid w:val="00283329"/>
    <w:rsid w:val="00283707"/>
    <w:rsid w:val="00283A8F"/>
    <w:rsid w:val="00283CAD"/>
    <w:rsid w:val="002854FB"/>
    <w:rsid w:val="00285523"/>
    <w:rsid w:val="0028562A"/>
    <w:rsid w:val="002857C6"/>
    <w:rsid w:val="002857F9"/>
    <w:rsid w:val="0028643C"/>
    <w:rsid w:val="002868A6"/>
    <w:rsid w:val="002868BE"/>
    <w:rsid w:val="00286BA1"/>
    <w:rsid w:val="00286D26"/>
    <w:rsid w:val="0028710F"/>
    <w:rsid w:val="00287133"/>
    <w:rsid w:val="00287282"/>
    <w:rsid w:val="002872C3"/>
    <w:rsid w:val="002900C8"/>
    <w:rsid w:val="002900EE"/>
    <w:rsid w:val="00290352"/>
    <w:rsid w:val="002903E2"/>
    <w:rsid w:val="0029077C"/>
    <w:rsid w:val="002908A7"/>
    <w:rsid w:val="00290FB5"/>
    <w:rsid w:val="002913FD"/>
    <w:rsid w:val="00291D71"/>
    <w:rsid w:val="00292115"/>
    <w:rsid w:val="002927D0"/>
    <w:rsid w:val="00292F66"/>
    <w:rsid w:val="0029315D"/>
    <w:rsid w:val="002936E5"/>
    <w:rsid w:val="00293AA6"/>
    <w:rsid w:val="00293D6E"/>
    <w:rsid w:val="00293DE4"/>
    <w:rsid w:val="00293E79"/>
    <w:rsid w:val="0029421A"/>
    <w:rsid w:val="0029449E"/>
    <w:rsid w:val="00294C71"/>
    <w:rsid w:val="00294C8B"/>
    <w:rsid w:val="00294E8F"/>
    <w:rsid w:val="0029504D"/>
    <w:rsid w:val="00295694"/>
    <w:rsid w:val="0029570C"/>
    <w:rsid w:val="002959B8"/>
    <w:rsid w:val="00295AC9"/>
    <w:rsid w:val="0029618D"/>
    <w:rsid w:val="002965E0"/>
    <w:rsid w:val="00296D64"/>
    <w:rsid w:val="00296F46"/>
    <w:rsid w:val="00296F8A"/>
    <w:rsid w:val="00297184"/>
    <w:rsid w:val="002A05C9"/>
    <w:rsid w:val="002A0D87"/>
    <w:rsid w:val="002A1143"/>
    <w:rsid w:val="002A12BA"/>
    <w:rsid w:val="002A1465"/>
    <w:rsid w:val="002A180F"/>
    <w:rsid w:val="002A1873"/>
    <w:rsid w:val="002A1954"/>
    <w:rsid w:val="002A1AE1"/>
    <w:rsid w:val="002A2060"/>
    <w:rsid w:val="002A276F"/>
    <w:rsid w:val="002A2857"/>
    <w:rsid w:val="002A2D7B"/>
    <w:rsid w:val="002A353A"/>
    <w:rsid w:val="002A367A"/>
    <w:rsid w:val="002A391D"/>
    <w:rsid w:val="002A3B40"/>
    <w:rsid w:val="002A40BC"/>
    <w:rsid w:val="002A4404"/>
    <w:rsid w:val="002A51E9"/>
    <w:rsid w:val="002A52E3"/>
    <w:rsid w:val="002A5353"/>
    <w:rsid w:val="002A5425"/>
    <w:rsid w:val="002A547D"/>
    <w:rsid w:val="002A556E"/>
    <w:rsid w:val="002A5B44"/>
    <w:rsid w:val="002A5C27"/>
    <w:rsid w:val="002A5CA0"/>
    <w:rsid w:val="002A63AF"/>
    <w:rsid w:val="002A65B9"/>
    <w:rsid w:val="002A6953"/>
    <w:rsid w:val="002A6A32"/>
    <w:rsid w:val="002A6AD1"/>
    <w:rsid w:val="002A6FBE"/>
    <w:rsid w:val="002A755A"/>
    <w:rsid w:val="002A7869"/>
    <w:rsid w:val="002A7B81"/>
    <w:rsid w:val="002A7BB5"/>
    <w:rsid w:val="002A7ECF"/>
    <w:rsid w:val="002A7F5B"/>
    <w:rsid w:val="002B0D78"/>
    <w:rsid w:val="002B0D89"/>
    <w:rsid w:val="002B0F46"/>
    <w:rsid w:val="002B12E2"/>
    <w:rsid w:val="002B1BB2"/>
    <w:rsid w:val="002B2046"/>
    <w:rsid w:val="002B2078"/>
    <w:rsid w:val="002B22D4"/>
    <w:rsid w:val="002B2334"/>
    <w:rsid w:val="002B291F"/>
    <w:rsid w:val="002B2E6C"/>
    <w:rsid w:val="002B3178"/>
    <w:rsid w:val="002B33A0"/>
    <w:rsid w:val="002B3422"/>
    <w:rsid w:val="002B37A1"/>
    <w:rsid w:val="002B3A68"/>
    <w:rsid w:val="002B3C14"/>
    <w:rsid w:val="002B3C46"/>
    <w:rsid w:val="002B3FD0"/>
    <w:rsid w:val="002B4142"/>
    <w:rsid w:val="002B43FA"/>
    <w:rsid w:val="002B46DF"/>
    <w:rsid w:val="002B4DA2"/>
    <w:rsid w:val="002B5A23"/>
    <w:rsid w:val="002B5B1A"/>
    <w:rsid w:val="002B5C84"/>
    <w:rsid w:val="002B62C8"/>
    <w:rsid w:val="002B6450"/>
    <w:rsid w:val="002B65D8"/>
    <w:rsid w:val="002B6702"/>
    <w:rsid w:val="002B6B22"/>
    <w:rsid w:val="002B73B2"/>
    <w:rsid w:val="002B777D"/>
    <w:rsid w:val="002B7969"/>
    <w:rsid w:val="002C0500"/>
    <w:rsid w:val="002C06D1"/>
    <w:rsid w:val="002C0A48"/>
    <w:rsid w:val="002C0BB1"/>
    <w:rsid w:val="002C1CB2"/>
    <w:rsid w:val="002C1E38"/>
    <w:rsid w:val="002C282B"/>
    <w:rsid w:val="002C2DB8"/>
    <w:rsid w:val="002C3066"/>
    <w:rsid w:val="002C31E5"/>
    <w:rsid w:val="002C36FA"/>
    <w:rsid w:val="002C3BB3"/>
    <w:rsid w:val="002C3D9B"/>
    <w:rsid w:val="002C41DC"/>
    <w:rsid w:val="002C423C"/>
    <w:rsid w:val="002C44EA"/>
    <w:rsid w:val="002C4822"/>
    <w:rsid w:val="002C4BB2"/>
    <w:rsid w:val="002C4CA9"/>
    <w:rsid w:val="002C5178"/>
    <w:rsid w:val="002C56C8"/>
    <w:rsid w:val="002C5736"/>
    <w:rsid w:val="002C577B"/>
    <w:rsid w:val="002C59A7"/>
    <w:rsid w:val="002C5A63"/>
    <w:rsid w:val="002C5C77"/>
    <w:rsid w:val="002C5D55"/>
    <w:rsid w:val="002C5F30"/>
    <w:rsid w:val="002C612D"/>
    <w:rsid w:val="002C63F6"/>
    <w:rsid w:val="002C65FF"/>
    <w:rsid w:val="002C666D"/>
    <w:rsid w:val="002C6A32"/>
    <w:rsid w:val="002C6B9F"/>
    <w:rsid w:val="002C754B"/>
    <w:rsid w:val="002C763E"/>
    <w:rsid w:val="002C79D7"/>
    <w:rsid w:val="002C7D72"/>
    <w:rsid w:val="002D0356"/>
    <w:rsid w:val="002D06E7"/>
    <w:rsid w:val="002D07C0"/>
    <w:rsid w:val="002D0904"/>
    <w:rsid w:val="002D0905"/>
    <w:rsid w:val="002D0C19"/>
    <w:rsid w:val="002D0EF0"/>
    <w:rsid w:val="002D0FC6"/>
    <w:rsid w:val="002D1101"/>
    <w:rsid w:val="002D113F"/>
    <w:rsid w:val="002D1160"/>
    <w:rsid w:val="002D138C"/>
    <w:rsid w:val="002D14B7"/>
    <w:rsid w:val="002D18BC"/>
    <w:rsid w:val="002D19A0"/>
    <w:rsid w:val="002D1A3D"/>
    <w:rsid w:val="002D2CAA"/>
    <w:rsid w:val="002D2F9B"/>
    <w:rsid w:val="002D32EB"/>
    <w:rsid w:val="002D33D8"/>
    <w:rsid w:val="002D34D0"/>
    <w:rsid w:val="002D3B3F"/>
    <w:rsid w:val="002D3D61"/>
    <w:rsid w:val="002D3EC8"/>
    <w:rsid w:val="002D403E"/>
    <w:rsid w:val="002D4319"/>
    <w:rsid w:val="002D4325"/>
    <w:rsid w:val="002D45BF"/>
    <w:rsid w:val="002D4776"/>
    <w:rsid w:val="002D4A85"/>
    <w:rsid w:val="002D4E7E"/>
    <w:rsid w:val="002D5157"/>
    <w:rsid w:val="002D553B"/>
    <w:rsid w:val="002D5653"/>
    <w:rsid w:val="002D5900"/>
    <w:rsid w:val="002D5DBE"/>
    <w:rsid w:val="002D645E"/>
    <w:rsid w:val="002D64DF"/>
    <w:rsid w:val="002D6857"/>
    <w:rsid w:val="002D6D61"/>
    <w:rsid w:val="002D6EBB"/>
    <w:rsid w:val="002D6FCE"/>
    <w:rsid w:val="002D71F8"/>
    <w:rsid w:val="002D777E"/>
    <w:rsid w:val="002D7C91"/>
    <w:rsid w:val="002E000C"/>
    <w:rsid w:val="002E02AA"/>
    <w:rsid w:val="002E0BB3"/>
    <w:rsid w:val="002E0C9F"/>
    <w:rsid w:val="002E0F44"/>
    <w:rsid w:val="002E13E0"/>
    <w:rsid w:val="002E1937"/>
    <w:rsid w:val="002E1950"/>
    <w:rsid w:val="002E1A4F"/>
    <w:rsid w:val="002E23A9"/>
    <w:rsid w:val="002E2864"/>
    <w:rsid w:val="002E2900"/>
    <w:rsid w:val="002E29F9"/>
    <w:rsid w:val="002E2D4A"/>
    <w:rsid w:val="002E38DB"/>
    <w:rsid w:val="002E39E2"/>
    <w:rsid w:val="002E3AF6"/>
    <w:rsid w:val="002E3BFB"/>
    <w:rsid w:val="002E43C7"/>
    <w:rsid w:val="002E4708"/>
    <w:rsid w:val="002E4F35"/>
    <w:rsid w:val="002E5223"/>
    <w:rsid w:val="002E5256"/>
    <w:rsid w:val="002E5271"/>
    <w:rsid w:val="002E538F"/>
    <w:rsid w:val="002E539A"/>
    <w:rsid w:val="002E558D"/>
    <w:rsid w:val="002E55DD"/>
    <w:rsid w:val="002E5995"/>
    <w:rsid w:val="002E5AB7"/>
    <w:rsid w:val="002E5E77"/>
    <w:rsid w:val="002E5F31"/>
    <w:rsid w:val="002E6214"/>
    <w:rsid w:val="002E73D9"/>
    <w:rsid w:val="002E7B71"/>
    <w:rsid w:val="002E7EA2"/>
    <w:rsid w:val="002F059B"/>
    <w:rsid w:val="002F071C"/>
    <w:rsid w:val="002F07C3"/>
    <w:rsid w:val="002F0C32"/>
    <w:rsid w:val="002F0DB1"/>
    <w:rsid w:val="002F0F75"/>
    <w:rsid w:val="002F0FA6"/>
    <w:rsid w:val="002F108D"/>
    <w:rsid w:val="002F117A"/>
    <w:rsid w:val="002F127D"/>
    <w:rsid w:val="002F12EB"/>
    <w:rsid w:val="002F14F5"/>
    <w:rsid w:val="002F169C"/>
    <w:rsid w:val="002F20C7"/>
    <w:rsid w:val="002F24DC"/>
    <w:rsid w:val="002F2B7A"/>
    <w:rsid w:val="002F3105"/>
    <w:rsid w:val="002F33CD"/>
    <w:rsid w:val="002F37D0"/>
    <w:rsid w:val="002F3D59"/>
    <w:rsid w:val="002F414F"/>
    <w:rsid w:val="002F4604"/>
    <w:rsid w:val="002F4675"/>
    <w:rsid w:val="002F4859"/>
    <w:rsid w:val="002F485F"/>
    <w:rsid w:val="002F493D"/>
    <w:rsid w:val="002F49C5"/>
    <w:rsid w:val="002F4D9F"/>
    <w:rsid w:val="002F54F6"/>
    <w:rsid w:val="002F554B"/>
    <w:rsid w:val="002F572A"/>
    <w:rsid w:val="002F5836"/>
    <w:rsid w:val="002F5892"/>
    <w:rsid w:val="002F5EB8"/>
    <w:rsid w:val="002F6071"/>
    <w:rsid w:val="002F654B"/>
    <w:rsid w:val="002F6ACA"/>
    <w:rsid w:val="002F6F94"/>
    <w:rsid w:val="002F72FF"/>
    <w:rsid w:val="002F7327"/>
    <w:rsid w:val="002F75DC"/>
    <w:rsid w:val="002F79CC"/>
    <w:rsid w:val="002F7AE0"/>
    <w:rsid w:val="002F7BE7"/>
    <w:rsid w:val="002F7C59"/>
    <w:rsid w:val="002F7F8F"/>
    <w:rsid w:val="00300149"/>
    <w:rsid w:val="00300212"/>
    <w:rsid w:val="00300264"/>
    <w:rsid w:val="003013D7"/>
    <w:rsid w:val="003014B1"/>
    <w:rsid w:val="003019D9"/>
    <w:rsid w:val="0030242B"/>
    <w:rsid w:val="00302595"/>
    <w:rsid w:val="00303041"/>
    <w:rsid w:val="003030F5"/>
    <w:rsid w:val="0030363A"/>
    <w:rsid w:val="003036F3"/>
    <w:rsid w:val="00303F4C"/>
    <w:rsid w:val="00304222"/>
    <w:rsid w:val="0030463E"/>
    <w:rsid w:val="00304852"/>
    <w:rsid w:val="00304AB6"/>
    <w:rsid w:val="00304ED6"/>
    <w:rsid w:val="00305096"/>
    <w:rsid w:val="0030521B"/>
    <w:rsid w:val="00305987"/>
    <w:rsid w:val="00305999"/>
    <w:rsid w:val="00306080"/>
    <w:rsid w:val="003062A7"/>
    <w:rsid w:val="003062F3"/>
    <w:rsid w:val="003064BF"/>
    <w:rsid w:val="00306521"/>
    <w:rsid w:val="0030672E"/>
    <w:rsid w:val="00307223"/>
    <w:rsid w:val="00307B47"/>
    <w:rsid w:val="0031034B"/>
    <w:rsid w:val="003107C6"/>
    <w:rsid w:val="00310825"/>
    <w:rsid w:val="00311993"/>
    <w:rsid w:val="00312079"/>
    <w:rsid w:val="00312350"/>
    <w:rsid w:val="0031239E"/>
    <w:rsid w:val="003123BD"/>
    <w:rsid w:val="00312AB8"/>
    <w:rsid w:val="00313197"/>
    <w:rsid w:val="003133A3"/>
    <w:rsid w:val="0031398C"/>
    <w:rsid w:val="00313C88"/>
    <w:rsid w:val="00313CE4"/>
    <w:rsid w:val="00313D9B"/>
    <w:rsid w:val="00313E76"/>
    <w:rsid w:val="00313F79"/>
    <w:rsid w:val="003141E2"/>
    <w:rsid w:val="00314410"/>
    <w:rsid w:val="00314547"/>
    <w:rsid w:val="00314D28"/>
    <w:rsid w:val="00315212"/>
    <w:rsid w:val="00315A06"/>
    <w:rsid w:val="00315CD2"/>
    <w:rsid w:val="00315F74"/>
    <w:rsid w:val="0031656F"/>
    <w:rsid w:val="00316600"/>
    <w:rsid w:val="003166C1"/>
    <w:rsid w:val="003167AA"/>
    <w:rsid w:val="00316A36"/>
    <w:rsid w:val="00316A8B"/>
    <w:rsid w:val="00316BF6"/>
    <w:rsid w:val="0031733B"/>
    <w:rsid w:val="00317809"/>
    <w:rsid w:val="00317E87"/>
    <w:rsid w:val="0032081F"/>
    <w:rsid w:val="00320912"/>
    <w:rsid w:val="00320E6F"/>
    <w:rsid w:val="003215F4"/>
    <w:rsid w:val="00321B9A"/>
    <w:rsid w:val="00322050"/>
    <w:rsid w:val="003220E2"/>
    <w:rsid w:val="00322121"/>
    <w:rsid w:val="003222C2"/>
    <w:rsid w:val="003225FB"/>
    <w:rsid w:val="00322853"/>
    <w:rsid w:val="00322CC6"/>
    <w:rsid w:val="00323503"/>
    <w:rsid w:val="003235CB"/>
    <w:rsid w:val="00323759"/>
    <w:rsid w:val="00323A7C"/>
    <w:rsid w:val="00323C32"/>
    <w:rsid w:val="00323FC7"/>
    <w:rsid w:val="00324071"/>
    <w:rsid w:val="003244EE"/>
    <w:rsid w:val="00324A1D"/>
    <w:rsid w:val="003251C9"/>
    <w:rsid w:val="003256B8"/>
    <w:rsid w:val="00325742"/>
    <w:rsid w:val="00325B63"/>
    <w:rsid w:val="003260BB"/>
    <w:rsid w:val="00326196"/>
    <w:rsid w:val="00326240"/>
    <w:rsid w:val="00326CEC"/>
    <w:rsid w:val="003278A1"/>
    <w:rsid w:val="003278CD"/>
    <w:rsid w:val="00327909"/>
    <w:rsid w:val="00327AB3"/>
    <w:rsid w:val="00330D77"/>
    <w:rsid w:val="00331120"/>
    <w:rsid w:val="00331DE1"/>
    <w:rsid w:val="00331E0F"/>
    <w:rsid w:val="00331E9D"/>
    <w:rsid w:val="003327DF"/>
    <w:rsid w:val="00332A40"/>
    <w:rsid w:val="00332B26"/>
    <w:rsid w:val="00332E10"/>
    <w:rsid w:val="00332FCC"/>
    <w:rsid w:val="003333AF"/>
    <w:rsid w:val="0033371C"/>
    <w:rsid w:val="00333875"/>
    <w:rsid w:val="00334235"/>
    <w:rsid w:val="00335340"/>
    <w:rsid w:val="0033592F"/>
    <w:rsid w:val="003369FF"/>
    <w:rsid w:val="00336AEA"/>
    <w:rsid w:val="00336B35"/>
    <w:rsid w:val="00336BEB"/>
    <w:rsid w:val="003373AC"/>
    <w:rsid w:val="0033758C"/>
    <w:rsid w:val="0033764B"/>
    <w:rsid w:val="00337A00"/>
    <w:rsid w:val="00337FC6"/>
    <w:rsid w:val="00340131"/>
    <w:rsid w:val="0034044E"/>
    <w:rsid w:val="0034053B"/>
    <w:rsid w:val="00340632"/>
    <w:rsid w:val="00340778"/>
    <w:rsid w:val="00340866"/>
    <w:rsid w:val="00340B2C"/>
    <w:rsid w:val="00340B44"/>
    <w:rsid w:val="00340BB5"/>
    <w:rsid w:val="0034134C"/>
    <w:rsid w:val="003414CC"/>
    <w:rsid w:val="0034170C"/>
    <w:rsid w:val="00341A2A"/>
    <w:rsid w:val="00341CED"/>
    <w:rsid w:val="00341D38"/>
    <w:rsid w:val="0034208C"/>
    <w:rsid w:val="00342759"/>
    <w:rsid w:val="00342DC1"/>
    <w:rsid w:val="00342F9B"/>
    <w:rsid w:val="003437AA"/>
    <w:rsid w:val="0034397E"/>
    <w:rsid w:val="00343BDF"/>
    <w:rsid w:val="00343F41"/>
    <w:rsid w:val="0034459F"/>
    <w:rsid w:val="00344FD2"/>
    <w:rsid w:val="00345107"/>
    <w:rsid w:val="00345167"/>
    <w:rsid w:val="00345300"/>
    <w:rsid w:val="00345424"/>
    <w:rsid w:val="003459F3"/>
    <w:rsid w:val="00345EA7"/>
    <w:rsid w:val="0034625F"/>
    <w:rsid w:val="0034652C"/>
    <w:rsid w:val="00347635"/>
    <w:rsid w:val="0034765D"/>
    <w:rsid w:val="003478BD"/>
    <w:rsid w:val="0034791B"/>
    <w:rsid w:val="00347CBB"/>
    <w:rsid w:val="00347D0E"/>
    <w:rsid w:val="00347D22"/>
    <w:rsid w:val="00347F10"/>
    <w:rsid w:val="003500E4"/>
    <w:rsid w:val="0035052E"/>
    <w:rsid w:val="0035067B"/>
    <w:rsid w:val="00350764"/>
    <w:rsid w:val="003507DF"/>
    <w:rsid w:val="00350D8B"/>
    <w:rsid w:val="00350E0D"/>
    <w:rsid w:val="00351010"/>
    <w:rsid w:val="00351B01"/>
    <w:rsid w:val="00351FB4"/>
    <w:rsid w:val="003528EA"/>
    <w:rsid w:val="00352B65"/>
    <w:rsid w:val="00352C63"/>
    <w:rsid w:val="00352D54"/>
    <w:rsid w:val="003530E5"/>
    <w:rsid w:val="00353878"/>
    <w:rsid w:val="00353A00"/>
    <w:rsid w:val="00353ECD"/>
    <w:rsid w:val="0035470F"/>
    <w:rsid w:val="00354A1F"/>
    <w:rsid w:val="00355567"/>
    <w:rsid w:val="00355822"/>
    <w:rsid w:val="00355B11"/>
    <w:rsid w:val="00355B28"/>
    <w:rsid w:val="00355B59"/>
    <w:rsid w:val="00356117"/>
    <w:rsid w:val="00357248"/>
    <w:rsid w:val="00357943"/>
    <w:rsid w:val="00357DFD"/>
    <w:rsid w:val="00357E85"/>
    <w:rsid w:val="00360494"/>
    <w:rsid w:val="00360A6C"/>
    <w:rsid w:val="003611A0"/>
    <w:rsid w:val="003612C9"/>
    <w:rsid w:val="003620AA"/>
    <w:rsid w:val="003626C0"/>
    <w:rsid w:val="00362C5E"/>
    <w:rsid w:val="00362E6F"/>
    <w:rsid w:val="00362FA9"/>
    <w:rsid w:val="003632C2"/>
    <w:rsid w:val="00363417"/>
    <w:rsid w:val="003635F2"/>
    <w:rsid w:val="003637AA"/>
    <w:rsid w:val="003639E5"/>
    <w:rsid w:val="00363D7A"/>
    <w:rsid w:val="00363F6E"/>
    <w:rsid w:val="0036404A"/>
    <w:rsid w:val="003640A7"/>
    <w:rsid w:val="00364EA5"/>
    <w:rsid w:val="0036508D"/>
    <w:rsid w:val="003650E8"/>
    <w:rsid w:val="003651C8"/>
    <w:rsid w:val="003652EA"/>
    <w:rsid w:val="00365A25"/>
    <w:rsid w:val="00365B48"/>
    <w:rsid w:val="00366A77"/>
    <w:rsid w:val="00366BD8"/>
    <w:rsid w:val="00366CAC"/>
    <w:rsid w:val="00366EFF"/>
    <w:rsid w:val="00367440"/>
    <w:rsid w:val="00367894"/>
    <w:rsid w:val="003678F9"/>
    <w:rsid w:val="003679BA"/>
    <w:rsid w:val="00367BFA"/>
    <w:rsid w:val="00367C39"/>
    <w:rsid w:val="00367FD4"/>
    <w:rsid w:val="003700A3"/>
    <w:rsid w:val="00370217"/>
    <w:rsid w:val="00370290"/>
    <w:rsid w:val="003707C3"/>
    <w:rsid w:val="00370B40"/>
    <w:rsid w:val="003712EB"/>
    <w:rsid w:val="00371679"/>
    <w:rsid w:val="0037240A"/>
    <w:rsid w:val="00373085"/>
    <w:rsid w:val="003730D6"/>
    <w:rsid w:val="00373411"/>
    <w:rsid w:val="00373D40"/>
    <w:rsid w:val="00373F7A"/>
    <w:rsid w:val="00374251"/>
    <w:rsid w:val="003744B3"/>
    <w:rsid w:val="003745C3"/>
    <w:rsid w:val="003745F4"/>
    <w:rsid w:val="00374789"/>
    <w:rsid w:val="00374E99"/>
    <w:rsid w:val="00376098"/>
    <w:rsid w:val="00376E2B"/>
    <w:rsid w:val="00377259"/>
    <w:rsid w:val="0037769E"/>
    <w:rsid w:val="00377BE4"/>
    <w:rsid w:val="00380094"/>
    <w:rsid w:val="003800F0"/>
    <w:rsid w:val="00380DDE"/>
    <w:rsid w:val="00381180"/>
    <w:rsid w:val="00381A93"/>
    <w:rsid w:val="00381AE9"/>
    <w:rsid w:val="00382306"/>
    <w:rsid w:val="00382586"/>
    <w:rsid w:val="0038292B"/>
    <w:rsid w:val="00382B86"/>
    <w:rsid w:val="00382FE3"/>
    <w:rsid w:val="00383071"/>
    <w:rsid w:val="003831AB"/>
    <w:rsid w:val="003832EF"/>
    <w:rsid w:val="003837F4"/>
    <w:rsid w:val="00383C06"/>
    <w:rsid w:val="003845A4"/>
    <w:rsid w:val="003846D9"/>
    <w:rsid w:val="00384D59"/>
    <w:rsid w:val="00384F9D"/>
    <w:rsid w:val="00385101"/>
    <w:rsid w:val="0038564A"/>
    <w:rsid w:val="0038576C"/>
    <w:rsid w:val="00385800"/>
    <w:rsid w:val="00385B99"/>
    <w:rsid w:val="00385F39"/>
    <w:rsid w:val="00386492"/>
    <w:rsid w:val="003865F9"/>
    <w:rsid w:val="0038676E"/>
    <w:rsid w:val="00386D08"/>
    <w:rsid w:val="0038743E"/>
    <w:rsid w:val="003879DF"/>
    <w:rsid w:val="00387DFA"/>
    <w:rsid w:val="003900B7"/>
    <w:rsid w:val="0039083F"/>
    <w:rsid w:val="00390D65"/>
    <w:rsid w:val="00391374"/>
    <w:rsid w:val="00391472"/>
    <w:rsid w:val="00391A42"/>
    <w:rsid w:val="00391D3B"/>
    <w:rsid w:val="00391FAB"/>
    <w:rsid w:val="00392050"/>
    <w:rsid w:val="00392286"/>
    <w:rsid w:val="00392539"/>
    <w:rsid w:val="00392677"/>
    <w:rsid w:val="0039365B"/>
    <w:rsid w:val="00393672"/>
    <w:rsid w:val="003936EA"/>
    <w:rsid w:val="00393987"/>
    <w:rsid w:val="00393997"/>
    <w:rsid w:val="00393E25"/>
    <w:rsid w:val="00393F57"/>
    <w:rsid w:val="003940F7"/>
    <w:rsid w:val="0039451D"/>
    <w:rsid w:val="00394981"/>
    <w:rsid w:val="003953A8"/>
    <w:rsid w:val="00395E7E"/>
    <w:rsid w:val="003965D8"/>
    <w:rsid w:val="00396766"/>
    <w:rsid w:val="00396815"/>
    <w:rsid w:val="003968D5"/>
    <w:rsid w:val="00396D6E"/>
    <w:rsid w:val="00396EE8"/>
    <w:rsid w:val="00396FF0"/>
    <w:rsid w:val="0039788E"/>
    <w:rsid w:val="00397F3C"/>
    <w:rsid w:val="00397FED"/>
    <w:rsid w:val="003A0145"/>
    <w:rsid w:val="003A0257"/>
    <w:rsid w:val="003A0529"/>
    <w:rsid w:val="003A0614"/>
    <w:rsid w:val="003A0962"/>
    <w:rsid w:val="003A0CDD"/>
    <w:rsid w:val="003A1112"/>
    <w:rsid w:val="003A1B34"/>
    <w:rsid w:val="003A20B8"/>
    <w:rsid w:val="003A2385"/>
    <w:rsid w:val="003A2904"/>
    <w:rsid w:val="003A2CA6"/>
    <w:rsid w:val="003A3551"/>
    <w:rsid w:val="003A36BA"/>
    <w:rsid w:val="003A37E9"/>
    <w:rsid w:val="003A38F0"/>
    <w:rsid w:val="003A42F3"/>
    <w:rsid w:val="003A443D"/>
    <w:rsid w:val="003A447D"/>
    <w:rsid w:val="003A486A"/>
    <w:rsid w:val="003A4932"/>
    <w:rsid w:val="003A556D"/>
    <w:rsid w:val="003A5723"/>
    <w:rsid w:val="003A5DD2"/>
    <w:rsid w:val="003A6495"/>
    <w:rsid w:val="003A6627"/>
    <w:rsid w:val="003A66A6"/>
    <w:rsid w:val="003A66CB"/>
    <w:rsid w:val="003A6A5A"/>
    <w:rsid w:val="003A6E1E"/>
    <w:rsid w:val="003A7025"/>
    <w:rsid w:val="003A72E9"/>
    <w:rsid w:val="003A7460"/>
    <w:rsid w:val="003A7BD3"/>
    <w:rsid w:val="003B0173"/>
    <w:rsid w:val="003B0398"/>
    <w:rsid w:val="003B05C4"/>
    <w:rsid w:val="003B0DA5"/>
    <w:rsid w:val="003B0E74"/>
    <w:rsid w:val="003B1583"/>
    <w:rsid w:val="003B1EE4"/>
    <w:rsid w:val="003B2CB8"/>
    <w:rsid w:val="003B2E55"/>
    <w:rsid w:val="003B30C6"/>
    <w:rsid w:val="003B3879"/>
    <w:rsid w:val="003B4A4A"/>
    <w:rsid w:val="003B4C1D"/>
    <w:rsid w:val="003B53A5"/>
    <w:rsid w:val="003B59EE"/>
    <w:rsid w:val="003B5B72"/>
    <w:rsid w:val="003B5C06"/>
    <w:rsid w:val="003B5E4C"/>
    <w:rsid w:val="003B682D"/>
    <w:rsid w:val="003B6B57"/>
    <w:rsid w:val="003B6D71"/>
    <w:rsid w:val="003B6EF2"/>
    <w:rsid w:val="003B72EC"/>
    <w:rsid w:val="003B79FA"/>
    <w:rsid w:val="003B7E7A"/>
    <w:rsid w:val="003C0463"/>
    <w:rsid w:val="003C05F5"/>
    <w:rsid w:val="003C0905"/>
    <w:rsid w:val="003C0F5F"/>
    <w:rsid w:val="003C1CBE"/>
    <w:rsid w:val="003C1EAF"/>
    <w:rsid w:val="003C1F49"/>
    <w:rsid w:val="003C287A"/>
    <w:rsid w:val="003C2C32"/>
    <w:rsid w:val="003C3460"/>
    <w:rsid w:val="003C346B"/>
    <w:rsid w:val="003C3CE0"/>
    <w:rsid w:val="003C4038"/>
    <w:rsid w:val="003C40EE"/>
    <w:rsid w:val="003C4206"/>
    <w:rsid w:val="003C42F7"/>
    <w:rsid w:val="003C44FF"/>
    <w:rsid w:val="003C479F"/>
    <w:rsid w:val="003C4884"/>
    <w:rsid w:val="003C4BB4"/>
    <w:rsid w:val="003C4F80"/>
    <w:rsid w:val="003C5092"/>
    <w:rsid w:val="003C5137"/>
    <w:rsid w:val="003C5247"/>
    <w:rsid w:val="003C57B3"/>
    <w:rsid w:val="003C592E"/>
    <w:rsid w:val="003C5A73"/>
    <w:rsid w:val="003C5DEF"/>
    <w:rsid w:val="003C641E"/>
    <w:rsid w:val="003C6C81"/>
    <w:rsid w:val="003C6F33"/>
    <w:rsid w:val="003C718E"/>
    <w:rsid w:val="003C76F7"/>
    <w:rsid w:val="003C78A6"/>
    <w:rsid w:val="003C7C03"/>
    <w:rsid w:val="003D047F"/>
    <w:rsid w:val="003D0748"/>
    <w:rsid w:val="003D0FBC"/>
    <w:rsid w:val="003D1989"/>
    <w:rsid w:val="003D2333"/>
    <w:rsid w:val="003D251A"/>
    <w:rsid w:val="003D2FBA"/>
    <w:rsid w:val="003D3161"/>
    <w:rsid w:val="003D3227"/>
    <w:rsid w:val="003D36B8"/>
    <w:rsid w:val="003D3A55"/>
    <w:rsid w:val="003D4010"/>
    <w:rsid w:val="003D408F"/>
    <w:rsid w:val="003D4347"/>
    <w:rsid w:val="003D4601"/>
    <w:rsid w:val="003D5269"/>
    <w:rsid w:val="003D5272"/>
    <w:rsid w:val="003D5393"/>
    <w:rsid w:val="003D5413"/>
    <w:rsid w:val="003D5491"/>
    <w:rsid w:val="003D54E0"/>
    <w:rsid w:val="003D56A1"/>
    <w:rsid w:val="003D5996"/>
    <w:rsid w:val="003D5D5D"/>
    <w:rsid w:val="003D5F1C"/>
    <w:rsid w:val="003D6407"/>
    <w:rsid w:val="003D647A"/>
    <w:rsid w:val="003D6A90"/>
    <w:rsid w:val="003D6B1D"/>
    <w:rsid w:val="003D6E30"/>
    <w:rsid w:val="003D70A6"/>
    <w:rsid w:val="003D70B5"/>
    <w:rsid w:val="003D727C"/>
    <w:rsid w:val="003D73CE"/>
    <w:rsid w:val="003D753B"/>
    <w:rsid w:val="003D7B41"/>
    <w:rsid w:val="003D7B45"/>
    <w:rsid w:val="003E03E3"/>
    <w:rsid w:val="003E05FE"/>
    <w:rsid w:val="003E0CD7"/>
    <w:rsid w:val="003E14F0"/>
    <w:rsid w:val="003E2042"/>
    <w:rsid w:val="003E2717"/>
    <w:rsid w:val="003E2A07"/>
    <w:rsid w:val="003E2F8B"/>
    <w:rsid w:val="003E32D8"/>
    <w:rsid w:val="003E3A04"/>
    <w:rsid w:val="003E3B65"/>
    <w:rsid w:val="003E3C78"/>
    <w:rsid w:val="003E3DDD"/>
    <w:rsid w:val="003E3E19"/>
    <w:rsid w:val="003E427F"/>
    <w:rsid w:val="003E47DE"/>
    <w:rsid w:val="003E47E5"/>
    <w:rsid w:val="003E4CFE"/>
    <w:rsid w:val="003E4F42"/>
    <w:rsid w:val="003E5075"/>
    <w:rsid w:val="003E5233"/>
    <w:rsid w:val="003E5F95"/>
    <w:rsid w:val="003E61FD"/>
    <w:rsid w:val="003E6470"/>
    <w:rsid w:val="003E6F0B"/>
    <w:rsid w:val="003E7105"/>
    <w:rsid w:val="003E7764"/>
    <w:rsid w:val="003E7790"/>
    <w:rsid w:val="003F0031"/>
    <w:rsid w:val="003F00D4"/>
    <w:rsid w:val="003F00DF"/>
    <w:rsid w:val="003F018C"/>
    <w:rsid w:val="003F058E"/>
    <w:rsid w:val="003F09CB"/>
    <w:rsid w:val="003F10D3"/>
    <w:rsid w:val="003F1150"/>
    <w:rsid w:val="003F11FD"/>
    <w:rsid w:val="003F140D"/>
    <w:rsid w:val="003F143C"/>
    <w:rsid w:val="003F1548"/>
    <w:rsid w:val="003F176D"/>
    <w:rsid w:val="003F19E3"/>
    <w:rsid w:val="003F1CE6"/>
    <w:rsid w:val="003F228F"/>
    <w:rsid w:val="003F274F"/>
    <w:rsid w:val="003F2B3D"/>
    <w:rsid w:val="003F3105"/>
    <w:rsid w:val="003F319D"/>
    <w:rsid w:val="003F3303"/>
    <w:rsid w:val="003F3328"/>
    <w:rsid w:val="003F35A4"/>
    <w:rsid w:val="003F3700"/>
    <w:rsid w:val="003F3769"/>
    <w:rsid w:val="003F3C34"/>
    <w:rsid w:val="003F3ED7"/>
    <w:rsid w:val="003F3F0F"/>
    <w:rsid w:val="003F4108"/>
    <w:rsid w:val="003F4172"/>
    <w:rsid w:val="003F4222"/>
    <w:rsid w:val="003F4249"/>
    <w:rsid w:val="003F4251"/>
    <w:rsid w:val="003F461D"/>
    <w:rsid w:val="003F47C1"/>
    <w:rsid w:val="003F4940"/>
    <w:rsid w:val="003F4C90"/>
    <w:rsid w:val="003F5071"/>
    <w:rsid w:val="003F5086"/>
    <w:rsid w:val="003F544D"/>
    <w:rsid w:val="003F550A"/>
    <w:rsid w:val="003F619A"/>
    <w:rsid w:val="003F6B45"/>
    <w:rsid w:val="003F6D6A"/>
    <w:rsid w:val="003F6ECC"/>
    <w:rsid w:val="003F6FC9"/>
    <w:rsid w:val="003F7417"/>
    <w:rsid w:val="003F75A9"/>
    <w:rsid w:val="003F7EFA"/>
    <w:rsid w:val="0040003D"/>
    <w:rsid w:val="004000D0"/>
    <w:rsid w:val="00400873"/>
    <w:rsid w:val="00400C90"/>
    <w:rsid w:val="004015EE"/>
    <w:rsid w:val="004019E3"/>
    <w:rsid w:val="00402018"/>
    <w:rsid w:val="00402D65"/>
    <w:rsid w:val="00402E02"/>
    <w:rsid w:val="00403364"/>
    <w:rsid w:val="00403780"/>
    <w:rsid w:val="0040390D"/>
    <w:rsid w:val="00403941"/>
    <w:rsid w:val="00403971"/>
    <w:rsid w:val="00403DE0"/>
    <w:rsid w:val="0040415C"/>
    <w:rsid w:val="00404299"/>
    <w:rsid w:val="0040458D"/>
    <w:rsid w:val="00404D74"/>
    <w:rsid w:val="0040518A"/>
    <w:rsid w:val="004056F3"/>
    <w:rsid w:val="004059DA"/>
    <w:rsid w:val="0040616D"/>
    <w:rsid w:val="0040662C"/>
    <w:rsid w:val="00406A2E"/>
    <w:rsid w:val="00406EF0"/>
    <w:rsid w:val="00407449"/>
    <w:rsid w:val="00407760"/>
    <w:rsid w:val="00407D2B"/>
    <w:rsid w:val="00410A27"/>
    <w:rsid w:val="00410CB2"/>
    <w:rsid w:val="00410E8B"/>
    <w:rsid w:val="00411285"/>
    <w:rsid w:val="0041180E"/>
    <w:rsid w:val="00411BB1"/>
    <w:rsid w:val="004124A7"/>
    <w:rsid w:val="004126A1"/>
    <w:rsid w:val="00412FD1"/>
    <w:rsid w:val="004138F8"/>
    <w:rsid w:val="00413B8B"/>
    <w:rsid w:val="0041401B"/>
    <w:rsid w:val="00414091"/>
    <w:rsid w:val="00414210"/>
    <w:rsid w:val="00414410"/>
    <w:rsid w:val="0041450E"/>
    <w:rsid w:val="004148E1"/>
    <w:rsid w:val="00414FE4"/>
    <w:rsid w:val="0041506A"/>
    <w:rsid w:val="00415370"/>
    <w:rsid w:val="00415762"/>
    <w:rsid w:val="00415781"/>
    <w:rsid w:val="00415800"/>
    <w:rsid w:val="00415A0B"/>
    <w:rsid w:val="00415C60"/>
    <w:rsid w:val="00415CE0"/>
    <w:rsid w:val="00415F80"/>
    <w:rsid w:val="004160C2"/>
    <w:rsid w:val="00416BB6"/>
    <w:rsid w:val="00416F40"/>
    <w:rsid w:val="00417769"/>
    <w:rsid w:val="00417A3D"/>
    <w:rsid w:val="004202A7"/>
    <w:rsid w:val="00420819"/>
    <w:rsid w:val="00420C4D"/>
    <w:rsid w:val="004210AA"/>
    <w:rsid w:val="004214D3"/>
    <w:rsid w:val="004215BB"/>
    <w:rsid w:val="0042173F"/>
    <w:rsid w:val="0042192C"/>
    <w:rsid w:val="00421C37"/>
    <w:rsid w:val="00421EF2"/>
    <w:rsid w:val="0042241E"/>
    <w:rsid w:val="004224DD"/>
    <w:rsid w:val="00422668"/>
    <w:rsid w:val="00422A8C"/>
    <w:rsid w:val="00422EC3"/>
    <w:rsid w:val="004230B6"/>
    <w:rsid w:val="004235A9"/>
    <w:rsid w:val="004235EE"/>
    <w:rsid w:val="00423782"/>
    <w:rsid w:val="00423900"/>
    <w:rsid w:val="0042392A"/>
    <w:rsid w:val="00423AE9"/>
    <w:rsid w:val="00424972"/>
    <w:rsid w:val="00424B17"/>
    <w:rsid w:val="00424CC9"/>
    <w:rsid w:val="004251EA"/>
    <w:rsid w:val="00425481"/>
    <w:rsid w:val="00425756"/>
    <w:rsid w:val="004259E2"/>
    <w:rsid w:val="00425D95"/>
    <w:rsid w:val="00426176"/>
    <w:rsid w:val="004261D0"/>
    <w:rsid w:val="004262C3"/>
    <w:rsid w:val="004266B1"/>
    <w:rsid w:val="00426865"/>
    <w:rsid w:val="00426892"/>
    <w:rsid w:val="00426979"/>
    <w:rsid w:val="00426CA0"/>
    <w:rsid w:val="00426DB8"/>
    <w:rsid w:val="00427460"/>
    <w:rsid w:val="0042747D"/>
    <w:rsid w:val="004277E6"/>
    <w:rsid w:val="00430622"/>
    <w:rsid w:val="004306B1"/>
    <w:rsid w:val="00430EC7"/>
    <w:rsid w:val="00430FAF"/>
    <w:rsid w:val="004310B2"/>
    <w:rsid w:val="004311CE"/>
    <w:rsid w:val="0043166B"/>
    <w:rsid w:val="00431AC1"/>
    <w:rsid w:val="00431B32"/>
    <w:rsid w:val="004322D7"/>
    <w:rsid w:val="00432468"/>
    <w:rsid w:val="004328F1"/>
    <w:rsid w:val="00432989"/>
    <w:rsid w:val="004329C9"/>
    <w:rsid w:val="00432C23"/>
    <w:rsid w:val="00432CD5"/>
    <w:rsid w:val="00432D2B"/>
    <w:rsid w:val="004338F0"/>
    <w:rsid w:val="00434450"/>
    <w:rsid w:val="0043499F"/>
    <w:rsid w:val="00434AAB"/>
    <w:rsid w:val="00434F05"/>
    <w:rsid w:val="00435181"/>
    <w:rsid w:val="00435893"/>
    <w:rsid w:val="00435997"/>
    <w:rsid w:val="00435AC6"/>
    <w:rsid w:val="00435F06"/>
    <w:rsid w:val="004363FA"/>
    <w:rsid w:val="004364CC"/>
    <w:rsid w:val="004367C6"/>
    <w:rsid w:val="004369EF"/>
    <w:rsid w:val="00436B89"/>
    <w:rsid w:val="00436DCD"/>
    <w:rsid w:val="00436F36"/>
    <w:rsid w:val="004373F2"/>
    <w:rsid w:val="004376C0"/>
    <w:rsid w:val="00440599"/>
    <w:rsid w:val="004405B0"/>
    <w:rsid w:val="004409C3"/>
    <w:rsid w:val="00440CCD"/>
    <w:rsid w:val="00440D3E"/>
    <w:rsid w:val="0044110B"/>
    <w:rsid w:val="004417BD"/>
    <w:rsid w:val="00441A35"/>
    <w:rsid w:val="00441FF9"/>
    <w:rsid w:val="00442A49"/>
    <w:rsid w:val="00442B54"/>
    <w:rsid w:val="004431D7"/>
    <w:rsid w:val="0044363A"/>
    <w:rsid w:val="004436E9"/>
    <w:rsid w:val="004437B2"/>
    <w:rsid w:val="0044382F"/>
    <w:rsid w:val="00443B7F"/>
    <w:rsid w:val="00443D71"/>
    <w:rsid w:val="00443DE8"/>
    <w:rsid w:val="00443E2C"/>
    <w:rsid w:val="0044408A"/>
    <w:rsid w:val="0044415B"/>
    <w:rsid w:val="004442EB"/>
    <w:rsid w:val="004443A5"/>
    <w:rsid w:val="004448B1"/>
    <w:rsid w:val="00444C64"/>
    <w:rsid w:val="00444D22"/>
    <w:rsid w:val="00445012"/>
    <w:rsid w:val="0044507C"/>
    <w:rsid w:val="00445331"/>
    <w:rsid w:val="00445A50"/>
    <w:rsid w:val="00445DF5"/>
    <w:rsid w:val="00446393"/>
    <w:rsid w:val="00447269"/>
    <w:rsid w:val="00447F00"/>
    <w:rsid w:val="00450BC0"/>
    <w:rsid w:val="00450CDA"/>
    <w:rsid w:val="004510A4"/>
    <w:rsid w:val="0045135E"/>
    <w:rsid w:val="00451544"/>
    <w:rsid w:val="004515FF"/>
    <w:rsid w:val="004517D4"/>
    <w:rsid w:val="00451A50"/>
    <w:rsid w:val="00452132"/>
    <w:rsid w:val="00452933"/>
    <w:rsid w:val="004535B0"/>
    <w:rsid w:val="00453A9A"/>
    <w:rsid w:val="00453E31"/>
    <w:rsid w:val="0045403E"/>
    <w:rsid w:val="00454597"/>
    <w:rsid w:val="00454729"/>
    <w:rsid w:val="004548E6"/>
    <w:rsid w:val="0045493D"/>
    <w:rsid w:val="00454A6F"/>
    <w:rsid w:val="004552F4"/>
    <w:rsid w:val="0045541F"/>
    <w:rsid w:val="0045543A"/>
    <w:rsid w:val="004556D9"/>
    <w:rsid w:val="0045606C"/>
    <w:rsid w:val="004561F9"/>
    <w:rsid w:val="0045637C"/>
    <w:rsid w:val="0045653A"/>
    <w:rsid w:val="0045695D"/>
    <w:rsid w:val="004569C1"/>
    <w:rsid w:val="00456B05"/>
    <w:rsid w:val="00456B0F"/>
    <w:rsid w:val="00457DC6"/>
    <w:rsid w:val="00460E9A"/>
    <w:rsid w:val="004610C6"/>
    <w:rsid w:val="00461BF2"/>
    <w:rsid w:val="00461D4B"/>
    <w:rsid w:val="00462582"/>
    <w:rsid w:val="00462637"/>
    <w:rsid w:val="004626F8"/>
    <w:rsid w:val="00462D35"/>
    <w:rsid w:val="00463416"/>
    <w:rsid w:val="004634B0"/>
    <w:rsid w:val="00463869"/>
    <w:rsid w:val="00463CD6"/>
    <w:rsid w:val="00463CF9"/>
    <w:rsid w:val="00463EAF"/>
    <w:rsid w:val="0046421B"/>
    <w:rsid w:val="00464A9C"/>
    <w:rsid w:val="00464E8F"/>
    <w:rsid w:val="00464F23"/>
    <w:rsid w:val="004657B3"/>
    <w:rsid w:val="00465A08"/>
    <w:rsid w:val="00466810"/>
    <w:rsid w:val="004668D8"/>
    <w:rsid w:val="00466C93"/>
    <w:rsid w:val="004678C8"/>
    <w:rsid w:val="00467BC2"/>
    <w:rsid w:val="00467C44"/>
    <w:rsid w:val="00467CFB"/>
    <w:rsid w:val="00470418"/>
    <w:rsid w:val="004709AE"/>
    <w:rsid w:val="00471720"/>
    <w:rsid w:val="00471E81"/>
    <w:rsid w:val="0047242B"/>
    <w:rsid w:val="004724AF"/>
    <w:rsid w:val="00472770"/>
    <w:rsid w:val="004727C4"/>
    <w:rsid w:val="004727E8"/>
    <w:rsid w:val="0047302D"/>
    <w:rsid w:val="0047322A"/>
    <w:rsid w:val="00473379"/>
    <w:rsid w:val="004733FB"/>
    <w:rsid w:val="0047352D"/>
    <w:rsid w:val="0047406E"/>
    <w:rsid w:val="004743CB"/>
    <w:rsid w:val="00474B50"/>
    <w:rsid w:val="0047578B"/>
    <w:rsid w:val="00475B48"/>
    <w:rsid w:val="004760FD"/>
    <w:rsid w:val="00476442"/>
    <w:rsid w:val="0047652F"/>
    <w:rsid w:val="004767DC"/>
    <w:rsid w:val="0047698C"/>
    <w:rsid w:val="00476FE9"/>
    <w:rsid w:val="00477194"/>
    <w:rsid w:val="00477FAF"/>
    <w:rsid w:val="00480205"/>
    <w:rsid w:val="0048027B"/>
    <w:rsid w:val="00481213"/>
    <w:rsid w:val="00481272"/>
    <w:rsid w:val="00481314"/>
    <w:rsid w:val="004817B5"/>
    <w:rsid w:val="00481E94"/>
    <w:rsid w:val="00481F32"/>
    <w:rsid w:val="00482199"/>
    <w:rsid w:val="0048231B"/>
    <w:rsid w:val="00482478"/>
    <w:rsid w:val="00482592"/>
    <w:rsid w:val="00482CCE"/>
    <w:rsid w:val="00482CCF"/>
    <w:rsid w:val="00483131"/>
    <w:rsid w:val="00483170"/>
    <w:rsid w:val="00483196"/>
    <w:rsid w:val="00483588"/>
    <w:rsid w:val="004837E7"/>
    <w:rsid w:val="0048383D"/>
    <w:rsid w:val="00484315"/>
    <w:rsid w:val="004844AC"/>
    <w:rsid w:val="00484B21"/>
    <w:rsid w:val="004851E8"/>
    <w:rsid w:val="0048544E"/>
    <w:rsid w:val="0048548F"/>
    <w:rsid w:val="00485580"/>
    <w:rsid w:val="0048578F"/>
    <w:rsid w:val="00485811"/>
    <w:rsid w:val="00485E3C"/>
    <w:rsid w:val="004864B4"/>
    <w:rsid w:val="00486A68"/>
    <w:rsid w:val="00486B09"/>
    <w:rsid w:val="00486EFC"/>
    <w:rsid w:val="00487CFA"/>
    <w:rsid w:val="00490187"/>
    <w:rsid w:val="004901CA"/>
    <w:rsid w:val="00490A03"/>
    <w:rsid w:val="00490A10"/>
    <w:rsid w:val="00490A62"/>
    <w:rsid w:val="00490E9E"/>
    <w:rsid w:val="00491063"/>
    <w:rsid w:val="004913B2"/>
    <w:rsid w:val="00491BC4"/>
    <w:rsid w:val="00491F9F"/>
    <w:rsid w:val="00491FBC"/>
    <w:rsid w:val="004920D9"/>
    <w:rsid w:val="0049234C"/>
    <w:rsid w:val="0049242A"/>
    <w:rsid w:val="00492735"/>
    <w:rsid w:val="00492A93"/>
    <w:rsid w:val="00492AF7"/>
    <w:rsid w:val="00492B25"/>
    <w:rsid w:val="00492EC7"/>
    <w:rsid w:val="0049319C"/>
    <w:rsid w:val="00493304"/>
    <w:rsid w:val="004933F5"/>
    <w:rsid w:val="00493C96"/>
    <w:rsid w:val="0049429F"/>
    <w:rsid w:val="004945E8"/>
    <w:rsid w:val="00494932"/>
    <w:rsid w:val="00494FC9"/>
    <w:rsid w:val="00494FF0"/>
    <w:rsid w:val="004950F8"/>
    <w:rsid w:val="00495211"/>
    <w:rsid w:val="004952BF"/>
    <w:rsid w:val="004956F2"/>
    <w:rsid w:val="00495B23"/>
    <w:rsid w:val="00495E19"/>
    <w:rsid w:val="00496742"/>
    <w:rsid w:val="00496AD4"/>
    <w:rsid w:val="00496B09"/>
    <w:rsid w:val="00496CC6"/>
    <w:rsid w:val="00497151"/>
    <w:rsid w:val="00497C10"/>
    <w:rsid w:val="00497C62"/>
    <w:rsid w:val="00497CAB"/>
    <w:rsid w:val="004A0324"/>
    <w:rsid w:val="004A034D"/>
    <w:rsid w:val="004A0C25"/>
    <w:rsid w:val="004A0E76"/>
    <w:rsid w:val="004A1222"/>
    <w:rsid w:val="004A1435"/>
    <w:rsid w:val="004A1EA2"/>
    <w:rsid w:val="004A201B"/>
    <w:rsid w:val="004A2604"/>
    <w:rsid w:val="004A27B0"/>
    <w:rsid w:val="004A2B6F"/>
    <w:rsid w:val="004A3807"/>
    <w:rsid w:val="004A3A38"/>
    <w:rsid w:val="004A3BB0"/>
    <w:rsid w:val="004A3BB4"/>
    <w:rsid w:val="004A425E"/>
    <w:rsid w:val="004A4377"/>
    <w:rsid w:val="004A4D2B"/>
    <w:rsid w:val="004A525D"/>
    <w:rsid w:val="004A52C4"/>
    <w:rsid w:val="004A548D"/>
    <w:rsid w:val="004A57EB"/>
    <w:rsid w:val="004A5824"/>
    <w:rsid w:val="004A6211"/>
    <w:rsid w:val="004A67CA"/>
    <w:rsid w:val="004A6C4B"/>
    <w:rsid w:val="004A76FC"/>
    <w:rsid w:val="004A7EC4"/>
    <w:rsid w:val="004B0095"/>
    <w:rsid w:val="004B0416"/>
    <w:rsid w:val="004B0857"/>
    <w:rsid w:val="004B181D"/>
    <w:rsid w:val="004B1CAB"/>
    <w:rsid w:val="004B1ECC"/>
    <w:rsid w:val="004B204F"/>
    <w:rsid w:val="004B2806"/>
    <w:rsid w:val="004B36ED"/>
    <w:rsid w:val="004B398F"/>
    <w:rsid w:val="004B3A94"/>
    <w:rsid w:val="004B3A9F"/>
    <w:rsid w:val="004B3B1B"/>
    <w:rsid w:val="004B3D44"/>
    <w:rsid w:val="004B3E66"/>
    <w:rsid w:val="004B3EAC"/>
    <w:rsid w:val="004B3FB8"/>
    <w:rsid w:val="004B41B5"/>
    <w:rsid w:val="004B45F8"/>
    <w:rsid w:val="004B47A1"/>
    <w:rsid w:val="004B4F79"/>
    <w:rsid w:val="004B5171"/>
    <w:rsid w:val="004B57A6"/>
    <w:rsid w:val="004B5DB7"/>
    <w:rsid w:val="004B5F75"/>
    <w:rsid w:val="004B612E"/>
    <w:rsid w:val="004B623B"/>
    <w:rsid w:val="004B63F2"/>
    <w:rsid w:val="004B6685"/>
    <w:rsid w:val="004B6EC6"/>
    <w:rsid w:val="004B7F83"/>
    <w:rsid w:val="004C1025"/>
    <w:rsid w:val="004C1315"/>
    <w:rsid w:val="004C1931"/>
    <w:rsid w:val="004C1BAB"/>
    <w:rsid w:val="004C1E13"/>
    <w:rsid w:val="004C1E18"/>
    <w:rsid w:val="004C1EA7"/>
    <w:rsid w:val="004C21B7"/>
    <w:rsid w:val="004C2A0C"/>
    <w:rsid w:val="004C2A81"/>
    <w:rsid w:val="004C2B60"/>
    <w:rsid w:val="004C3E02"/>
    <w:rsid w:val="004C3EE4"/>
    <w:rsid w:val="004C4010"/>
    <w:rsid w:val="004C422D"/>
    <w:rsid w:val="004C427C"/>
    <w:rsid w:val="004C440F"/>
    <w:rsid w:val="004C452C"/>
    <w:rsid w:val="004C4AA9"/>
    <w:rsid w:val="004C4CEB"/>
    <w:rsid w:val="004C5972"/>
    <w:rsid w:val="004C5CF1"/>
    <w:rsid w:val="004C667A"/>
    <w:rsid w:val="004C66A9"/>
    <w:rsid w:val="004C6D8E"/>
    <w:rsid w:val="004C71DF"/>
    <w:rsid w:val="004C76FA"/>
    <w:rsid w:val="004C7A27"/>
    <w:rsid w:val="004C7CAC"/>
    <w:rsid w:val="004C7CE4"/>
    <w:rsid w:val="004C7D2D"/>
    <w:rsid w:val="004C7F7C"/>
    <w:rsid w:val="004D000F"/>
    <w:rsid w:val="004D0538"/>
    <w:rsid w:val="004D0551"/>
    <w:rsid w:val="004D0571"/>
    <w:rsid w:val="004D0757"/>
    <w:rsid w:val="004D0855"/>
    <w:rsid w:val="004D0D3E"/>
    <w:rsid w:val="004D0F03"/>
    <w:rsid w:val="004D121C"/>
    <w:rsid w:val="004D17CC"/>
    <w:rsid w:val="004D1B13"/>
    <w:rsid w:val="004D1ECA"/>
    <w:rsid w:val="004D28EF"/>
    <w:rsid w:val="004D2A4E"/>
    <w:rsid w:val="004D2C36"/>
    <w:rsid w:val="004D336A"/>
    <w:rsid w:val="004D3733"/>
    <w:rsid w:val="004D466E"/>
    <w:rsid w:val="004D49C4"/>
    <w:rsid w:val="004D4AC6"/>
    <w:rsid w:val="004D4AE0"/>
    <w:rsid w:val="004D4C4C"/>
    <w:rsid w:val="004D4CF1"/>
    <w:rsid w:val="004D56B6"/>
    <w:rsid w:val="004D5A88"/>
    <w:rsid w:val="004D5DEC"/>
    <w:rsid w:val="004D60A0"/>
    <w:rsid w:val="004D63A1"/>
    <w:rsid w:val="004D69A2"/>
    <w:rsid w:val="004D7BE9"/>
    <w:rsid w:val="004D7BF4"/>
    <w:rsid w:val="004D7C41"/>
    <w:rsid w:val="004D7C92"/>
    <w:rsid w:val="004D7FE3"/>
    <w:rsid w:val="004E028C"/>
    <w:rsid w:val="004E0471"/>
    <w:rsid w:val="004E077B"/>
    <w:rsid w:val="004E09D1"/>
    <w:rsid w:val="004E0A57"/>
    <w:rsid w:val="004E0E95"/>
    <w:rsid w:val="004E19BA"/>
    <w:rsid w:val="004E1AF8"/>
    <w:rsid w:val="004E1D6E"/>
    <w:rsid w:val="004E216F"/>
    <w:rsid w:val="004E23A0"/>
    <w:rsid w:val="004E23D0"/>
    <w:rsid w:val="004E24ED"/>
    <w:rsid w:val="004E3061"/>
    <w:rsid w:val="004E35BF"/>
    <w:rsid w:val="004E38B2"/>
    <w:rsid w:val="004E3936"/>
    <w:rsid w:val="004E41F5"/>
    <w:rsid w:val="004E45B6"/>
    <w:rsid w:val="004E4BB5"/>
    <w:rsid w:val="004E50CC"/>
    <w:rsid w:val="004E51A0"/>
    <w:rsid w:val="004E5760"/>
    <w:rsid w:val="004E57F7"/>
    <w:rsid w:val="004E58E4"/>
    <w:rsid w:val="004E5D9C"/>
    <w:rsid w:val="004E6289"/>
    <w:rsid w:val="004E6B8E"/>
    <w:rsid w:val="004E6E2E"/>
    <w:rsid w:val="004E7F4F"/>
    <w:rsid w:val="004F00BC"/>
    <w:rsid w:val="004F0310"/>
    <w:rsid w:val="004F0450"/>
    <w:rsid w:val="004F0543"/>
    <w:rsid w:val="004F0DDD"/>
    <w:rsid w:val="004F114F"/>
    <w:rsid w:val="004F1B86"/>
    <w:rsid w:val="004F1E2E"/>
    <w:rsid w:val="004F202F"/>
    <w:rsid w:val="004F25B7"/>
    <w:rsid w:val="004F26DC"/>
    <w:rsid w:val="004F48D9"/>
    <w:rsid w:val="004F4ACD"/>
    <w:rsid w:val="004F4F1C"/>
    <w:rsid w:val="004F578B"/>
    <w:rsid w:val="004F5BE5"/>
    <w:rsid w:val="004F5E1F"/>
    <w:rsid w:val="004F6153"/>
    <w:rsid w:val="004F63F8"/>
    <w:rsid w:val="004F713A"/>
    <w:rsid w:val="004F71AF"/>
    <w:rsid w:val="004F72AD"/>
    <w:rsid w:val="004F7362"/>
    <w:rsid w:val="004F7408"/>
    <w:rsid w:val="004F7BA5"/>
    <w:rsid w:val="00500035"/>
    <w:rsid w:val="00500632"/>
    <w:rsid w:val="005007FD"/>
    <w:rsid w:val="00500BDE"/>
    <w:rsid w:val="00500D8E"/>
    <w:rsid w:val="00500E97"/>
    <w:rsid w:val="00500F7A"/>
    <w:rsid w:val="005010F3"/>
    <w:rsid w:val="005011A4"/>
    <w:rsid w:val="005012AD"/>
    <w:rsid w:val="00501849"/>
    <w:rsid w:val="0050198C"/>
    <w:rsid w:val="00501A98"/>
    <w:rsid w:val="00501ED8"/>
    <w:rsid w:val="00501F97"/>
    <w:rsid w:val="00502122"/>
    <w:rsid w:val="0050241C"/>
    <w:rsid w:val="005027BB"/>
    <w:rsid w:val="00502AC5"/>
    <w:rsid w:val="00502B66"/>
    <w:rsid w:val="00502D12"/>
    <w:rsid w:val="0050319C"/>
    <w:rsid w:val="005037E1"/>
    <w:rsid w:val="00503B1A"/>
    <w:rsid w:val="00503B5C"/>
    <w:rsid w:val="00503B96"/>
    <w:rsid w:val="00503D2C"/>
    <w:rsid w:val="0050456A"/>
    <w:rsid w:val="00505E1D"/>
    <w:rsid w:val="00506463"/>
    <w:rsid w:val="005068E1"/>
    <w:rsid w:val="00506CE0"/>
    <w:rsid w:val="00506E02"/>
    <w:rsid w:val="005070EA"/>
    <w:rsid w:val="0050760D"/>
    <w:rsid w:val="005077C5"/>
    <w:rsid w:val="00507E32"/>
    <w:rsid w:val="00510870"/>
    <w:rsid w:val="00510893"/>
    <w:rsid w:val="00510AD9"/>
    <w:rsid w:val="005110BA"/>
    <w:rsid w:val="0051168A"/>
    <w:rsid w:val="0051185B"/>
    <w:rsid w:val="00512085"/>
    <w:rsid w:val="005122F4"/>
    <w:rsid w:val="0051390F"/>
    <w:rsid w:val="005141DA"/>
    <w:rsid w:val="005141DD"/>
    <w:rsid w:val="00514E36"/>
    <w:rsid w:val="00515307"/>
    <w:rsid w:val="00515316"/>
    <w:rsid w:val="005156A6"/>
    <w:rsid w:val="005158CE"/>
    <w:rsid w:val="0051636C"/>
    <w:rsid w:val="00516393"/>
    <w:rsid w:val="00516AD8"/>
    <w:rsid w:val="0052054F"/>
    <w:rsid w:val="00520B4F"/>
    <w:rsid w:val="00520D42"/>
    <w:rsid w:val="00521511"/>
    <w:rsid w:val="005218EE"/>
    <w:rsid w:val="00521AFB"/>
    <w:rsid w:val="00522423"/>
    <w:rsid w:val="00522B33"/>
    <w:rsid w:val="00522DB0"/>
    <w:rsid w:val="00523306"/>
    <w:rsid w:val="00523686"/>
    <w:rsid w:val="00523B66"/>
    <w:rsid w:val="00523EF2"/>
    <w:rsid w:val="00523F51"/>
    <w:rsid w:val="00524016"/>
    <w:rsid w:val="0052437C"/>
    <w:rsid w:val="005244A4"/>
    <w:rsid w:val="00524AD7"/>
    <w:rsid w:val="005254E1"/>
    <w:rsid w:val="005255A4"/>
    <w:rsid w:val="00525727"/>
    <w:rsid w:val="005258CF"/>
    <w:rsid w:val="0052591E"/>
    <w:rsid w:val="00525B43"/>
    <w:rsid w:val="00525B8C"/>
    <w:rsid w:val="00525F07"/>
    <w:rsid w:val="00525F40"/>
    <w:rsid w:val="0052639A"/>
    <w:rsid w:val="00526477"/>
    <w:rsid w:val="00526691"/>
    <w:rsid w:val="00526C46"/>
    <w:rsid w:val="00526E3D"/>
    <w:rsid w:val="00527007"/>
    <w:rsid w:val="00527744"/>
    <w:rsid w:val="00527E5C"/>
    <w:rsid w:val="0053027E"/>
    <w:rsid w:val="00531240"/>
    <w:rsid w:val="005312E8"/>
    <w:rsid w:val="005313F7"/>
    <w:rsid w:val="00531F39"/>
    <w:rsid w:val="00532607"/>
    <w:rsid w:val="00532767"/>
    <w:rsid w:val="005328BA"/>
    <w:rsid w:val="00532B70"/>
    <w:rsid w:val="00532B82"/>
    <w:rsid w:val="005331F1"/>
    <w:rsid w:val="00533920"/>
    <w:rsid w:val="005339AA"/>
    <w:rsid w:val="00533DC4"/>
    <w:rsid w:val="0053480E"/>
    <w:rsid w:val="00534ED5"/>
    <w:rsid w:val="005351E0"/>
    <w:rsid w:val="00535324"/>
    <w:rsid w:val="0053540E"/>
    <w:rsid w:val="00535521"/>
    <w:rsid w:val="005358E0"/>
    <w:rsid w:val="00535969"/>
    <w:rsid w:val="00535C15"/>
    <w:rsid w:val="00535F4E"/>
    <w:rsid w:val="0053658F"/>
    <w:rsid w:val="005366F8"/>
    <w:rsid w:val="0053678B"/>
    <w:rsid w:val="00536B20"/>
    <w:rsid w:val="00536DEF"/>
    <w:rsid w:val="005371C4"/>
    <w:rsid w:val="0053749F"/>
    <w:rsid w:val="005378B7"/>
    <w:rsid w:val="005404B0"/>
    <w:rsid w:val="00540837"/>
    <w:rsid w:val="005410E8"/>
    <w:rsid w:val="0054125E"/>
    <w:rsid w:val="00541317"/>
    <w:rsid w:val="0054170F"/>
    <w:rsid w:val="00541904"/>
    <w:rsid w:val="005419F2"/>
    <w:rsid w:val="00541C30"/>
    <w:rsid w:val="0054209B"/>
    <w:rsid w:val="0054216F"/>
    <w:rsid w:val="0054224D"/>
    <w:rsid w:val="005422EB"/>
    <w:rsid w:val="0054294B"/>
    <w:rsid w:val="00542969"/>
    <w:rsid w:val="00542B4C"/>
    <w:rsid w:val="00542BB8"/>
    <w:rsid w:val="00542D37"/>
    <w:rsid w:val="00542F18"/>
    <w:rsid w:val="00543397"/>
    <w:rsid w:val="00543879"/>
    <w:rsid w:val="005439A1"/>
    <w:rsid w:val="00543C00"/>
    <w:rsid w:val="00544457"/>
    <w:rsid w:val="00544492"/>
    <w:rsid w:val="005445E7"/>
    <w:rsid w:val="005446F0"/>
    <w:rsid w:val="00544824"/>
    <w:rsid w:val="00544853"/>
    <w:rsid w:val="00544984"/>
    <w:rsid w:val="00544B34"/>
    <w:rsid w:val="00544B7A"/>
    <w:rsid w:val="005450E2"/>
    <w:rsid w:val="005452E2"/>
    <w:rsid w:val="005456F8"/>
    <w:rsid w:val="0054576E"/>
    <w:rsid w:val="00545E01"/>
    <w:rsid w:val="00545E91"/>
    <w:rsid w:val="00545F3B"/>
    <w:rsid w:val="0054644C"/>
    <w:rsid w:val="005466A3"/>
    <w:rsid w:val="005467C6"/>
    <w:rsid w:val="00546C64"/>
    <w:rsid w:val="00546D2D"/>
    <w:rsid w:val="00547033"/>
    <w:rsid w:val="0054750F"/>
    <w:rsid w:val="00547AC8"/>
    <w:rsid w:val="0055001C"/>
    <w:rsid w:val="005500B1"/>
    <w:rsid w:val="00550502"/>
    <w:rsid w:val="0055054D"/>
    <w:rsid w:val="0055086B"/>
    <w:rsid w:val="005508E3"/>
    <w:rsid w:val="005508EB"/>
    <w:rsid w:val="00550934"/>
    <w:rsid w:val="00550D43"/>
    <w:rsid w:val="00550DD7"/>
    <w:rsid w:val="00550ECE"/>
    <w:rsid w:val="0055106C"/>
    <w:rsid w:val="005510A0"/>
    <w:rsid w:val="005512D5"/>
    <w:rsid w:val="0055175A"/>
    <w:rsid w:val="00551DEC"/>
    <w:rsid w:val="00551E0D"/>
    <w:rsid w:val="00552096"/>
    <w:rsid w:val="0055245B"/>
    <w:rsid w:val="0055255F"/>
    <w:rsid w:val="00552717"/>
    <w:rsid w:val="005529FC"/>
    <w:rsid w:val="005531D8"/>
    <w:rsid w:val="0055321F"/>
    <w:rsid w:val="00553D54"/>
    <w:rsid w:val="00553F9F"/>
    <w:rsid w:val="005546BF"/>
    <w:rsid w:val="00554929"/>
    <w:rsid w:val="00554CB6"/>
    <w:rsid w:val="00554E36"/>
    <w:rsid w:val="00554FC3"/>
    <w:rsid w:val="0055541D"/>
    <w:rsid w:val="00555523"/>
    <w:rsid w:val="00555827"/>
    <w:rsid w:val="00555E0D"/>
    <w:rsid w:val="00556E02"/>
    <w:rsid w:val="0055764E"/>
    <w:rsid w:val="0055783F"/>
    <w:rsid w:val="00557CF4"/>
    <w:rsid w:val="005602B5"/>
    <w:rsid w:val="00560528"/>
    <w:rsid w:val="00560A5E"/>
    <w:rsid w:val="00560D92"/>
    <w:rsid w:val="005616D9"/>
    <w:rsid w:val="00561740"/>
    <w:rsid w:val="00561923"/>
    <w:rsid w:val="00561D24"/>
    <w:rsid w:val="0056295E"/>
    <w:rsid w:val="00562A0F"/>
    <w:rsid w:val="0056310A"/>
    <w:rsid w:val="005636AB"/>
    <w:rsid w:val="00563C49"/>
    <w:rsid w:val="00564A64"/>
    <w:rsid w:val="00564CB0"/>
    <w:rsid w:val="00565452"/>
    <w:rsid w:val="00565888"/>
    <w:rsid w:val="00565AC1"/>
    <w:rsid w:val="005666B8"/>
    <w:rsid w:val="00566920"/>
    <w:rsid w:val="005675FA"/>
    <w:rsid w:val="00567A04"/>
    <w:rsid w:val="00567F76"/>
    <w:rsid w:val="00570239"/>
    <w:rsid w:val="005703BB"/>
    <w:rsid w:val="005704CB"/>
    <w:rsid w:val="0057093C"/>
    <w:rsid w:val="00570D7F"/>
    <w:rsid w:val="00570DF4"/>
    <w:rsid w:val="00570E81"/>
    <w:rsid w:val="005710A9"/>
    <w:rsid w:val="0057152C"/>
    <w:rsid w:val="005715D4"/>
    <w:rsid w:val="0057178D"/>
    <w:rsid w:val="00571D59"/>
    <w:rsid w:val="00572165"/>
    <w:rsid w:val="00572225"/>
    <w:rsid w:val="00572E3E"/>
    <w:rsid w:val="00572FB0"/>
    <w:rsid w:val="00573207"/>
    <w:rsid w:val="00573335"/>
    <w:rsid w:val="0057338B"/>
    <w:rsid w:val="00573619"/>
    <w:rsid w:val="005737F5"/>
    <w:rsid w:val="00573BA4"/>
    <w:rsid w:val="00574090"/>
    <w:rsid w:val="00574182"/>
    <w:rsid w:val="005741C2"/>
    <w:rsid w:val="00574209"/>
    <w:rsid w:val="0057420B"/>
    <w:rsid w:val="005750E9"/>
    <w:rsid w:val="0057538F"/>
    <w:rsid w:val="0057541F"/>
    <w:rsid w:val="0057571E"/>
    <w:rsid w:val="00575951"/>
    <w:rsid w:val="00575CDD"/>
    <w:rsid w:val="00576330"/>
    <w:rsid w:val="00576438"/>
    <w:rsid w:val="0057657F"/>
    <w:rsid w:val="0057673C"/>
    <w:rsid w:val="00576B07"/>
    <w:rsid w:val="00577183"/>
    <w:rsid w:val="005773F5"/>
    <w:rsid w:val="005777A5"/>
    <w:rsid w:val="00577A21"/>
    <w:rsid w:val="00577E70"/>
    <w:rsid w:val="00580280"/>
    <w:rsid w:val="0058031C"/>
    <w:rsid w:val="0058135A"/>
    <w:rsid w:val="005813C3"/>
    <w:rsid w:val="005815FE"/>
    <w:rsid w:val="0058163B"/>
    <w:rsid w:val="0058294A"/>
    <w:rsid w:val="00582C36"/>
    <w:rsid w:val="00582D44"/>
    <w:rsid w:val="005838DD"/>
    <w:rsid w:val="00583AA1"/>
    <w:rsid w:val="00583AB1"/>
    <w:rsid w:val="00583BF0"/>
    <w:rsid w:val="00583FDC"/>
    <w:rsid w:val="00584058"/>
    <w:rsid w:val="005847C7"/>
    <w:rsid w:val="005847E2"/>
    <w:rsid w:val="00584925"/>
    <w:rsid w:val="00584ADC"/>
    <w:rsid w:val="00584DC2"/>
    <w:rsid w:val="00585571"/>
    <w:rsid w:val="005855F8"/>
    <w:rsid w:val="00585991"/>
    <w:rsid w:val="00585B91"/>
    <w:rsid w:val="005867C2"/>
    <w:rsid w:val="00586978"/>
    <w:rsid w:val="005869CA"/>
    <w:rsid w:val="005869E2"/>
    <w:rsid w:val="00586BF1"/>
    <w:rsid w:val="00586DE8"/>
    <w:rsid w:val="005872CC"/>
    <w:rsid w:val="0058745C"/>
    <w:rsid w:val="00587AE1"/>
    <w:rsid w:val="00587C78"/>
    <w:rsid w:val="00590097"/>
    <w:rsid w:val="005903E4"/>
    <w:rsid w:val="00590888"/>
    <w:rsid w:val="00590954"/>
    <w:rsid w:val="00591256"/>
    <w:rsid w:val="00591447"/>
    <w:rsid w:val="005917DF"/>
    <w:rsid w:val="00591CB0"/>
    <w:rsid w:val="0059276F"/>
    <w:rsid w:val="0059281B"/>
    <w:rsid w:val="00592899"/>
    <w:rsid w:val="00593139"/>
    <w:rsid w:val="00593386"/>
    <w:rsid w:val="00593499"/>
    <w:rsid w:val="0059424C"/>
    <w:rsid w:val="005943AE"/>
    <w:rsid w:val="0059442B"/>
    <w:rsid w:val="005946DF"/>
    <w:rsid w:val="00594826"/>
    <w:rsid w:val="005948B3"/>
    <w:rsid w:val="005950D6"/>
    <w:rsid w:val="005951A5"/>
    <w:rsid w:val="00595486"/>
    <w:rsid w:val="005954E9"/>
    <w:rsid w:val="00595820"/>
    <w:rsid w:val="005958D0"/>
    <w:rsid w:val="0059594B"/>
    <w:rsid w:val="005962B6"/>
    <w:rsid w:val="00596ED3"/>
    <w:rsid w:val="00596F70"/>
    <w:rsid w:val="005970E6"/>
    <w:rsid w:val="0059738E"/>
    <w:rsid w:val="0059751C"/>
    <w:rsid w:val="0059786C"/>
    <w:rsid w:val="00597919"/>
    <w:rsid w:val="00597BF0"/>
    <w:rsid w:val="005A0000"/>
    <w:rsid w:val="005A0506"/>
    <w:rsid w:val="005A08FB"/>
    <w:rsid w:val="005A0B9F"/>
    <w:rsid w:val="005A0C48"/>
    <w:rsid w:val="005A0D08"/>
    <w:rsid w:val="005A0D31"/>
    <w:rsid w:val="005A15F2"/>
    <w:rsid w:val="005A1625"/>
    <w:rsid w:val="005A1A01"/>
    <w:rsid w:val="005A1C82"/>
    <w:rsid w:val="005A2533"/>
    <w:rsid w:val="005A2C5F"/>
    <w:rsid w:val="005A2FCE"/>
    <w:rsid w:val="005A3ACA"/>
    <w:rsid w:val="005A3B1B"/>
    <w:rsid w:val="005A42FD"/>
    <w:rsid w:val="005A4385"/>
    <w:rsid w:val="005A45E5"/>
    <w:rsid w:val="005A4707"/>
    <w:rsid w:val="005A496B"/>
    <w:rsid w:val="005A4BDD"/>
    <w:rsid w:val="005A5171"/>
    <w:rsid w:val="005A54B5"/>
    <w:rsid w:val="005A5CC8"/>
    <w:rsid w:val="005A5D1A"/>
    <w:rsid w:val="005A5F78"/>
    <w:rsid w:val="005A6089"/>
    <w:rsid w:val="005A61B8"/>
    <w:rsid w:val="005A63D8"/>
    <w:rsid w:val="005A64E5"/>
    <w:rsid w:val="005A6960"/>
    <w:rsid w:val="005A69AE"/>
    <w:rsid w:val="005A73D7"/>
    <w:rsid w:val="005A7DBE"/>
    <w:rsid w:val="005A7E63"/>
    <w:rsid w:val="005A7F81"/>
    <w:rsid w:val="005B075B"/>
    <w:rsid w:val="005B0B71"/>
    <w:rsid w:val="005B1082"/>
    <w:rsid w:val="005B1A5E"/>
    <w:rsid w:val="005B1C50"/>
    <w:rsid w:val="005B1EB5"/>
    <w:rsid w:val="005B2218"/>
    <w:rsid w:val="005B2C3A"/>
    <w:rsid w:val="005B2EBB"/>
    <w:rsid w:val="005B32CE"/>
    <w:rsid w:val="005B33DC"/>
    <w:rsid w:val="005B34EE"/>
    <w:rsid w:val="005B3568"/>
    <w:rsid w:val="005B3606"/>
    <w:rsid w:val="005B3ED7"/>
    <w:rsid w:val="005B4393"/>
    <w:rsid w:val="005B446E"/>
    <w:rsid w:val="005B4788"/>
    <w:rsid w:val="005B49B6"/>
    <w:rsid w:val="005B4A45"/>
    <w:rsid w:val="005B4D55"/>
    <w:rsid w:val="005B54AB"/>
    <w:rsid w:val="005B5D5E"/>
    <w:rsid w:val="005B5FDA"/>
    <w:rsid w:val="005B68A7"/>
    <w:rsid w:val="005B6AD2"/>
    <w:rsid w:val="005B6B9D"/>
    <w:rsid w:val="005B6E36"/>
    <w:rsid w:val="005B7295"/>
    <w:rsid w:val="005B741A"/>
    <w:rsid w:val="005B74C5"/>
    <w:rsid w:val="005B7733"/>
    <w:rsid w:val="005B77AB"/>
    <w:rsid w:val="005B7A22"/>
    <w:rsid w:val="005C00C1"/>
    <w:rsid w:val="005C03FA"/>
    <w:rsid w:val="005C047D"/>
    <w:rsid w:val="005C0602"/>
    <w:rsid w:val="005C0A73"/>
    <w:rsid w:val="005C0AC6"/>
    <w:rsid w:val="005C0B86"/>
    <w:rsid w:val="005C0BA8"/>
    <w:rsid w:val="005C123C"/>
    <w:rsid w:val="005C1AC4"/>
    <w:rsid w:val="005C2114"/>
    <w:rsid w:val="005C2362"/>
    <w:rsid w:val="005C25C7"/>
    <w:rsid w:val="005C25DD"/>
    <w:rsid w:val="005C2766"/>
    <w:rsid w:val="005C2E28"/>
    <w:rsid w:val="005C300C"/>
    <w:rsid w:val="005C3015"/>
    <w:rsid w:val="005C3069"/>
    <w:rsid w:val="005C343C"/>
    <w:rsid w:val="005C37F5"/>
    <w:rsid w:val="005C3D03"/>
    <w:rsid w:val="005C40C7"/>
    <w:rsid w:val="005C42B0"/>
    <w:rsid w:val="005C42DA"/>
    <w:rsid w:val="005C438F"/>
    <w:rsid w:val="005C44D5"/>
    <w:rsid w:val="005C48AA"/>
    <w:rsid w:val="005C4A96"/>
    <w:rsid w:val="005C4C7F"/>
    <w:rsid w:val="005C4E3A"/>
    <w:rsid w:val="005C5042"/>
    <w:rsid w:val="005C5AF9"/>
    <w:rsid w:val="005C626A"/>
    <w:rsid w:val="005C63FA"/>
    <w:rsid w:val="005C737D"/>
    <w:rsid w:val="005C75D1"/>
    <w:rsid w:val="005C773A"/>
    <w:rsid w:val="005C7C28"/>
    <w:rsid w:val="005C7F98"/>
    <w:rsid w:val="005D03A5"/>
    <w:rsid w:val="005D0512"/>
    <w:rsid w:val="005D058E"/>
    <w:rsid w:val="005D0768"/>
    <w:rsid w:val="005D082B"/>
    <w:rsid w:val="005D0976"/>
    <w:rsid w:val="005D097F"/>
    <w:rsid w:val="005D0E7C"/>
    <w:rsid w:val="005D0EBF"/>
    <w:rsid w:val="005D1576"/>
    <w:rsid w:val="005D1762"/>
    <w:rsid w:val="005D1AF3"/>
    <w:rsid w:val="005D1D9F"/>
    <w:rsid w:val="005D2217"/>
    <w:rsid w:val="005D2667"/>
    <w:rsid w:val="005D3485"/>
    <w:rsid w:val="005D34BF"/>
    <w:rsid w:val="005D3E22"/>
    <w:rsid w:val="005D3EBB"/>
    <w:rsid w:val="005D42B4"/>
    <w:rsid w:val="005D4CF7"/>
    <w:rsid w:val="005D51D9"/>
    <w:rsid w:val="005D5347"/>
    <w:rsid w:val="005D53A2"/>
    <w:rsid w:val="005D570F"/>
    <w:rsid w:val="005D576A"/>
    <w:rsid w:val="005D5A70"/>
    <w:rsid w:val="005D5CC5"/>
    <w:rsid w:val="005D5E85"/>
    <w:rsid w:val="005D6732"/>
    <w:rsid w:val="005D6740"/>
    <w:rsid w:val="005D6E0D"/>
    <w:rsid w:val="005D74DD"/>
    <w:rsid w:val="005D7572"/>
    <w:rsid w:val="005D787B"/>
    <w:rsid w:val="005D7E4A"/>
    <w:rsid w:val="005D7E93"/>
    <w:rsid w:val="005E03A7"/>
    <w:rsid w:val="005E0516"/>
    <w:rsid w:val="005E0949"/>
    <w:rsid w:val="005E0C83"/>
    <w:rsid w:val="005E0E3F"/>
    <w:rsid w:val="005E12BE"/>
    <w:rsid w:val="005E1407"/>
    <w:rsid w:val="005E1467"/>
    <w:rsid w:val="005E200C"/>
    <w:rsid w:val="005E305A"/>
    <w:rsid w:val="005E319D"/>
    <w:rsid w:val="005E3ACB"/>
    <w:rsid w:val="005E3DF8"/>
    <w:rsid w:val="005E3F55"/>
    <w:rsid w:val="005E4660"/>
    <w:rsid w:val="005E4B27"/>
    <w:rsid w:val="005E515C"/>
    <w:rsid w:val="005E6499"/>
    <w:rsid w:val="005E6505"/>
    <w:rsid w:val="005E6F77"/>
    <w:rsid w:val="005E75E3"/>
    <w:rsid w:val="005E7863"/>
    <w:rsid w:val="005E7B9C"/>
    <w:rsid w:val="005E7BE6"/>
    <w:rsid w:val="005E7ECD"/>
    <w:rsid w:val="005F0215"/>
    <w:rsid w:val="005F0523"/>
    <w:rsid w:val="005F1267"/>
    <w:rsid w:val="005F1C97"/>
    <w:rsid w:val="005F1D43"/>
    <w:rsid w:val="005F250D"/>
    <w:rsid w:val="005F2B84"/>
    <w:rsid w:val="005F2EA8"/>
    <w:rsid w:val="005F322F"/>
    <w:rsid w:val="005F3322"/>
    <w:rsid w:val="005F3751"/>
    <w:rsid w:val="005F3A56"/>
    <w:rsid w:val="005F3EC3"/>
    <w:rsid w:val="005F4136"/>
    <w:rsid w:val="005F42F2"/>
    <w:rsid w:val="005F446D"/>
    <w:rsid w:val="005F488D"/>
    <w:rsid w:val="005F5005"/>
    <w:rsid w:val="005F5117"/>
    <w:rsid w:val="005F584B"/>
    <w:rsid w:val="005F5F7B"/>
    <w:rsid w:val="005F61E1"/>
    <w:rsid w:val="005F637A"/>
    <w:rsid w:val="005F64C6"/>
    <w:rsid w:val="005F76FB"/>
    <w:rsid w:val="005F77AB"/>
    <w:rsid w:val="005F784D"/>
    <w:rsid w:val="005F7A0B"/>
    <w:rsid w:val="005F7B70"/>
    <w:rsid w:val="00600097"/>
    <w:rsid w:val="0060054F"/>
    <w:rsid w:val="0060081A"/>
    <w:rsid w:val="006008F1"/>
    <w:rsid w:val="00600C01"/>
    <w:rsid w:val="006014DB"/>
    <w:rsid w:val="00601735"/>
    <w:rsid w:val="006018B5"/>
    <w:rsid w:val="00601BE4"/>
    <w:rsid w:val="006022AD"/>
    <w:rsid w:val="006022E0"/>
    <w:rsid w:val="006023AE"/>
    <w:rsid w:val="006025F2"/>
    <w:rsid w:val="0060279C"/>
    <w:rsid w:val="00602AC4"/>
    <w:rsid w:val="00602B46"/>
    <w:rsid w:val="00602BD2"/>
    <w:rsid w:val="00602C37"/>
    <w:rsid w:val="006031A6"/>
    <w:rsid w:val="00603383"/>
    <w:rsid w:val="00603480"/>
    <w:rsid w:val="0060376C"/>
    <w:rsid w:val="00603817"/>
    <w:rsid w:val="006039B8"/>
    <w:rsid w:val="00603B25"/>
    <w:rsid w:val="00603D7A"/>
    <w:rsid w:val="0060408F"/>
    <w:rsid w:val="00604174"/>
    <w:rsid w:val="006043F3"/>
    <w:rsid w:val="006049ED"/>
    <w:rsid w:val="00604B87"/>
    <w:rsid w:val="00605059"/>
    <w:rsid w:val="00605275"/>
    <w:rsid w:val="00605529"/>
    <w:rsid w:val="00605A3E"/>
    <w:rsid w:val="00605CAB"/>
    <w:rsid w:val="00605D1D"/>
    <w:rsid w:val="00605DAE"/>
    <w:rsid w:val="00605DB9"/>
    <w:rsid w:val="00605DE2"/>
    <w:rsid w:val="00606279"/>
    <w:rsid w:val="0060650E"/>
    <w:rsid w:val="006065CF"/>
    <w:rsid w:val="00606C41"/>
    <w:rsid w:val="00606E5D"/>
    <w:rsid w:val="006076EF"/>
    <w:rsid w:val="006079C8"/>
    <w:rsid w:val="006103A8"/>
    <w:rsid w:val="00610F39"/>
    <w:rsid w:val="006112C2"/>
    <w:rsid w:val="0061150D"/>
    <w:rsid w:val="00611D9C"/>
    <w:rsid w:val="00612E59"/>
    <w:rsid w:val="0061315B"/>
    <w:rsid w:val="006132CC"/>
    <w:rsid w:val="00613343"/>
    <w:rsid w:val="00613ADC"/>
    <w:rsid w:val="00613C12"/>
    <w:rsid w:val="00613C47"/>
    <w:rsid w:val="00614071"/>
    <w:rsid w:val="00614292"/>
    <w:rsid w:val="006148AC"/>
    <w:rsid w:val="006153E5"/>
    <w:rsid w:val="00615654"/>
    <w:rsid w:val="00615741"/>
    <w:rsid w:val="00615A56"/>
    <w:rsid w:val="00616201"/>
    <w:rsid w:val="00616225"/>
    <w:rsid w:val="00616C1C"/>
    <w:rsid w:val="00616D5E"/>
    <w:rsid w:val="00616EEC"/>
    <w:rsid w:val="00617270"/>
    <w:rsid w:val="00617A8B"/>
    <w:rsid w:val="00617C23"/>
    <w:rsid w:val="006200B8"/>
    <w:rsid w:val="00620272"/>
    <w:rsid w:val="0062040C"/>
    <w:rsid w:val="00620422"/>
    <w:rsid w:val="0062058A"/>
    <w:rsid w:val="006205BF"/>
    <w:rsid w:val="006208E6"/>
    <w:rsid w:val="006208F9"/>
    <w:rsid w:val="00620A9B"/>
    <w:rsid w:val="00620CE4"/>
    <w:rsid w:val="0062100C"/>
    <w:rsid w:val="00621343"/>
    <w:rsid w:val="006219DF"/>
    <w:rsid w:val="00621BA6"/>
    <w:rsid w:val="00621E32"/>
    <w:rsid w:val="00621F46"/>
    <w:rsid w:val="0062224C"/>
    <w:rsid w:val="006226B7"/>
    <w:rsid w:val="00622CD5"/>
    <w:rsid w:val="00622FEA"/>
    <w:rsid w:val="0062349B"/>
    <w:rsid w:val="006235BB"/>
    <w:rsid w:val="00623A45"/>
    <w:rsid w:val="00623B67"/>
    <w:rsid w:val="00623C19"/>
    <w:rsid w:val="00623CDF"/>
    <w:rsid w:val="00623DB1"/>
    <w:rsid w:val="00623EB3"/>
    <w:rsid w:val="00623F6A"/>
    <w:rsid w:val="006241D2"/>
    <w:rsid w:val="006245F3"/>
    <w:rsid w:val="00624ABF"/>
    <w:rsid w:val="00624B63"/>
    <w:rsid w:val="00624DBD"/>
    <w:rsid w:val="00624E6F"/>
    <w:rsid w:val="006252E6"/>
    <w:rsid w:val="0062552F"/>
    <w:rsid w:val="0062583C"/>
    <w:rsid w:val="00625A17"/>
    <w:rsid w:val="00625B47"/>
    <w:rsid w:val="00625BE6"/>
    <w:rsid w:val="00625D54"/>
    <w:rsid w:val="00626337"/>
    <w:rsid w:val="006268E4"/>
    <w:rsid w:val="00626A11"/>
    <w:rsid w:val="00626A1D"/>
    <w:rsid w:val="00626BE7"/>
    <w:rsid w:val="0062726B"/>
    <w:rsid w:val="0062767B"/>
    <w:rsid w:val="0062770D"/>
    <w:rsid w:val="00627ED6"/>
    <w:rsid w:val="006304D2"/>
    <w:rsid w:val="00630C76"/>
    <w:rsid w:val="00630CC5"/>
    <w:rsid w:val="0063196A"/>
    <w:rsid w:val="006319CA"/>
    <w:rsid w:val="00631B1B"/>
    <w:rsid w:val="00631D45"/>
    <w:rsid w:val="00632B41"/>
    <w:rsid w:val="00633107"/>
    <w:rsid w:val="006338BC"/>
    <w:rsid w:val="00633AA9"/>
    <w:rsid w:val="00633FDE"/>
    <w:rsid w:val="00634932"/>
    <w:rsid w:val="00634EC0"/>
    <w:rsid w:val="0063627F"/>
    <w:rsid w:val="006362FE"/>
    <w:rsid w:val="006364D6"/>
    <w:rsid w:val="006370A6"/>
    <w:rsid w:val="00637750"/>
    <w:rsid w:val="00637A76"/>
    <w:rsid w:val="00637CE2"/>
    <w:rsid w:val="00637EE5"/>
    <w:rsid w:val="00640125"/>
    <w:rsid w:val="00640F42"/>
    <w:rsid w:val="006411E4"/>
    <w:rsid w:val="0064140B"/>
    <w:rsid w:val="006419A2"/>
    <w:rsid w:val="0064266A"/>
    <w:rsid w:val="00642ADE"/>
    <w:rsid w:val="00642D72"/>
    <w:rsid w:val="0064303A"/>
    <w:rsid w:val="006431BC"/>
    <w:rsid w:val="00643671"/>
    <w:rsid w:val="00643819"/>
    <w:rsid w:val="00643B4C"/>
    <w:rsid w:val="00643F85"/>
    <w:rsid w:val="006442FD"/>
    <w:rsid w:val="006443CB"/>
    <w:rsid w:val="00644A19"/>
    <w:rsid w:val="00644F80"/>
    <w:rsid w:val="0064532F"/>
    <w:rsid w:val="00645874"/>
    <w:rsid w:val="006463FE"/>
    <w:rsid w:val="006466E1"/>
    <w:rsid w:val="006479E0"/>
    <w:rsid w:val="00647A43"/>
    <w:rsid w:val="00647D78"/>
    <w:rsid w:val="00647F7B"/>
    <w:rsid w:val="0065074A"/>
    <w:rsid w:val="00650DD0"/>
    <w:rsid w:val="00650EE4"/>
    <w:rsid w:val="00650F11"/>
    <w:rsid w:val="0065124B"/>
    <w:rsid w:val="00651382"/>
    <w:rsid w:val="006513D3"/>
    <w:rsid w:val="0065171C"/>
    <w:rsid w:val="00651E96"/>
    <w:rsid w:val="006526AA"/>
    <w:rsid w:val="00652AB2"/>
    <w:rsid w:val="00652E99"/>
    <w:rsid w:val="006533F3"/>
    <w:rsid w:val="00653579"/>
    <w:rsid w:val="00653622"/>
    <w:rsid w:val="00653889"/>
    <w:rsid w:val="0065395A"/>
    <w:rsid w:val="00653FE6"/>
    <w:rsid w:val="0065446A"/>
    <w:rsid w:val="00654671"/>
    <w:rsid w:val="00654C11"/>
    <w:rsid w:val="00654EB9"/>
    <w:rsid w:val="006551F6"/>
    <w:rsid w:val="0065552B"/>
    <w:rsid w:val="0065585C"/>
    <w:rsid w:val="006558F8"/>
    <w:rsid w:val="00655AC6"/>
    <w:rsid w:val="006561E4"/>
    <w:rsid w:val="006564DF"/>
    <w:rsid w:val="006566ED"/>
    <w:rsid w:val="00656B4B"/>
    <w:rsid w:val="0065746E"/>
    <w:rsid w:val="00657594"/>
    <w:rsid w:val="00657DFC"/>
    <w:rsid w:val="00660024"/>
    <w:rsid w:val="00660B46"/>
    <w:rsid w:val="00660D40"/>
    <w:rsid w:val="00660EF1"/>
    <w:rsid w:val="00660F6F"/>
    <w:rsid w:val="006610B6"/>
    <w:rsid w:val="00661918"/>
    <w:rsid w:val="00661C74"/>
    <w:rsid w:val="00661D51"/>
    <w:rsid w:val="00661E1C"/>
    <w:rsid w:val="00661F08"/>
    <w:rsid w:val="00662130"/>
    <w:rsid w:val="00662A5A"/>
    <w:rsid w:val="00662B7E"/>
    <w:rsid w:val="00662F7D"/>
    <w:rsid w:val="0066318E"/>
    <w:rsid w:val="0066356C"/>
    <w:rsid w:val="00663C58"/>
    <w:rsid w:val="00663CEF"/>
    <w:rsid w:val="00664205"/>
    <w:rsid w:val="00664264"/>
    <w:rsid w:val="00664875"/>
    <w:rsid w:val="006653D7"/>
    <w:rsid w:val="006654DB"/>
    <w:rsid w:val="006654F3"/>
    <w:rsid w:val="006657AE"/>
    <w:rsid w:val="00665F5E"/>
    <w:rsid w:val="00666129"/>
    <w:rsid w:val="006665BA"/>
    <w:rsid w:val="006665FE"/>
    <w:rsid w:val="00666A4F"/>
    <w:rsid w:val="00667106"/>
    <w:rsid w:val="00667111"/>
    <w:rsid w:val="0066748F"/>
    <w:rsid w:val="006703AA"/>
    <w:rsid w:val="006703D9"/>
    <w:rsid w:val="006704B8"/>
    <w:rsid w:val="006704F6"/>
    <w:rsid w:val="006708EA"/>
    <w:rsid w:val="00670932"/>
    <w:rsid w:val="00671091"/>
    <w:rsid w:val="00671524"/>
    <w:rsid w:val="00671AC7"/>
    <w:rsid w:val="00671BCF"/>
    <w:rsid w:val="0067212F"/>
    <w:rsid w:val="00672154"/>
    <w:rsid w:val="0067257F"/>
    <w:rsid w:val="0067426D"/>
    <w:rsid w:val="00674321"/>
    <w:rsid w:val="00674701"/>
    <w:rsid w:val="00674713"/>
    <w:rsid w:val="0067472B"/>
    <w:rsid w:val="00675001"/>
    <w:rsid w:val="0067512B"/>
    <w:rsid w:val="00675294"/>
    <w:rsid w:val="0067545E"/>
    <w:rsid w:val="006758D1"/>
    <w:rsid w:val="00675907"/>
    <w:rsid w:val="00675A65"/>
    <w:rsid w:val="00676556"/>
    <w:rsid w:val="00676E43"/>
    <w:rsid w:val="00677435"/>
    <w:rsid w:val="00677571"/>
    <w:rsid w:val="00677682"/>
    <w:rsid w:val="00677C33"/>
    <w:rsid w:val="00680262"/>
    <w:rsid w:val="006803B4"/>
    <w:rsid w:val="00680936"/>
    <w:rsid w:val="00680D8C"/>
    <w:rsid w:val="0068165C"/>
    <w:rsid w:val="006818B4"/>
    <w:rsid w:val="00681C66"/>
    <w:rsid w:val="00681FA8"/>
    <w:rsid w:val="006820E0"/>
    <w:rsid w:val="00682221"/>
    <w:rsid w:val="006826B4"/>
    <w:rsid w:val="00682725"/>
    <w:rsid w:val="006828C9"/>
    <w:rsid w:val="00682A10"/>
    <w:rsid w:val="00682A97"/>
    <w:rsid w:val="00682AED"/>
    <w:rsid w:val="00682D87"/>
    <w:rsid w:val="006831AD"/>
    <w:rsid w:val="00683502"/>
    <w:rsid w:val="00683641"/>
    <w:rsid w:val="00683A1C"/>
    <w:rsid w:val="00683E86"/>
    <w:rsid w:val="00683F6F"/>
    <w:rsid w:val="0068413E"/>
    <w:rsid w:val="006841A6"/>
    <w:rsid w:val="00684387"/>
    <w:rsid w:val="006845A2"/>
    <w:rsid w:val="00684C8C"/>
    <w:rsid w:val="00684E97"/>
    <w:rsid w:val="00685028"/>
    <w:rsid w:val="006853A4"/>
    <w:rsid w:val="006856B8"/>
    <w:rsid w:val="006857EE"/>
    <w:rsid w:val="006862B9"/>
    <w:rsid w:val="006864E1"/>
    <w:rsid w:val="00686546"/>
    <w:rsid w:val="00686DB4"/>
    <w:rsid w:val="00686E73"/>
    <w:rsid w:val="006876CE"/>
    <w:rsid w:val="006877FF"/>
    <w:rsid w:val="0068793A"/>
    <w:rsid w:val="00687B34"/>
    <w:rsid w:val="00690781"/>
    <w:rsid w:val="006907A1"/>
    <w:rsid w:val="00690B17"/>
    <w:rsid w:val="00690DDF"/>
    <w:rsid w:val="00691076"/>
    <w:rsid w:val="0069128F"/>
    <w:rsid w:val="006913F6"/>
    <w:rsid w:val="00691404"/>
    <w:rsid w:val="00691580"/>
    <w:rsid w:val="006920A6"/>
    <w:rsid w:val="00692582"/>
    <w:rsid w:val="006926E2"/>
    <w:rsid w:val="00692FF6"/>
    <w:rsid w:val="00693154"/>
    <w:rsid w:val="00693652"/>
    <w:rsid w:val="006939E7"/>
    <w:rsid w:val="006939F2"/>
    <w:rsid w:val="00693D2E"/>
    <w:rsid w:val="00693D3E"/>
    <w:rsid w:val="00693F54"/>
    <w:rsid w:val="006942F7"/>
    <w:rsid w:val="0069438B"/>
    <w:rsid w:val="00694A91"/>
    <w:rsid w:val="00694AAE"/>
    <w:rsid w:val="00695396"/>
    <w:rsid w:val="006954A0"/>
    <w:rsid w:val="00695528"/>
    <w:rsid w:val="00695620"/>
    <w:rsid w:val="00695659"/>
    <w:rsid w:val="0069591C"/>
    <w:rsid w:val="00695D76"/>
    <w:rsid w:val="00696A0F"/>
    <w:rsid w:val="00696D66"/>
    <w:rsid w:val="006971D2"/>
    <w:rsid w:val="00697669"/>
    <w:rsid w:val="00697AE8"/>
    <w:rsid w:val="00697F01"/>
    <w:rsid w:val="006A023E"/>
    <w:rsid w:val="006A056F"/>
    <w:rsid w:val="006A0F98"/>
    <w:rsid w:val="006A15BA"/>
    <w:rsid w:val="006A1749"/>
    <w:rsid w:val="006A1AAE"/>
    <w:rsid w:val="006A1EEA"/>
    <w:rsid w:val="006A20F5"/>
    <w:rsid w:val="006A2150"/>
    <w:rsid w:val="006A241D"/>
    <w:rsid w:val="006A24EA"/>
    <w:rsid w:val="006A2B0C"/>
    <w:rsid w:val="006A2C61"/>
    <w:rsid w:val="006A3054"/>
    <w:rsid w:val="006A3288"/>
    <w:rsid w:val="006A35A2"/>
    <w:rsid w:val="006A3C54"/>
    <w:rsid w:val="006A43E6"/>
    <w:rsid w:val="006A44CD"/>
    <w:rsid w:val="006A45B1"/>
    <w:rsid w:val="006A45B5"/>
    <w:rsid w:val="006A4A1E"/>
    <w:rsid w:val="006A4F92"/>
    <w:rsid w:val="006A50C7"/>
    <w:rsid w:val="006A57E5"/>
    <w:rsid w:val="006A5BD3"/>
    <w:rsid w:val="006A5CD5"/>
    <w:rsid w:val="006A5E28"/>
    <w:rsid w:val="006A5E65"/>
    <w:rsid w:val="006A68C9"/>
    <w:rsid w:val="006A6A3A"/>
    <w:rsid w:val="006A6BBC"/>
    <w:rsid w:val="006A70BE"/>
    <w:rsid w:val="006A717B"/>
    <w:rsid w:val="006A7662"/>
    <w:rsid w:val="006A7F39"/>
    <w:rsid w:val="006B0121"/>
    <w:rsid w:val="006B0128"/>
    <w:rsid w:val="006B0151"/>
    <w:rsid w:val="006B0334"/>
    <w:rsid w:val="006B050F"/>
    <w:rsid w:val="006B059F"/>
    <w:rsid w:val="006B134D"/>
    <w:rsid w:val="006B1A20"/>
    <w:rsid w:val="006B1C7C"/>
    <w:rsid w:val="006B1EC8"/>
    <w:rsid w:val="006B2136"/>
    <w:rsid w:val="006B2B5D"/>
    <w:rsid w:val="006B3063"/>
    <w:rsid w:val="006B3086"/>
    <w:rsid w:val="006B34BA"/>
    <w:rsid w:val="006B362F"/>
    <w:rsid w:val="006B388E"/>
    <w:rsid w:val="006B3BD8"/>
    <w:rsid w:val="006B3DD0"/>
    <w:rsid w:val="006B43AB"/>
    <w:rsid w:val="006B4547"/>
    <w:rsid w:val="006B4750"/>
    <w:rsid w:val="006B494C"/>
    <w:rsid w:val="006B5752"/>
    <w:rsid w:val="006B590C"/>
    <w:rsid w:val="006B6062"/>
    <w:rsid w:val="006B63D8"/>
    <w:rsid w:val="006B6CA8"/>
    <w:rsid w:val="006B6F32"/>
    <w:rsid w:val="006B7092"/>
    <w:rsid w:val="006B7130"/>
    <w:rsid w:val="006B7A80"/>
    <w:rsid w:val="006B7D4A"/>
    <w:rsid w:val="006B7DA9"/>
    <w:rsid w:val="006B7DC1"/>
    <w:rsid w:val="006B7EF5"/>
    <w:rsid w:val="006C04F5"/>
    <w:rsid w:val="006C0A72"/>
    <w:rsid w:val="006C0A96"/>
    <w:rsid w:val="006C0CF5"/>
    <w:rsid w:val="006C1A5C"/>
    <w:rsid w:val="006C201C"/>
    <w:rsid w:val="006C211C"/>
    <w:rsid w:val="006C24B6"/>
    <w:rsid w:val="006C2DF4"/>
    <w:rsid w:val="006C397B"/>
    <w:rsid w:val="006C400D"/>
    <w:rsid w:val="006C408A"/>
    <w:rsid w:val="006C4150"/>
    <w:rsid w:val="006C4728"/>
    <w:rsid w:val="006C487A"/>
    <w:rsid w:val="006C507B"/>
    <w:rsid w:val="006C5186"/>
    <w:rsid w:val="006C51DA"/>
    <w:rsid w:val="006C5214"/>
    <w:rsid w:val="006C561D"/>
    <w:rsid w:val="006C5683"/>
    <w:rsid w:val="006C5ADF"/>
    <w:rsid w:val="006C5E33"/>
    <w:rsid w:val="006C5E48"/>
    <w:rsid w:val="006C6163"/>
    <w:rsid w:val="006C6434"/>
    <w:rsid w:val="006C6552"/>
    <w:rsid w:val="006C65CC"/>
    <w:rsid w:val="006C6926"/>
    <w:rsid w:val="006C6B08"/>
    <w:rsid w:val="006C6CD8"/>
    <w:rsid w:val="006C6CF4"/>
    <w:rsid w:val="006C6FAD"/>
    <w:rsid w:val="006C6FF4"/>
    <w:rsid w:val="006C7E22"/>
    <w:rsid w:val="006D0117"/>
    <w:rsid w:val="006D013F"/>
    <w:rsid w:val="006D017F"/>
    <w:rsid w:val="006D032D"/>
    <w:rsid w:val="006D08DF"/>
    <w:rsid w:val="006D0A14"/>
    <w:rsid w:val="006D0A45"/>
    <w:rsid w:val="006D10BF"/>
    <w:rsid w:val="006D147A"/>
    <w:rsid w:val="006D1D3F"/>
    <w:rsid w:val="006D20B4"/>
    <w:rsid w:val="006D211A"/>
    <w:rsid w:val="006D253B"/>
    <w:rsid w:val="006D2CCC"/>
    <w:rsid w:val="006D3197"/>
    <w:rsid w:val="006D395A"/>
    <w:rsid w:val="006D39F3"/>
    <w:rsid w:val="006D3B4A"/>
    <w:rsid w:val="006D3C4F"/>
    <w:rsid w:val="006D4084"/>
    <w:rsid w:val="006D4391"/>
    <w:rsid w:val="006D43D1"/>
    <w:rsid w:val="006D44D0"/>
    <w:rsid w:val="006D4B84"/>
    <w:rsid w:val="006D52D3"/>
    <w:rsid w:val="006D5373"/>
    <w:rsid w:val="006D548C"/>
    <w:rsid w:val="006D5625"/>
    <w:rsid w:val="006D57CB"/>
    <w:rsid w:val="006D5A82"/>
    <w:rsid w:val="006D5D92"/>
    <w:rsid w:val="006D60EE"/>
    <w:rsid w:val="006D6992"/>
    <w:rsid w:val="006D6CDD"/>
    <w:rsid w:val="006D6DB3"/>
    <w:rsid w:val="006D6F13"/>
    <w:rsid w:val="006D700B"/>
    <w:rsid w:val="006D719D"/>
    <w:rsid w:val="006D7444"/>
    <w:rsid w:val="006D7BA6"/>
    <w:rsid w:val="006D7F3E"/>
    <w:rsid w:val="006E044C"/>
    <w:rsid w:val="006E0A61"/>
    <w:rsid w:val="006E0AF6"/>
    <w:rsid w:val="006E0DBA"/>
    <w:rsid w:val="006E2251"/>
    <w:rsid w:val="006E36D4"/>
    <w:rsid w:val="006E3711"/>
    <w:rsid w:val="006E3992"/>
    <w:rsid w:val="006E3AAD"/>
    <w:rsid w:val="006E3B0D"/>
    <w:rsid w:val="006E4118"/>
    <w:rsid w:val="006E4238"/>
    <w:rsid w:val="006E447A"/>
    <w:rsid w:val="006E44E5"/>
    <w:rsid w:val="006E44FF"/>
    <w:rsid w:val="006E4560"/>
    <w:rsid w:val="006E474E"/>
    <w:rsid w:val="006E481A"/>
    <w:rsid w:val="006E5068"/>
    <w:rsid w:val="006E665F"/>
    <w:rsid w:val="006E6948"/>
    <w:rsid w:val="006E720E"/>
    <w:rsid w:val="006E7426"/>
    <w:rsid w:val="006E780B"/>
    <w:rsid w:val="006E7B25"/>
    <w:rsid w:val="006E7B97"/>
    <w:rsid w:val="006E7C1C"/>
    <w:rsid w:val="006E7CF8"/>
    <w:rsid w:val="006E7D23"/>
    <w:rsid w:val="006E7EEF"/>
    <w:rsid w:val="006F01F8"/>
    <w:rsid w:val="006F05FD"/>
    <w:rsid w:val="006F063E"/>
    <w:rsid w:val="006F0B83"/>
    <w:rsid w:val="006F15F3"/>
    <w:rsid w:val="006F1BBB"/>
    <w:rsid w:val="006F2173"/>
    <w:rsid w:val="006F2318"/>
    <w:rsid w:val="006F2550"/>
    <w:rsid w:val="006F2CA3"/>
    <w:rsid w:val="006F2F26"/>
    <w:rsid w:val="006F32BE"/>
    <w:rsid w:val="006F3B10"/>
    <w:rsid w:val="006F3EA8"/>
    <w:rsid w:val="006F41E7"/>
    <w:rsid w:val="006F4645"/>
    <w:rsid w:val="006F469E"/>
    <w:rsid w:val="006F4740"/>
    <w:rsid w:val="006F49A7"/>
    <w:rsid w:val="006F4ACD"/>
    <w:rsid w:val="006F4B08"/>
    <w:rsid w:val="006F568F"/>
    <w:rsid w:val="006F5862"/>
    <w:rsid w:val="006F588A"/>
    <w:rsid w:val="006F58F8"/>
    <w:rsid w:val="006F6144"/>
    <w:rsid w:val="006F6798"/>
    <w:rsid w:val="006F68AB"/>
    <w:rsid w:val="006F6BA3"/>
    <w:rsid w:val="006F6D4C"/>
    <w:rsid w:val="006F6D66"/>
    <w:rsid w:val="006F6E67"/>
    <w:rsid w:val="006F7157"/>
    <w:rsid w:val="006F7645"/>
    <w:rsid w:val="006F78E0"/>
    <w:rsid w:val="006F7FE0"/>
    <w:rsid w:val="0070032D"/>
    <w:rsid w:val="00700423"/>
    <w:rsid w:val="00701590"/>
    <w:rsid w:val="007015A2"/>
    <w:rsid w:val="00701AE8"/>
    <w:rsid w:val="00701CF4"/>
    <w:rsid w:val="00702150"/>
    <w:rsid w:val="0070231E"/>
    <w:rsid w:val="00702B1B"/>
    <w:rsid w:val="00702C43"/>
    <w:rsid w:val="00702CFE"/>
    <w:rsid w:val="00703026"/>
    <w:rsid w:val="0070395E"/>
    <w:rsid w:val="00703C2B"/>
    <w:rsid w:val="00703C76"/>
    <w:rsid w:val="00703E61"/>
    <w:rsid w:val="00703FD6"/>
    <w:rsid w:val="00704164"/>
    <w:rsid w:val="0070430C"/>
    <w:rsid w:val="00704473"/>
    <w:rsid w:val="0070457A"/>
    <w:rsid w:val="00704730"/>
    <w:rsid w:val="00704E3D"/>
    <w:rsid w:val="00705031"/>
    <w:rsid w:val="0070508A"/>
    <w:rsid w:val="00705134"/>
    <w:rsid w:val="0070537D"/>
    <w:rsid w:val="007053D4"/>
    <w:rsid w:val="007056D8"/>
    <w:rsid w:val="00705931"/>
    <w:rsid w:val="00706277"/>
    <w:rsid w:val="0070633B"/>
    <w:rsid w:val="00706514"/>
    <w:rsid w:val="00706A58"/>
    <w:rsid w:val="00707228"/>
    <w:rsid w:val="007075DD"/>
    <w:rsid w:val="007110E1"/>
    <w:rsid w:val="00711CFE"/>
    <w:rsid w:val="00711E3C"/>
    <w:rsid w:val="007123D7"/>
    <w:rsid w:val="0071262B"/>
    <w:rsid w:val="0071266C"/>
    <w:rsid w:val="007127F4"/>
    <w:rsid w:val="00712879"/>
    <w:rsid w:val="00712AF8"/>
    <w:rsid w:val="00712CB6"/>
    <w:rsid w:val="00712E98"/>
    <w:rsid w:val="00713400"/>
    <w:rsid w:val="007134AF"/>
    <w:rsid w:val="00713662"/>
    <w:rsid w:val="00713847"/>
    <w:rsid w:val="0071394E"/>
    <w:rsid w:val="007139C3"/>
    <w:rsid w:val="0071410E"/>
    <w:rsid w:val="00714394"/>
    <w:rsid w:val="007143BC"/>
    <w:rsid w:val="007148B9"/>
    <w:rsid w:val="00714AAD"/>
    <w:rsid w:val="00714B6D"/>
    <w:rsid w:val="007150B9"/>
    <w:rsid w:val="00715AAC"/>
    <w:rsid w:val="007160F0"/>
    <w:rsid w:val="007163F8"/>
    <w:rsid w:val="00716AB6"/>
    <w:rsid w:val="00716B9D"/>
    <w:rsid w:val="00716CFA"/>
    <w:rsid w:val="00716D40"/>
    <w:rsid w:val="00716FC7"/>
    <w:rsid w:val="007171B0"/>
    <w:rsid w:val="0071729C"/>
    <w:rsid w:val="00717418"/>
    <w:rsid w:val="007204DB"/>
    <w:rsid w:val="00720815"/>
    <w:rsid w:val="00720A60"/>
    <w:rsid w:val="00720E0B"/>
    <w:rsid w:val="007210F5"/>
    <w:rsid w:val="007211C3"/>
    <w:rsid w:val="00721282"/>
    <w:rsid w:val="007212CD"/>
    <w:rsid w:val="0072190F"/>
    <w:rsid w:val="00721946"/>
    <w:rsid w:val="00721986"/>
    <w:rsid w:val="00721F7E"/>
    <w:rsid w:val="00722324"/>
    <w:rsid w:val="0072238C"/>
    <w:rsid w:val="007225B1"/>
    <w:rsid w:val="00722E29"/>
    <w:rsid w:val="00723273"/>
    <w:rsid w:val="00723377"/>
    <w:rsid w:val="007238C5"/>
    <w:rsid w:val="00724348"/>
    <w:rsid w:val="00724606"/>
    <w:rsid w:val="00724E85"/>
    <w:rsid w:val="00725100"/>
    <w:rsid w:val="007252D3"/>
    <w:rsid w:val="00725318"/>
    <w:rsid w:val="00725860"/>
    <w:rsid w:val="007258B6"/>
    <w:rsid w:val="00725FAE"/>
    <w:rsid w:val="007266DD"/>
    <w:rsid w:val="0072671E"/>
    <w:rsid w:val="00726815"/>
    <w:rsid w:val="00726B00"/>
    <w:rsid w:val="00726B1B"/>
    <w:rsid w:val="00726D0F"/>
    <w:rsid w:val="00726DA7"/>
    <w:rsid w:val="00727152"/>
    <w:rsid w:val="00727583"/>
    <w:rsid w:val="00727C5F"/>
    <w:rsid w:val="00727DAC"/>
    <w:rsid w:val="00727DDC"/>
    <w:rsid w:val="00730073"/>
    <w:rsid w:val="00730DAF"/>
    <w:rsid w:val="00730F89"/>
    <w:rsid w:val="0073108B"/>
    <w:rsid w:val="00731296"/>
    <w:rsid w:val="00731542"/>
    <w:rsid w:val="0073161B"/>
    <w:rsid w:val="007319F7"/>
    <w:rsid w:val="007321AE"/>
    <w:rsid w:val="0073244F"/>
    <w:rsid w:val="00732E20"/>
    <w:rsid w:val="00733025"/>
    <w:rsid w:val="00733094"/>
    <w:rsid w:val="007334DC"/>
    <w:rsid w:val="00733621"/>
    <w:rsid w:val="00733B19"/>
    <w:rsid w:val="00733BA3"/>
    <w:rsid w:val="007343BB"/>
    <w:rsid w:val="00734887"/>
    <w:rsid w:val="00734994"/>
    <w:rsid w:val="007349C0"/>
    <w:rsid w:val="007361B1"/>
    <w:rsid w:val="007362FB"/>
    <w:rsid w:val="0073642E"/>
    <w:rsid w:val="007365B6"/>
    <w:rsid w:val="007367D8"/>
    <w:rsid w:val="00736824"/>
    <w:rsid w:val="00736960"/>
    <w:rsid w:val="00736966"/>
    <w:rsid w:val="00736B84"/>
    <w:rsid w:val="00736BBD"/>
    <w:rsid w:val="00737049"/>
    <w:rsid w:val="00737690"/>
    <w:rsid w:val="007377F2"/>
    <w:rsid w:val="00737EBD"/>
    <w:rsid w:val="007400C5"/>
    <w:rsid w:val="007401E2"/>
    <w:rsid w:val="0074077D"/>
    <w:rsid w:val="0074081A"/>
    <w:rsid w:val="00740B49"/>
    <w:rsid w:val="00740D8C"/>
    <w:rsid w:val="00740E33"/>
    <w:rsid w:val="00741163"/>
    <w:rsid w:val="007411E5"/>
    <w:rsid w:val="00741268"/>
    <w:rsid w:val="0074234E"/>
    <w:rsid w:val="0074260F"/>
    <w:rsid w:val="00742F8A"/>
    <w:rsid w:val="007431CD"/>
    <w:rsid w:val="007434B1"/>
    <w:rsid w:val="007435A0"/>
    <w:rsid w:val="007443C2"/>
    <w:rsid w:val="007447A4"/>
    <w:rsid w:val="00744971"/>
    <w:rsid w:val="00744FA3"/>
    <w:rsid w:val="007456BE"/>
    <w:rsid w:val="00745BCD"/>
    <w:rsid w:val="007467B8"/>
    <w:rsid w:val="00746951"/>
    <w:rsid w:val="0074722C"/>
    <w:rsid w:val="0074780C"/>
    <w:rsid w:val="0074791E"/>
    <w:rsid w:val="00747B2E"/>
    <w:rsid w:val="00747D28"/>
    <w:rsid w:val="0075001A"/>
    <w:rsid w:val="00750376"/>
    <w:rsid w:val="0075047D"/>
    <w:rsid w:val="00750904"/>
    <w:rsid w:val="00750A08"/>
    <w:rsid w:val="00750A66"/>
    <w:rsid w:val="00750B28"/>
    <w:rsid w:val="00750D30"/>
    <w:rsid w:val="00750E3B"/>
    <w:rsid w:val="0075115D"/>
    <w:rsid w:val="007512CA"/>
    <w:rsid w:val="007514A4"/>
    <w:rsid w:val="00751984"/>
    <w:rsid w:val="00751995"/>
    <w:rsid w:val="007524D7"/>
    <w:rsid w:val="007525FF"/>
    <w:rsid w:val="0075283C"/>
    <w:rsid w:val="00752BB7"/>
    <w:rsid w:val="00753069"/>
    <w:rsid w:val="0075381D"/>
    <w:rsid w:val="00753890"/>
    <w:rsid w:val="00753A02"/>
    <w:rsid w:val="00753B7D"/>
    <w:rsid w:val="00754E90"/>
    <w:rsid w:val="00754EEC"/>
    <w:rsid w:val="0075500C"/>
    <w:rsid w:val="0075501A"/>
    <w:rsid w:val="00755283"/>
    <w:rsid w:val="007555DF"/>
    <w:rsid w:val="00755818"/>
    <w:rsid w:val="00755B12"/>
    <w:rsid w:val="00755D21"/>
    <w:rsid w:val="00755E75"/>
    <w:rsid w:val="007565B5"/>
    <w:rsid w:val="00756C14"/>
    <w:rsid w:val="0076001F"/>
    <w:rsid w:val="00760508"/>
    <w:rsid w:val="0076063F"/>
    <w:rsid w:val="00760C40"/>
    <w:rsid w:val="00760F74"/>
    <w:rsid w:val="00761012"/>
    <w:rsid w:val="00761434"/>
    <w:rsid w:val="0076150F"/>
    <w:rsid w:val="00761721"/>
    <w:rsid w:val="007618EF"/>
    <w:rsid w:val="00761A82"/>
    <w:rsid w:val="00761FD5"/>
    <w:rsid w:val="00762065"/>
    <w:rsid w:val="007624BB"/>
    <w:rsid w:val="00762725"/>
    <w:rsid w:val="007627E6"/>
    <w:rsid w:val="00763DB6"/>
    <w:rsid w:val="007643D1"/>
    <w:rsid w:val="00764B49"/>
    <w:rsid w:val="00764F70"/>
    <w:rsid w:val="00765714"/>
    <w:rsid w:val="00765CC3"/>
    <w:rsid w:val="00765DD8"/>
    <w:rsid w:val="00766122"/>
    <w:rsid w:val="007666DD"/>
    <w:rsid w:val="007669D3"/>
    <w:rsid w:val="00766D36"/>
    <w:rsid w:val="007673C6"/>
    <w:rsid w:val="007674A1"/>
    <w:rsid w:val="00767607"/>
    <w:rsid w:val="00767674"/>
    <w:rsid w:val="007677D5"/>
    <w:rsid w:val="00767E47"/>
    <w:rsid w:val="007703BF"/>
    <w:rsid w:val="007708E3"/>
    <w:rsid w:val="007709CB"/>
    <w:rsid w:val="00770A23"/>
    <w:rsid w:val="0077103A"/>
    <w:rsid w:val="0077158D"/>
    <w:rsid w:val="0077165F"/>
    <w:rsid w:val="00771972"/>
    <w:rsid w:val="00771B64"/>
    <w:rsid w:val="00772138"/>
    <w:rsid w:val="00772FA4"/>
    <w:rsid w:val="00773503"/>
    <w:rsid w:val="007735C4"/>
    <w:rsid w:val="00773874"/>
    <w:rsid w:val="0077477A"/>
    <w:rsid w:val="007747A9"/>
    <w:rsid w:val="00774B83"/>
    <w:rsid w:val="00774EB9"/>
    <w:rsid w:val="00774FDC"/>
    <w:rsid w:val="00775048"/>
    <w:rsid w:val="00775273"/>
    <w:rsid w:val="0077555B"/>
    <w:rsid w:val="00775716"/>
    <w:rsid w:val="00775861"/>
    <w:rsid w:val="00775952"/>
    <w:rsid w:val="00775989"/>
    <w:rsid w:val="00775B52"/>
    <w:rsid w:val="00775EED"/>
    <w:rsid w:val="0077648B"/>
    <w:rsid w:val="007765DF"/>
    <w:rsid w:val="0077695E"/>
    <w:rsid w:val="00776AD1"/>
    <w:rsid w:val="007770B9"/>
    <w:rsid w:val="0078008D"/>
    <w:rsid w:val="007801D0"/>
    <w:rsid w:val="00780661"/>
    <w:rsid w:val="00780A4F"/>
    <w:rsid w:val="00780B2B"/>
    <w:rsid w:val="00780D88"/>
    <w:rsid w:val="00780F42"/>
    <w:rsid w:val="0078126C"/>
    <w:rsid w:val="007814DD"/>
    <w:rsid w:val="00781934"/>
    <w:rsid w:val="0078195C"/>
    <w:rsid w:val="00781AD1"/>
    <w:rsid w:val="00782A0B"/>
    <w:rsid w:val="00782DBB"/>
    <w:rsid w:val="007833C7"/>
    <w:rsid w:val="007835FB"/>
    <w:rsid w:val="00783B85"/>
    <w:rsid w:val="00783BB9"/>
    <w:rsid w:val="007840F3"/>
    <w:rsid w:val="00784121"/>
    <w:rsid w:val="007841CC"/>
    <w:rsid w:val="007842A0"/>
    <w:rsid w:val="00784315"/>
    <w:rsid w:val="00784B64"/>
    <w:rsid w:val="00784D55"/>
    <w:rsid w:val="0078518E"/>
    <w:rsid w:val="00785491"/>
    <w:rsid w:val="007858C0"/>
    <w:rsid w:val="00785D1C"/>
    <w:rsid w:val="00786187"/>
    <w:rsid w:val="007861EB"/>
    <w:rsid w:val="007863BB"/>
    <w:rsid w:val="0078665C"/>
    <w:rsid w:val="0078679A"/>
    <w:rsid w:val="00786E65"/>
    <w:rsid w:val="0078707F"/>
    <w:rsid w:val="0078731C"/>
    <w:rsid w:val="00787678"/>
    <w:rsid w:val="0078781B"/>
    <w:rsid w:val="00787ACB"/>
    <w:rsid w:val="00790739"/>
    <w:rsid w:val="00790DFB"/>
    <w:rsid w:val="00791A14"/>
    <w:rsid w:val="00791B10"/>
    <w:rsid w:val="0079218E"/>
    <w:rsid w:val="00792447"/>
    <w:rsid w:val="00792659"/>
    <w:rsid w:val="00792679"/>
    <w:rsid w:val="0079270E"/>
    <w:rsid w:val="00792855"/>
    <w:rsid w:val="007937CB"/>
    <w:rsid w:val="007942D0"/>
    <w:rsid w:val="00794A05"/>
    <w:rsid w:val="00794F1A"/>
    <w:rsid w:val="007951C6"/>
    <w:rsid w:val="007954A5"/>
    <w:rsid w:val="00795782"/>
    <w:rsid w:val="007957C7"/>
    <w:rsid w:val="007957FE"/>
    <w:rsid w:val="00795908"/>
    <w:rsid w:val="00795B64"/>
    <w:rsid w:val="00795B83"/>
    <w:rsid w:val="0079694C"/>
    <w:rsid w:val="00796CBE"/>
    <w:rsid w:val="00796DBD"/>
    <w:rsid w:val="0079726A"/>
    <w:rsid w:val="00797EA5"/>
    <w:rsid w:val="00797FAD"/>
    <w:rsid w:val="007A0271"/>
    <w:rsid w:val="007A04F9"/>
    <w:rsid w:val="007A0AF5"/>
    <w:rsid w:val="007A1A4E"/>
    <w:rsid w:val="007A25DF"/>
    <w:rsid w:val="007A354D"/>
    <w:rsid w:val="007A38D8"/>
    <w:rsid w:val="007A3D59"/>
    <w:rsid w:val="007A428F"/>
    <w:rsid w:val="007A4C77"/>
    <w:rsid w:val="007A4E17"/>
    <w:rsid w:val="007A520F"/>
    <w:rsid w:val="007A56E3"/>
    <w:rsid w:val="007A5922"/>
    <w:rsid w:val="007A5AF4"/>
    <w:rsid w:val="007A5D44"/>
    <w:rsid w:val="007A641B"/>
    <w:rsid w:val="007A660D"/>
    <w:rsid w:val="007A68DC"/>
    <w:rsid w:val="007A6C94"/>
    <w:rsid w:val="007A6D0D"/>
    <w:rsid w:val="007A6EFF"/>
    <w:rsid w:val="007A790F"/>
    <w:rsid w:val="007A7F6D"/>
    <w:rsid w:val="007B0FBD"/>
    <w:rsid w:val="007B172E"/>
    <w:rsid w:val="007B1BAF"/>
    <w:rsid w:val="007B1E34"/>
    <w:rsid w:val="007B2245"/>
    <w:rsid w:val="007B2317"/>
    <w:rsid w:val="007B27D7"/>
    <w:rsid w:val="007B2896"/>
    <w:rsid w:val="007B2CDD"/>
    <w:rsid w:val="007B2EFE"/>
    <w:rsid w:val="007B3154"/>
    <w:rsid w:val="007B35F7"/>
    <w:rsid w:val="007B379B"/>
    <w:rsid w:val="007B3948"/>
    <w:rsid w:val="007B3B4C"/>
    <w:rsid w:val="007B3DE0"/>
    <w:rsid w:val="007B41D6"/>
    <w:rsid w:val="007B4695"/>
    <w:rsid w:val="007B4831"/>
    <w:rsid w:val="007B4DC2"/>
    <w:rsid w:val="007B4F72"/>
    <w:rsid w:val="007B527E"/>
    <w:rsid w:val="007B5445"/>
    <w:rsid w:val="007B5C63"/>
    <w:rsid w:val="007B6896"/>
    <w:rsid w:val="007B6AAE"/>
    <w:rsid w:val="007B6EF4"/>
    <w:rsid w:val="007B7764"/>
    <w:rsid w:val="007B790C"/>
    <w:rsid w:val="007B79F5"/>
    <w:rsid w:val="007B7BE9"/>
    <w:rsid w:val="007C04D4"/>
    <w:rsid w:val="007C0A01"/>
    <w:rsid w:val="007C0B60"/>
    <w:rsid w:val="007C0C9A"/>
    <w:rsid w:val="007C0E04"/>
    <w:rsid w:val="007C0EA1"/>
    <w:rsid w:val="007C123B"/>
    <w:rsid w:val="007C13DF"/>
    <w:rsid w:val="007C21F1"/>
    <w:rsid w:val="007C2827"/>
    <w:rsid w:val="007C2B1F"/>
    <w:rsid w:val="007C2B65"/>
    <w:rsid w:val="007C30E0"/>
    <w:rsid w:val="007C3224"/>
    <w:rsid w:val="007C32E9"/>
    <w:rsid w:val="007C344C"/>
    <w:rsid w:val="007C3813"/>
    <w:rsid w:val="007C3858"/>
    <w:rsid w:val="007C39AF"/>
    <w:rsid w:val="007C39ED"/>
    <w:rsid w:val="007C3A26"/>
    <w:rsid w:val="007C40FE"/>
    <w:rsid w:val="007C41F0"/>
    <w:rsid w:val="007C4228"/>
    <w:rsid w:val="007C42C0"/>
    <w:rsid w:val="007C5029"/>
    <w:rsid w:val="007C543F"/>
    <w:rsid w:val="007C5EE3"/>
    <w:rsid w:val="007C6DD2"/>
    <w:rsid w:val="007C6E85"/>
    <w:rsid w:val="007C6F36"/>
    <w:rsid w:val="007C70A7"/>
    <w:rsid w:val="007C73B0"/>
    <w:rsid w:val="007C74E5"/>
    <w:rsid w:val="007C76FB"/>
    <w:rsid w:val="007D060B"/>
    <w:rsid w:val="007D0C8D"/>
    <w:rsid w:val="007D0E43"/>
    <w:rsid w:val="007D13E7"/>
    <w:rsid w:val="007D1991"/>
    <w:rsid w:val="007D1A22"/>
    <w:rsid w:val="007D1A4E"/>
    <w:rsid w:val="007D1D44"/>
    <w:rsid w:val="007D1E37"/>
    <w:rsid w:val="007D2037"/>
    <w:rsid w:val="007D232F"/>
    <w:rsid w:val="007D2385"/>
    <w:rsid w:val="007D2821"/>
    <w:rsid w:val="007D2E2D"/>
    <w:rsid w:val="007D3627"/>
    <w:rsid w:val="007D3D9D"/>
    <w:rsid w:val="007D3DC7"/>
    <w:rsid w:val="007D41FC"/>
    <w:rsid w:val="007D4220"/>
    <w:rsid w:val="007D48B3"/>
    <w:rsid w:val="007D4985"/>
    <w:rsid w:val="007D52CA"/>
    <w:rsid w:val="007D563E"/>
    <w:rsid w:val="007D577F"/>
    <w:rsid w:val="007D5B51"/>
    <w:rsid w:val="007D5F71"/>
    <w:rsid w:val="007D5FC1"/>
    <w:rsid w:val="007D6C2F"/>
    <w:rsid w:val="007D7071"/>
    <w:rsid w:val="007D715A"/>
    <w:rsid w:val="007D740C"/>
    <w:rsid w:val="007D760E"/>
    <w:rsid w:val="007E0153"/>
    <w:rsid w:val="007E08BE"/>
    <w:rsid w:val="007E0CE7"/>
    <w:rsid w:val="007E0DFE"/>
    <w:rsid w:val="007E0E9E"/>
    <w:rsid w:val="007E10A9"/>
    <w:rsid w:val="007E1681"/>
    <w:rsid w:val="007E17B3"/>
    <w:rsid w:val="007E19DC"/>
    <w:rsid w:val="007E1BA5"/>
    <w:rsid w:val="007E218C"/>
    <w:rsid w:val="007E21FB"/>
    <w:rsid w:val="007E2347"/>
    <w:rsid w:val="007E26A8"/>
    <w:rsid w:val="007E26BB"/>
    <w:rsid w:val="007E2E3F"/>
    <w:rsid w:val="007E3283"/>
    <w:rsid w:val="007E329D"/>
    <w:rsid w:val="007E32F4"/>
    <w:rsid w:val="007E39BF"/>
    <w:rsid w:val="007E39E7"/>
    <w:rsid w:val="007E3FC8"/>
    <w:rsid w:val="007E420B"/>
    <w:rsid w:val="007E4381"/>
    <w:rsid w:val="007E47AA"/>
    <w:rsid w:val="007E47D2"/>
    <w:rsid w:val="007E4927"/>
    <w:rsid w:val="007E4932"/>
    <w:rsid w:val="007E49D4"/>
    <w:rsid w:val="007E4C9F"/>
    <w:rsid w:val="007E502C"/>
    <w:rsid w:val="007E5156"/>
    <w:rsid w:val="007E55B0"/>
    <w:rsid w:val="007E598A"/>
    <w:rsid w:val="007E5A74"/>
    <w:rsid w:val="007E5BD7"/>
    <w:rsid w:val="007E5C2D"/>
    <w:rsid w:val="007E6023"/>
    <w:rsid w:val="007E740B"/>
    <w:rsid w:val="007E75F0"/>
    <w:rsid w:val="007E7968"/>
    <w:rsid w:val="007E7A47"/>
    <w:rsid w:val="007F013A"/>
    <w:rsid w:val="007F040B"/>
    <w:rsid w:val="007F067A"/>
    <w:rsid w:val="007F0691"/>
    <w:rsid w:val="007F088F"/>
    <w:rsid w:val="007F0C6B"/>
    <w:rsid w:val="007F1FB0"/>
    <w:rsid w:val="007F212B"/>
    <w:rsid w:val="007F2488"/>
    <w:rsid w:val="007F256A"/>
    <w:rsid w:val="007F2D90"/>
    <w:rsid w:val="007F3190"/>
    <w:rsid w:val="007F4211"/>
    <w:rsid w:val="007F4F51"/>
    <w:rsid w:val="007F4F82"/>
    <w:rsid w:val="007F53A5"/>
    <w:rsid w:val="007F54DB"/>
    <w:rsid w:val="007F5FC7"/>
    <w:rsid w:val="007F6088"/>
    <w:rsid w:val="007F6736"/>
    <w:rsid w:val="007F6A9A"/>
    <w:rsid w:val="007F6B93"/>
    <w:rsid w:val="007F6B9F"/>
    <w:rsid w:val="007F709F"/>
    <w:rsid w:val="007F712B"/>
    <w:rsid w:val="007F73DA"/>
    <w:rsid w:val="007F77D5"/>
    <w:rsid w:val="007F78FA"/>
    <w:rsid w:val="0080042A"/>
    <w:rsid w:val="008008F3"/>
    <w:rsid w:val="0080096B"/>
    <w:rsid w:val="008009C8"/>
    <w:rsid w:val="00801050"/>
    <w:rsid w:val="00801373"/>
    <w:rsid w:val="008013D6"/>
    <w:rsid w:val="008014FC"/>
    <w:rsid w:val="00801804"/>
    <w:rsid w:val="00801B3E"/>
    <w:rsid w:val="00801CA0"/>
    <w:rsid w:val="00801EEA"/>
    <w:rsid w:val="008020E1"/>
    <w:rsid w:val="0080221D"/>
    <w:rsid w:val="00802493"/>
    <w:rsid w:val="00802785"/>
    <w:rsid w:val="0080280C"/>
    <w:rsid w:val="00802D6D"/>
    <w:rsid w:val="0080378F"/>
    <w:rsid w:val="008039FE"/>
    <w:rsid w:val="008041D5"/>
    <w:rsid w:val="00804653"/>
    <w:rsid w:val="00804A2E"/>
    <w:rsid w:val="0080514A"/>
    <w:rsid w:val="00805178"/>
    <w:rsid w:val="00805337"/>
    <w:rsid w:val="008054F6"/>
    <w:rsid w:val="00805CF8"/>
    <w:rsid w:val="00805D36"/>
    <w:rsid w:val="00806336"/>
    <w:rsid w:val="008066F8"/>
    <w:rsid w:val="00806A84"/>
    <w:rsid w:val="00806F66"/>
    <w:rsid w:val="008073D2"/>
    <w:rsid w:val="0080750E"/>
    <w:rsid w:val="00807C6C"/>
    <w:rsid w:val="0081034B"/>
    <w:rsid w:val="0081035F"/>
    <w:rsid w:val="00810C67"/>
    <w:rsid w:val="008112CE"/>
    <w:rsid w:val="00811F8C"/>
    <w:rsid w:val="0081243E"/>
    <w:rsid w:val="00812531"/>
    <w:rsid w:val="00812825"/>
    <w:rsid w:val="00812B10"/>
    <w:rsid w:val="00812BC0"/>
    <w:rsid w:val="00812F11"/>
    <w:rsid w:val="00813278"/>
    <w:rsid w:val="00813385"/>
    <w:rsid w:val="0081340B"/>
    <w:rsid w:val="00813869"/>
    <w:rsid w:val="0081393C"/>
    <w:rsid w:val="00813D52"/>
    <w:rsid w:val="00813DA5"/>
    <w:rsid w:val="00813E59"/>
    <w:rsid w:val="008143D8"/>
    <w:rsid w:val="00814626"/>
    <w:rsid w:val="00814C53"/>
    <w:rsid w:val="00814DAF"/>
    <w:rsid w:val="00815400"/>
    <w:rsid w:val="00815DA1"/>
    <w:rsid w:val="00816273"/>
    <w:rsid w:val="0081628A"/>
    <w:rsid w:val="00816304"/>
    <w:rsid w:val="0081632F"/>
    <w:rsid w:val="00816703"/>
    <w:rsid w:val="00816BD8"/>
    <w:rsid w:val="00816C39"/>
    <w:rsid w:val="00816E37"/>
    <w:rsid w:val="00817BB4"/>
    <w:rsid w:val="00817E89"/>
    <w:rsid w:val="00817E9F"/>
    <w:rsid w:val="008202F5"/>
    <w:rsid w:val="0082040A"/>
    <w:rsid w:val="00821021"/>
    <w:rsid w:val="008214BB"/>
    <w:rsid w:val="00821609"/>
    <w:rsid w:val="00821A5B"/>
    <w:rsid w:val="00821B58"/>
    <w:rsid w:val="00821C0C"/>
    <w:rsid w:val="0082201B"/>
    <w:rsid w:val="0082202C"/>
    <w:rsid w:val="0082210E"/>
    <w:rsid w:val="00822117"/>
    <w:rsid w:val="008225E3"/>
    <w:rsid w:val="00822922"/>
    <w:rsid w:val="00822D06"/>
    <w:rsid w:val="00822D4E"/>
    <w:rsid w:val="00823329"/>
    <w:rsid w:val="00823822"/>
    <w:rsid w:val="00823A10"/>
    <w:rsid w:val="00823A49"/>
    <w:rsid w:val="00823B4E"/>
    <w:rsid w:val="00823CEC"/>
    <w:rsid w:val="00824478"/>
    <w:rsid w:val="00824594"/>
    <w:rsid w:val="0082460C"/>
    <w:rsid w:val="008249B0"/>
    <w:rsid w:val="008249F9"/>
    <w:rsid w:val="00824A07"/>
    <w:rsid w:val="00824A1D"/>
    <w:rsid w:val="00824AE3"/>
    <w:rsid w:val="0082529F"/>
    <w:rsid w:val="00825367"/>
    <w:rsid w:val="00825BF1"/>
    <w:rsid w:val="0082606C"/>
    <w:rsid w:val="00826071"/>
    <w:rsid w:val="0082679B"/>
    <w:rsid w:val="008268A1"/>
    <w:rsid w:val="00826AC0"/>
    <w:rsid w:val="00826CD4"/>
    <w:rsid w:val="00826D8D"/>
    <w:rsid w:val="00826F17"/>
    <w:rsid w:val="00826F4C"/>
    <w:rsid w:val="00827183"/>
    <w:rsid w:val="0082722A"/>
    <w:rsid w:val="00827797"/>
    <w:rsid w:val="00827B01"/>
    <w:rsid w:val="00830847"/>
    <w:rsid w:val="0083135D"/>
    <w:rsid w:val="00831536"/>
    <w:rsid w:val="008319BD"/>
    <w:rsid w:val="0083205D"/>
    <w:rsid w:val="0083226E"/>
    <w:rsid w:val="00833014"/>
    <w:rsid w:val="00833970"/>
    <w:rsid w:val="00833D76"/>
    <w:rsid w:val="00833FBB"/>
    <w:rsid w:val="008340BF"/>
    <w:rsid w:val="008342EA"/>
    <w:rsid w:val="00834846"/>
    <w:rsid w:val="00834A99"/>
    <w:rsid w:val="00834BCA"/>
    <w:rsid w:val="00834D0E"/>
    <w:rsid w:val="00834F10"/>
    <w:rsid w:val="008350BD"/>
    <w:rsid w:val="00835237"/>
    <w:rsid w:val="0083544C"/>
    <w:rsid w:val="008356E1"/>
    <w:rsid w:val="00836281"/>
    <w:rsid w:val="00836A4D"/>
    <w:rsid w:val="00836E45"/>
    <w:rsid w:val="00836F94"/>
    <w:rsid w:val="0083737F"/>
    <w:rsid w:val="00837699"/>
    <w:rsid w:val="008377DA"/>
    <w:rsid w:val="00837FEE"/>
    <w:rsid w:val="0084069B"/>
    <w:rsid w:val="008409B9"/>
    <w:rsid w:val="00840AFF"/>
    <w:rsid w:val="00841252"/>
    <w:rsid w:val="00841D50"/>
    <w:rsid w:val="00842A25"/>
    <w:rsid w:val="00843122"/>
    <w:rsid w:val="008431C3"/>
    <w:rsid w:val="00843427"/>
    <w:rsid w:val="00843842"/>
    <w:rsid w:val="0084389C"/>
    <w:rsid w:val="00843D17"/>
    <w:rsid w:val="00843FCE"/>
    <w:rsid w:val="0084459B"/>
    <w:rsid w:val="008448DD"/>
    <w:rsid w:val="008449A2"/>
    <w:rsid w:val="00844D06"/>
    <w:rsid w:val="00844EC9"/>
    <w:rsid w:val="00845811"/>
    <w:rsid w:val="00845A15"/>
    <w:rsid w:val="0084632F"/>
    <w:rsid w:val="008468F8"/>
    <w:rsid w:val="0084708B"/>
    <w:rsid w:val="00847121"/>
    <w:rsid w:val="00847309"/>
    <w:rsid w:val="0084765F"/>
    <w:rsid w:val="00847998"/>
    <w:rsid w:val="00847C0D"/>
    <w:rsid w:val="00847C2B"/>
    <w:rsid w:val="00847DA7"/>
    <w:rsid w:val="00850C0F"/>
    <w:rsid w:val="00850EF7"/>
    <w:rsid w:val="0085106A"/>
    <w:rsid w:val="00851F2B"/>
    <w:rsid w:val="008523F6"/>
    <w:rsid w:val="0085277B"/>
    <w:rsid w:val="008527AB"/>
    <w:rsid w:val="00852A1F"/>
    <w:rsid w:val="00853C37"/>
    <w:rsid w:val="00853F10"/>
    <w:rsid w:val="00853F6C"/>
    <w:rsid w:val="008541E3"/>
    <w:rsid w:val="0085468B"/>
    <w:rsid w:val="00854EA0"/>
    <w:rsid w:val="008552FC"/>
    <w:rsid w:val="0085538A"/>
    <w:rsid w:val="00855423"/>
    <w:rsid w:val="00855673"/>
    <w:rsid w:val="008556B3"/>
    <w:rsid w:val="00855767"/>
    <w:rsid w:val="00855785"/>
    <w:rsid w:val="00855B06"/>
    <w:rsid w:val="008561BB"/>
    <w:rsid w:val="008565AA"/>
    <w:rsid w:val="00856CC4"/>
    <w:rsid w:val="008575F9"/>
    <w:rsid w:val="0085792C"/>
    <w:rsid w:val="00857936"/>
    <w:rsid w:val="00857D29"/>
    <w:rsid w:val="00857E25"/>
    <w:rsid w:val="00860071"/>
    <w:rsid w:val="00860A30"/>
    <w:rsid w:val="0086100E"/>
    <w:rsid w:val="0086138B"/>
    <w:rsid w:val="0086140D"/>
    <w:rsid w:val="00861747"/>
    <w:rsid w:val="00861B5B"/>
    <w:rsid w:val="00861B6C"/>
    <w:rsid w:val="00862095"/>
    <w:rsid w:val="0086214C"/>
    <w:rsid w:val="008623D5"/>
    <w:rsid w:val="008629A8"/>
    <w:rsid w:val="00862ACF"/>
    <w:rsid w:val="00863089"/>
    <w:rsid w:val="00863198"/>
    <w:rsid w:val="00863544"/>
    <w:rsid w:val="00863B3D"/>
    <w:rsid w:val="008640B5"/>
    <w:rsid w:val="00864A4B"/>
    <w:rsid w:val="00864C32"/>
    <w:rsid w:val="00864C9F"/>
    <w:rsid w:val="00864D55"/>
    <w:rsid w:val="0086513A"/>
    <w:rsid w:val="00865199"/>
    <w:rsid w:val="00865426"/>
    <w:rsid w:val="008655BA"/>
    <w:rsid w:val="008658C0"/>
    <w:rsid w:val="008659F0"/>
    <w:rsid w:val="00865DB6"/>
    <w:rsid w:val="00865F44"/>
    <w:rsid w:val="0086605D"/>
    <w:rsid w:val="00866453"/>
    <w:rsid w:val="00866572"/>
    <w:rsid w:val="00866630"/>
    <w:rsid w:val="008679BC"/>
    <w:rsid w:val="008679DC"/>
    <w:rsid w:val="00870272"/>
    <w:rsid w:val="008706AE"/>
    <w:rsid w:val="00870C09"/>
    <w:rsid w:val="00870CB6"/>
    <w:rsid w:val="00870D76"/>
    <w:rsid w:val="00871421"/>
    <w:rsid w:val="00871499"/>
    <w:rsid w:val="00871681"/>
    <w:rsid w:val="008719AC"/>
    <w:rsid w:val="00871DC7"/>
    <w:rsid w:val="0087270F"/>
    <w:rsid w:val="00872882"/>
    <w:rsid w:val="00872B66"/>
    <w:rsid w:val="008734F5"/>
    <w:rsid w:val="0087367B"/>
    <w:rsid w:val="008739DD"/>
    <w:rsid w:val="00873AC8"/>
    <w:rsid w:val="00873C8C"/>
    <w:rsid w:val="00873CED"/>
    <w:rsid w:val="00873D3D"/>
    <w:rsid w:val="00873FEA"/>
    <w:rsid w:val="0087419B"/>
    <w:rsid w:val="00874232"/>
    <w:rsid w:val="008743DF"/>
    <w:rsid w:val="00874592"/>
    <w:rsid w:val="0087469C"/>
    <w:rsid w:val="0087475F"/>
    <w:rsid w:val="00874E59"/>
    <w:rsid w:val="00875113"/>
    <w:rsid w:val="0087516A"/>
    <w:rsid w:val="00875679"/>
    <w:rsid w:val="00875ADE"/>
    <w:rsid w:val="00875CE5"/>
    <w:rsid w:val="00875D9B"/>
    <w:rsid w:val="00875E1F"/>
    <w:rsid w:val="00875E91"/>
    <w:rsid w:val="008777A6"/>
    <w:rsid w:val="008778FD"/>
    <w:rsid w:val="00877C0D"/>
    <w:rsid w:val="00877C43"/>
    <w:rsid w:val="0088028E"/>
    <w:rsid w:val="00880702"/>
    <w:rsid w:val="008807EE"/>
    <w:rsid w:val="00880A96"/>
    <w:rsid w:val="008810EE"/>
    <w:rsid w:val="008816F0"/>
    <w:rsid w:val="008818F6"/>
    <w:rsid w:val="00881D88"/>
    <w:rsid w:val="00881FFE"/>
    <w:rsid w:val="00882EC4"/>
    <w:rsid w:val="00882F6D"/>
    <w:rsid w:val="00883059"/>
    <w:rsid w:val="008833BB"/>
    <w:rsid w:val="0088398E"/>
    <w:rsid w:val="008841A5"/>
    <w:rsid w:val="008842F2"/>
    <w:rsid w:val="008844D7"/>
    <w:rsid w:val="00884526"/>
    <w:rsid w:val="00884B9F"/>
    <w:rsid w:val="00885BDF"/>
    <w:rsid w:val="00885BEA"/>
    <w:rsid w:val="00885C12"/>
    <w:rsid w:val="00885C52"/>
    <w:rsid w:val="008864AD"/>
    <w:rsid w:val="00886AC5"/>
    <w:rsid w:val="00886BA2"/>
    <w:rsid w:val="00887468"/>
    <w:rsid w:val="00887705"/>
    <w:rsid w:val="00887887"/>
    <w:rsid w:val="00887AA0"/>
    <w:rsid w:val="00887E02"/>
    <w:rsid w:val="00890220"/>
    <w:rsid w:val="00890237"/>
    <w:rsid w:val="00890466"/>
    <w:rsid w:val="00890535"/>
    <w:rsid w:val="00890698"/>
    <w:rsid w:val="008907B0"/>
    <w:rsid w:val="008909F3"/>
    <w:rsid w:val="00891E92"/>
    <w:rsid w:val="00892580"/>
    <w:rsid w:val="00892ADF"/>
    <w:rsid w:val="00892B2A"/>
    <w:rsid w:val="0089305C"/>
    <w:rsid w:val="00893263"/>
    <w:rsid w:val="008933A7"/>
    <w:rsid w:val="00893479"/>
    <w:rsid w:val="008934F3"/>
    <w:rsid w:val="008936E7"/>
    <w:rsid w:val="00893BB3"/>
    <w:rsid w:val="00893EC7"/>
    <w:rsid w:val="00893F73"/>
    <w:rsid w:val="0089429A"/>
    <w:rsid w:val="008943CB"/>
    <w:rsid w:val="0089442A"/>
    <w:rsid w:val="00894A90"/>
    <w:rsid w:val="00894B87"/>
    <w:rsid w:val="00894EAA"/>
    <w:rsid w:val="00894FC1"/>
    <w:rsid w:val="00895FCB"/>
    <w:rsid w:val="00896291"/>
    <w:rsid w:val="00896A98"/>
    <w:rsid w:val="0089729F"/>
    <w:rsid w:val="008977CD"/>
    <w:rsid w:val="00897E03"/>
    <w:rsid w:val="00897E9E"/>
    <w:rsid w:val="00897F77"/>
    <w:rsid w:val="008A045C"/>
    <w:rsid w:val="008A05BB"/>
    <w:rsid w:val="008A05E0"/>
    <w:rsid w:val="008A10D8"/>
    <w:rsid w:val="008A1186"/>
    <w:rsid w:val="008A1517"/>
    <w:rsid w:val="008A198D"/>
    <w:rsid w:val="008A1C47"/>
    <w:rsid w:val="008A212A"/>
    <w:rsid w:val="008A34BF"/>
    <w:rsid w:val="008A35E7"/>
    <w:rsid w:val="008A37DD"/>
    <w:rsid w:val="008A3CFB"/>
    <w:rsid w:val="008A46E6"/>
    <w:rsid w:val="008A4CBF"/>
    <w:rsid w:val="008A4D7E"/>
    <w:rsid w:val="008A5290"/>
    <w:rsid w:val="008A5549"/>
    <w:rsid w:val="008A593A"/>
    <w:rsid w:val="008A59F8"/>
    <w:rsid w:val="008A5A27"/>
    <w:rsid w:val="008A6A14"/>
    <w:rsid w:val="008A6B82"/>
    <w:rsid w:val="008A6C2C"/>
    <w:rsid w:val="008A6C5A"/>
    <w:rsid w:val="008A777A"/>
    <w:rsid w:val="008A7D1D"/>
    <w:rsid w:val="008B0061"/>
    <w:rsid w:val="008B0EAD"/>
    <w:rsid w:val="008B102C"/>
    <w:rsid w:val="008B1070"/>
    <w:rsid w:val="008B121D"/>
    <w:rsid w:val="008B1718"/>
    <w:rsid w:val="008B17AA"/>
    <w:rsid w:val="008B18C6"/>
    <w:rsid w:val="008B190C"/>
    <w:rsid w:val="008B1E83"/>
    <w:rsid w:val="008B1EF5"/>
    <w:rsid w:val="008B1EF9"/>
    <w:rsid w:val="008B20A4"/>
    <w:rsid w:val="008B219A"/>
    <w:rsid w:val="008B2483"/>
    <w:rsid w:val="008B2537"/>
    <w:rsid w:val="008B27A3"/>
    <w:rsid w:val="008B2C9C"/>
    <w:rsid w:val="008B2DF3"/>
    <w:rsid w:val="008B2E4C"/>
    <w:rsid w:val="008B3013"/>
    <w:rsid w:val="008B32BC"/>
    <w:rsid w:val="008B349C"/>
    <w:rsid w:val="008B3531"/>
    <w:rsid w:val="008B376A"/>
    <w:rsid w:val="008B38AD"/>
    <w:rsid w:val="008B39FD"/>
    <w:rsid w:val="008B3F57"/>
    <w:rsid w:val="008B4969"/>
    <w:rsid w:val="008B4F9D"/>
    <w:rsid w:val="008B5660"/>
    <w:rsid w:val="008B6488"/>
    <w:rsid w:val="008B6576"/>
    <w:rsid w:val="008B6CDC"/>
    <w:rsid w:val="008B7187"/>
    <w:rsid w:val="008B7220"/>
    <w:rsid w:val="008B75D5"/>
    <w:rsid w:val="008B78BE"/>
    <w:rsid w:val="008B78D8"/>
    <w:rsid w:val="008B7BAA"/>
    <w:rsid w:val="008C00CA"/>
    <w:rsid w:val="008C0246"/>
    <w:rsid w:val="008C031A"/>
    <w:rsid w:val="008C05F4"/>
    <w:rsid w:val="008C08A5"/>
    <w:rsid w:val="008C0D24"/>
    <w:rsid w:val="008C1349"/>
    <w:rsid w:val="008C144D"/>
    <w:rsid w:val="008C1678"/>
    <w:rsid w:val="008C1856"/>
    <w:rsid w:val="008C2F3D"/>
    <w:rsid w:val="008C2F8A"/>
    <w:rsid w:val="008C31A3"/>
    <w:rsid w:val="008C347E"/>
    <w:rsid w:val="008C384A"/>
    <w:rsid w:val="008C44D9"/>
    <w:rsid w:val="008C4510"/>
    <w:rsid w:val="008C479C"/>
    <w:rsid w:val="008C47B4"/>
    <w:rsid w:val="008C4D4B"/>
    <w:rsid w:val="008C4E14"/>
    <w:rsid w:val="008C4EDA"/>
    <w:rsid w:val="008C4F75"/>
    <w:rsid w:val="008C5380"/>
    <w:rsid w:val="008C543B"/>
    <w:rsid w:val="008C55A4"/>
    <w:rsid w:val="008C5BFF"/>
    <w:rsid w:val="008C5C97"/>
    <w:rsid w:val="008C64E3"/>
    <w:rsid w:val="008C64EF"/>
    <w:rsid w:val="008C668A"/>
    <w:rsid w:val="008C725D"/>
    <w:rsid w:val="008C7337"/>
    <w:rsid w:val="008C7741"/>
    <w:rsid w:val="008C7883"/>
    <w:rsid w:val="008C78F9"/>
    <w:rsid w:val="008C7B5C"/>
    <w:rsid w:val="008C7F11"/>
    <w:rsid w:val="008D007F"/>
    <w:rsid w:val="008D044B"/>
    <w:rsid w:val="008D0611"/>
    <w:rsid w:val="008D0D1E"/>
    <w:rsid w:val="008D10E6"/>
    <w:rsid w:val="008D110C"/>
    <w:rsid w:val="008D119E"/>
    <w:rsid w:val="008D1B47"/>
    <w:rsid w:val="008D1E79"/>
    <w:rsid w:val="008D2207"/>
    <w:rsid w:val="008D29A6"/>
    <w:rsid w:val="008D3064"/>
    <w:rsid w:val="008D32AF"/>
    <w:rsid w:val="008D345F"/>
    <w:rsid w:val="008D35E0"/>
    <w:rsid w:val="008D3735"/>
    <w:rsid w:val="008D393A"/>
    <w:rsid w:val="008D39E9"/>
    <w:rsid w:val="008D3C16"/>
    <w:rsid w:val="008D49A4"/>
    <w:rsid w:val="008D5693"/>
    <w:rsid w:val="008D5904"/>
    <w:rsid w:val="008D592A"/>
    <w:rsid w:val="008D5BAA"/>
    <w:rsid w:val="008D68D9"/>
    <w:rsid w:val="008D6ECF"/>
    <w:rsid w:val="008D72D4"/>
    <w:rsid w:val="008D776F"/>
    <w:rsid w:val="008D7A19"/>
    <w:rsid w:val="008D7E13"/>
    <w:rsid w:val="008E016A"/>
    <w:rsid w:val="008E02FD"/>
    <w:rsid w:val="008E034A"/>
    <w:rsid w:val="008E06C4"/>
    <w:rsid w:val="008E08F0"/>
    <w:rsid w:val="008E1068"/>
    <w:rsid w:val="008E18A0"/>
    <w:rsid w:val="008E1AB4"/>
    <w:rsid w:val="008E1CC0"/>
    <w:rsid w:val="008E1E54"/>
    <w:rsid w:val="008E252C"/>
    <w:rsid w:val="008E2AA2"/>
    <w:rsid w:val="008E2BE4"/>
    <w:rsid w:val="008E3596"/>
    <w:rsid w:val="008E36BF"/>
    <w:rsid w:val="008E3732"/>
    <w:rsid w:val="008E3921"/>
    <w:rsid w:val="008E3B7C"/>
    <w:rsid w:val="008E3C88"/>
    <w:rsid w:val="008E43B5"/>
    <w:rsid w:val="008E47E0"/>
    <w:rsid w:val="008E4880"/>
    <w:rsid w:val="008E48A2"/>
    <w:rsid w:val="008E5643"/>
    <w:rsid w:val="008E5A8C"/>
    <w:rsid w:val="008E5DA4"/>
    <w:rsid w:val="008E6BF9"/>
    <w:rsid w:val="008E6C1B"/>
    <w:rsid w:val="008E7211"/>
    <w:rsid w:val="008E73BC"/>
    <w:rsid w:val="008E7558"/>
    <w:rsid w:val="008E7679"/>
    <w:rsid w:val="008E78F2"/>
    <w:rsid w:val="008E792D"/>
    <w:rsid w:val="008F0055"/>
    <w:rsid w:val="008F022C"/>
    <w:rsid w:val="008F06D8"/>
    <w:rsid w:val="008F089A"/>
    <w:rsid w:val="008F0AB5"/>
    <w:rsid w:val="008F0E05"/>
    <w:rsid w:val="008F0E9C"/>
    <w:rsid w:val="008F12B1"/>
    <w:rsid w:val="008F141E"/>
    <w:rsid w:val="008F1521"/>
    <w:rsid w:val="008F1F09"/>
    <w:rsid w:val="008F23EC"/>
    <w:rsid w:val="008F2838"/>
    <w:rsid w:val="008F4588"/>
    <w:rsid w:val="008F55DF"/>
    <w:rsid w:val="008F56CB"/>
    <w:rsid w:val="008F5988"/>
    <w:rsid w:val="008F640F"/>
    <w:rsid w:val="008F6667"/>
    <w:rsid w:val="008F6794"/>
    <w:rsid w:val="008F7295"/>
    <w:rsid w:val="008F75EB"/>
    <w:rsid w:val="008F783D"/>
    <w:rsid w:val="008F7853"/>
    <w:rsid w:val="008F7AA3"/>
    <w:rsid w:val="008F7B2E"/>
    <w:rsid w:val="008F7D9B"/>
    <w:rsid w:val="0090002C"/>
    <w:rsid w:val="009003DD"/>
    <w:rsid w:val="009003DE"/>
    <w:rsid w:val="009003EA"/>
    <w:rsid w:val="009005B7"/>
    <w:rsid w:val="00900BA5"/>
    <w:rsid w:val="00900C7B"/>
    <w:rsid w:val="00901569"/>
    <w:rsid w:val="00902560"/>
    <w:rsid w:val="009026C3"/>
    <w:rsid w:val="00902929"/>
    <w:rsid w:val="00902EC7"/>
    <w:rsid w:val="0090318C"/>
    <w:rsid w:val="00903488"/>
    <w:rsid w:val="00903FE5"/>
    <w:rsid w:val="00904084"/>
    <w:rsid w:val="00904425"/>
    <w:rsid w:val="00904795"/>
    <w:rsid w:val="009049FD"/>
    <w:rsid w:val="00904AA8"/>
    <w:rsid w:val="00904F05"/>
    <w:rsid w:val="00904FB5"/>
    <w:rsid w:val="00905021"/>
    <w:rsid w:val="0090587F"/>
    <w:rsid w:val="00905D12"/>
    <w:rsid w:val="00905FE5"/>
    <w:rsid w:val="0090647A"/>
    <w:rsid w:val="00906619"/>
    <w:rsid w:val="00906A71"/>
    <w:rsid w:val="00906E89"/>
    <w:rsid w:val="00906F35"/>
    <w:rsid w:val="0090727F"/>
    <w:rsid w:val="009075A0"/>
    <w:rsid w:val="00907955"/>
    <w:rsid w:val="0090799A"/>
    <w:rsid w:val="00907B8B"/>
    <w:rsid w:val="00907F11"/>
    <w:rsid w:val="00910809"/>
    <w:rsid w:val="0091088F"/>
    <w:rsid w:val="009115BA"/>
    <w:rsid w:val="0091270C"/>
    <w:rsid w:val="00912DE0"/>
    <w:rsid w:val="00913421"/>
    <w:rsid w:val="00913652"/>
    <w:rsid w:val="009139F7"/>
    <w:rsid w:val="009140D4"/>
    <w:rsid w:val="00914316"/>
    <w:rsid w:val="0091481B"/>
    <w:rsid w:val="00914825"/>
    <w:rsid w:val="00915246"/>
    <w:rsid w:val="009154F6"/>
    <w:rsid w:val="009158A4"/>
    <w:rsid w:val="00915B81"/>
    <w:rsid w:val="00916A15"/>
    <w:rsid w:val="00916E58"/>
    <w:rsid w:val="00916EB9"/>
    <w:rsid w:val="00916F7B"/>
    <w:rsid w:val="00916FE3"/>
    <w:rsid w:val="009170D7"/>
    <w:rsid w:val="00917380"/>
    <w:rsid w:val="00917433"/>
    <w:rsid w:val="00917887"/>
    <w:rsid w:val="00917E45"/>
    <w:rsid w:val="009207DB"/>
    <w:rsid w:val="009214BA"/>
    <w:rsid w:val="009218B6"/>
    <w:rsid w:val="00922024"/>
    <w:rsid w:val="00922AF6"/>
    <w:rsid w:val="00922FE4"/>
    <w:rsid w:val="00923003"/>
    <w:rsid w:val="00923275"/>
    <w:rsid w:val="0092353A"/>
    <w:rsid w:val="00923FEF"/>
    <w:rsid w:val="009244A4"/>
    <w:rsid w:val="00924627"/>
    <w:rsid w:val="009246F6"/>
    <w:rsid w:val="00924B93"/>
    <w:rsid w:val="00924BF3"/>
    <w:rsid w:val="00924E99"/>
    <w:rsid w:val="00924EED"/>
    <w:rsid w:val="009254AC"/>
    <w:rsid w:val="00925501"/>
    <w:rsid w:val="00925C4F"/>
    <w:rsid w:val="00925C8C"/>
    <w:rsid w:val="00925E32"/>
    <w:rsid w:val="00925F94"/>
    <w:rsid w:val="00926301"/>
    <w:rsid w:val="00926524"/>
    <w:rsid w:val="00926580"/>
    <w:rsid w:val="00926982"/>
    <w:rsid w:val="00926BC8"/>
    <w:rsid w:val="00926BF2"/>
    <w:rsid w:val="00926C5C"/>
    <w:rsid w:val="009270C4"/>
    <w:rsid w:val="009270DF"/>
    <w:rsid w:val="00927D39"/>
    <w:rsid w:val="00930C08"/>
    <w:rsid w:val="00930F71"/>
    <w:rsid w:val="00931B25"/>
    <w:rsid w:val="00931C34"/>
    <w:rsid w:val="0093200A"/>
    <w:rsid w:val="00932196"/>
    <w:rsid w:val="0093226D"/>
    <w:rsid w:val="00932459"/>
    <w:rsid w:val="00932631"/>
    <w:rsid w:val="00932752"/>
    <w:rsid w:val="00932A03"/>
    <w:rsid w:val="00932B16"/>
    <w:rsid w:val="00932E25"/>
    <w:rsid w:val="00932FE6"/>
    <w:rsid w:val="00933252"/>
    <w:rsid w:val="00933AD8"/>
    <w:rsid w:val="00933F8E"/>
    <w:rsid w:val="0093412A"/>
    <w:rsid w:val="0093428E"/>
    <w:rsid w:val="00934AA1"/>
    <w:rsid w:val="00934FA8"/>
    <w:rsid w:val="009353A5"/>
    <w:rsid w:val="00935434"/>
    <w:rsid w:val="00935C35"/>
    <w:rsid w:val="00936535"/>
    <w:rsid w:val="009370FD"/>
    <w:rsid w:val="00937277"/>
    <w:rsid w:val="0093740F"/>
    <w:rsid w:val="00937B4A"/>
    <w:rsid w:val="00937C1D"/>
    <w:rsid w:val="00937DC2"/>
    <w:rsid w:val="00937F9B"/>
    <w:rsid w:val="0094028A"/>
    <w:rsid w:val="009405AC"/>
    <w:rsid w:val="009405DB"/>
    <w:rsid w:val="009409D5"/>
    <w:rsid w:val="00940A7B"/>
    <w:rsid w:val="00940CD3"/>
    <w:rsid w:val="00940DED"/>
    <w:rsid w:val="00940F58"/>
    <w:rsid w:val="00940FC3"/>
    <w:rsid w:val="00941140"/>
    <w:rsid w:val="0094131D"/>
    <w:rsid w:val="0094185C"/>
    <w:rsid w:val="00941C49"/>
    <w:rsid w:val="00941F1B"/>
    <w:rsid w:val="00942120"/>
    <w:rsid w:val="00942316"/>
    <w:rsid w:val="009425F7"/>
    <w:rsid w:val="009428EC"/>
    <w:rsid w:val="00942A91"/>
    <w:rsid w:val="00942DF7"/>
    <w:rsid w:val="00942F09"/>
    <w:rsid w:val="00942FE3"/>
    <w:rsid w:val="00943493"/>
    <w:rsid w:val="009437F6"/>
    <w:rsid w:val="00943DD5"/>
    <w:rsid w:val="00944637"/>
    <w:rsid w:val="00944BC7"/>
    <w:rsid w:val="00944BF0"/>
    <w:rsid w:val="00945072"/>
    <w:rsid w:val="009450E6"/>
    <w:rsid w:val="00945D27"/>
    <w:rsid w:val="00945FFF"/>
    <w:rsid w:val="00946136"/>
    <w:rsid w:val="00946208"/>
    <w:rsid w:val="00946237"/>
    <w:rsid w:val="00946807"/>
    <w:rsid w:val="00946A2F"/>
    <w:rsid w:val="00946D70"/>
    <w:rsid w:val="00947241"/>
    <w:rsid w:val="0094776D"/>
    <w:rsid w:val="00947B25"/>
    <w:rsid w:val="00947F94"/>
    <w:rsid w:val="00950230"/>
    <w:rsid w:val="00950B62"/>
    <w:rsid w:val="00950BB7"/>
    <w:rsid w:val="009512B1"/>
    <w:rsid w:val="009512F4"/>
    <w:rsid w:val="009519C6"/>
    <w:rsid w:val="00951A3E"/>
    <w:rsid w:val="00951DEE"/>
    <w:rsid w:val="00951FA8"/>
    <w:rsid w:val="00951FD8"/>
    <w:rsid w:val="009525F2"/>
    <w:rsid w:val="009532A0"/>
    <w:rsid w:val="0095332A"/>
    <w:rsid w:val="0095348B"/>
    <w:rsid w:val="00953BA0"/>
    <w:rsid w:val="00953BB4"/>
    <w:rsid w:val="00954282"/>
    <w:rsid w:val="00954427"/>
    <w:rsid w:val="0095453C"/>
    <w:rsid w:val="0095467D"/>
    <w:rsid w:val="00954E74"/>
    <w:rsid w:val="00954FD6"/>
    <w:rsid w:val="00955150"/>
    <w:rsid w:val="009555AB"/>
    <w:rsid w:val="00955C45"/>
    <w:rsid w:val="009562BF"/>
    <w:rsid w:val="00956BBB"/>
    <w:rsid w:val="009570C1"/>
    <w:rsid w:val="009575F4"/>
    <w:rsid w:val="00957A1B"/>
    <w:rsid w:val="009601D4"/>
    <w:rsid w:val="0096064F"/>
    <w:rsid w:val="009607DA"/>
    <w:rsid w:val="00960D43"/>
    <w:rsid w:val="009614B2"/>
    <w:rsid w:val="00961505"/>
    <w:rsid w:val="009617E7"/>
    <w:rsid w:val="009618F2"/>
    <w:rsid w:val="00961B3E"/>
    <w:rsid w:val="00961E14"/>
    <w:rsid w:val="0096205F"/>
    <w:rsid w:val="00962EE2"/>
    <w:rsid w:val="0096323E"/>
    <w:rsid w:val="00963285"/>
    <w:rsid w:val="009634B3"/>
    <w:rsid w:val="00963B1C"/>
    <w:rsid w:val="00963B6B"/>
    <w:rsid w:val="00963B77"/>
    <w:rsid w:val="0096475C"/>
    <w:rsid w:val="00964924"/>
    <w:rsid w:val="00964BAD"/>
    <w:rsid w:val="00964C19"/>
    <w:rsid w:val="00964D06"/>
    <w:rsid w:val="00965161"/>
    <w:rsid w:val="00965401"/>
    <w:rsid w:val="00965D46"/>
    <w:rsid w:val="00965D84"/>
    <w:rsid w:val="00965E37"/>
    <w:rsid w:val="00965F51"/>
    <w:rsid w:val="0096646C"/>
    <w:rsid w:val="009666AA"/>
    <w:rsid w:val="009666FE"/>
    <w:rsid w:val="00966ABE"/>
    <w:rsid w:val="00966C1A"/>
    <w:rsid w:val="00966E16"/>
    <w:rsid w:val="0096797D"/>
    <w:rsid w:val="00967C2F"/>
    <w:rsid w:val="00967C71"/>
    <w:rsid w:val="00970294"/>
    <w:rsid w:val="0097036B"/>
    <w:rsid w:val="00970F27"/>
    <w:rsid w:val="009710C3"/>
    <w:rsid w:val="009713DD"/>
    <w:rsid w:val="00971647"/>
    <w:rsid w:val="00971C53"/>
    <w:rsid w:val="009721D3"/>
    <w:rsid w:val="00972347"/>
    <w:rsid w:val="0097242C"/>
    <w:rsid w:val="009725F2"/>
    <w:rsid w:val="00972DC6"/>
    <w:rsid w:val="00972F2E"/>
    <w:rsid w:val="0097311D"/>
    <w:rsid w:val="00973179"/>
    <w:rsid w:val="00973C04"/>
    <w:rsid w:val="00973F4F"/>
    <w:rsid w:val="00974105"/>
    <w:rsid w:val="00974795"/>
    <w:rsid w:val="0097549B"/>
    <w:rsid w:val="00975C75"/>
    <w:rsid w:val="009761B8"/>
    <w:rsid w:val="009761BB"/>
    <w:rsid w:val="00976390"/>
    <w:rsid w:val="00976582"/>
    <w:rsid w:val="0097766C"/>
    <w:rsid w:val="00977BCA"/>
    <w:rsid w:val="00977CA3"/>
    <w:rsid w:val="00977F9B"/>
    <w:rsid w:val="0098052F"/>
    <w:rsid w:val="009805FB"/>
    <w:rsid w:val="0098177A"/>
    <w:rsid w:val="00983183"/>
    <w:rsid w:val="009833A5"/>
    <w:rsid w:val="00983805"/>
    <w:rsid w:val="00983A3C"/>
    <w:rsid w:val="00983CE9"/>
    <w:rsid w:val="00983EFD"/>
    <w:rsid w:val="009840FC"/>
    <w:rsid w:val="00984A8A"/>
    <w:rsid w:val="00985360"/>
    <w:rsid w:val="00985855"/>
    <w:rsid w:val="00985D58"/>
    <w:rsid w:val="00985DFA"/>
    <w:rsid w:val="00986257"/>
    <w:rsid w:val="00986348"/>
    <w:rsid w:val="0098643B"/>
    <w:rsid w:val="00986861"/>
    <w:rsid w:val="009868C9"/>
    <w:rsid w:val="009868E0"/>
    <w:rsid w:val="0098766B"/>
    <w:rsid w:val="00987BF5"/>
    <w:rsid w:val="00987C35"/>
    <w:rsid w:val="00987CBC"/>
    <w:rsid w:val="00987E3D"/>
    <w:rsid w:val="00987FE7"/>
    <w:rsid w:val="00990519"/>
    <w:rsid w:val="00990609"/>
    <w:rsid w:val="00990904"/>
    <w:rsid w:val="00990AAE"/>
    <w:rsid w:val="00990DB9"/>
    <w:rsid w:val="00991487"/>
    <w:rsid w:val="00991706"/>
    <w:rsid w:val="009917E6"/>
    <w:rsid w:val="00992022"/>
    <w:rsid w:val="009924B9"/>
    <w:rsid w:val="009925AC"/>
    <w:rsid w:val="009925E2"/>
    <w:rsid w:val="00992815"/>
    <w:rsid w:val="009928D3"/>
    <w:rsid w:val="00992935"/>
    <w:rsid w:val="00992E3D"/>
    <w:rsid w:val="0099301E"/>
    <w:rsid w:val="00993070"/>
    <w:rsid w:val="009936DB"/>
    <w:rsid w:val="00993FFC"/>
    <w:rsid w:val="0099408F"/>
    <w:rsid w:val="009943CA"/>
    <w:rsid w:val="00994EA1"/>
    <w:rsid w:val="00995141"/>
    <w:rsid w:val="009956E2"/>
    <w:rsid w:val="0099589D"/>
    <w:rsid w:val="00995E04"/>
    <w:rsid w:val="009961D6"/>
    <w:rsid w:val="00996326"/>
    <w:rsid w:val="00996349"/>
    <w:rsid w:val="00996415"/>
    <w:rsid w:val="00996546"/>
    <w:rsid w:val="009966A8"/>
    <w:rsid w:val="009969AB"/>
    <w:rsid w:val="00996C6A"/>
    <w:rsid w:val="00996DE7"/>
    <w:rsid w:val="0099723F"/>
    <w:rsid w:val="00997798"/>
    <w:rsid w:val="009978A9"/>
    <w:rsid w:val="00997C99"/>
    <w:rsid w:val="00997F98"/>
    <w:rsid w:val="009A007F"/>
    <w:rsid w:val="009A011D"/>
    <w:rsid w:val="009A038E"/>
    <w:rsid w:val="009A09B4"/>
    <w:rsid w:val="009A0A12"/>
    <w:rsid w:val="009A1138"/>
    <w:rsid w:val="009A1347"/>
    <w:rsid w:val="009A1828"/>
    <w:rsid w:val="009A1C9E"/>
    <w:rsid w:val="009A1CD8"/>
    <w:rsid w:val="009A1CE8"/>
    <w:rsid w:val="009A1CF6"/>
    <w:rsid w:val="009A2838"/>
    <w:rsid w:val="009A299F"/>
    <w:rsid w:val="009A2DFD"/>
    <w:rsid w:val="009A2EFF"/>
    <w:rsid w:val="009A2FDF"/>
    <w:rsid w:val="009A327E"/>
    <w:rsid w:val="009A3567"/>
    <w:rsid w:val="009A38E3"/>
    <w:rsid w:val="009A44E8"/>
    <w:rsid w:val="009A453A"/>
    <w:rsid w:val="009A4654"/>
    <w:rsid w:val="009A4999"/>
    <w:rsid w:val="009A4A0D"/>
    <w:rsid w:val="009A4F69"/>
    <w:rsid w:val="009A5703"/>
    <w:rsid w:val="009A5868"/>
    <w:rsid w:val="009A5B4A"/>
    <w:rsid w:val="009A5F6E"/>
    <w:rsid w:val="009A5FA4"/>
    <w:rsid w:val="009A602D"/>
    <w:rsid w:val="009A61FF"/>
    <w:rsid w:val="009A63B3"/>
    <w:rsid w:val="009A6FDE"/>
    <w:rsid w:val="009A74CB"/>
    <w:rsid w:val="009A775A"/>
    <w:rsid w:val="009A7A01"/>
    <w:rsid w:val="009A7C99"/>
    <w:rsid w:val="009A7CC2"/>
    <w:rsid w:val="009B0638"/>
    <w:rsid w:val="009B0DF6"/>
    <w:rsid w:val="009B0FAA"/>
    <w:rsid w:val="009B112A"/>
    <w:rsid w:val="009B1570"/>
    <w:rsid w:val="009B1D07"/>
    <w:rsid w:val="009B1DA5"/>
    <w:rsid w:val="009B223A"/>
    <w:rsid w:val="009B2453"/>
    <w:rsid w:val="009B2672"/>
    <w:rsid w:val="009B28FD"/>
    <w:rsid w:val="009B2925"/>
    <w:rsid w:val="009B2AD6"/>
    <w:rsid w:val="009B2B64"/>
    <w:rsid w:val="009B2B83"/>
    <w:rsid w:val="009B3161"/>
    <w:rsid w:val="009B34B9"/>
    <w:rsid w:val="009B34D2"/>
    <w:rsid w:val="009B34F6"/>
    <w:rsid w:val="009B35D6"/>
    <w:rsid w:val="009B4BDC"/>
    <w:rsid w:val="009B4CCF"/>
    <w:rsid w:val="009B4FBD"/>
    <w:rsid w:val="009B5241"/>
    <w:rsid w:val="009B5594"/>
    <w:rsid w:val="009B57DF"/>
    <w:rsid w:val="009B5879"/>
    <w:rsid w:val="009B5A37"/>
    <w:rsid w:val="009B5DB0"/>
    <w:rsid w:val="009B64FA"/>
    <w:rsid w:val="009B6792"/>
    <w:rsid w:val="009B6837"/>
    <w:rsid w:val="009B7144"/>
    <w:rsid w:val="009B7198"/>
    <w:rsid w:val="009B729E"/>
    <w:rsid w:val="009B7498"/>
    <w:rsid w:val="009B74A2"/>
    <w:rsid w:val="009B74BB"/>
    <w:rsid w:val="009B75CB"/>
    <w:rsid w:val="009B7658"/>
    <w:rsid w:val="009B79FA"/>
    <w:rsid w:val="009B7ED4"/>
    <w:rsid w:val="009C00D6"/>
    <w:rsid w:val="009C067A"/>
    <w:rsid w:val="009C0741"/>
    <w:rsid w:val="009C0CB4"/>
    <w:rsid w:val="009C0EF9"/>
    <w:rsid w:val="009C104A"/>
    <w:rsid w:val="009C142F"/>
    <w:rsid w:val="009C14EB"/>
    <w:rsid w:val="009C178B"/>
    <w:rsid w:val="009C17E8"/>
    <w:rsid w:val="009C1CED"/>
    <w:rsid w:val="009C21B2"/>
    <w:rsid w:val="009C221F"/>
    <w:rsid w:val="009C27F8"/>
    <w:rsid w:val="009C34CB"/>
    <w:rsid w:val="009C3600"/>
    <w:rsid w:val="009C3BFC"/>
    <w:rsid w:val="009C3D84"/>
    <w:rsid w:val="009C411A"/>
    <w:rsid w:val="009C4228"/>
    <w:rsid w:val="009C42B4"/>
    <w:rsid w:val="009C443A"/>
    <w:rsid w:val="009C469D"/>
    <w:rsid w:val="009C50B7"/>
    <w:rsid w:val="009C51B3"/>
    <w:rsid w:val="009C52F6"/>
    <w:rsid w:val="009C5923"/>
    <w:rsid w:val="009C598C"/>
    <w:rsid w:val="009C6283"/>
    <w:rsid w:val="009C6967"/>
    <w:rsid w:val="009C6981"/>
    <w:rsid w:val="009C7044"/>
    <w:rsid w:val="009C7773"/>
    <w:rsid w:val="009C79FD"/>
    <w:rsid w:val="009C7A50"/>
    <w:rsid w:val="009C7A8D"/>
    <w:rsid w:val="009C7B1D"/>
    <w:rsid w:val="009C7CD7"/>
    <w:rsid w:val="009C7F5A"/>
    <w:rsid w:val="009D03F1"/>
    <w:rsid w:val="009D0A08"/>
    <w:rsid w:val="009D12B2"/>
    <w:rsid w:val="009D13D2"/>
    <w:rsid w:val="009D1A8B"/>
    <w:rsid w:val="009D1C82"/>
    <w:rsid w:val="009D1CF4"/>
    <w:rsid w:val="009D23C1"/>
    <w:rsid w:val="009D2DA7"/>
    <w:rsid w:val="009D2E19"/>
    <w:rsid w:val="009D2E2B"/>
    <w:rsid w:val="009D2EC8"/>
    <w:rsid w:val="009D3305"/>
    <w:rsid w:val="009D3528"/>
    <w:rsid w:val="009D380F"/>
    <w:rsid w:val="009D3C8D"/>
    <w:rsid w:val="009D402B"/>
    <w:rsid w:val="009D4968"/>
    <w:rsid w:val="009D49AF"/>
    <w:rsid w:val="009D4AC6"/>
    <w:rsid w:val="009D5001"/>
    <w:rsid w:val="009D57A7"/>
    <w:rsid w:val="009D5A1E"/>
    <w:rsid w:val="009D5AF4"/>
    <w:rsid w:val="009D5BAE"/>
    <w:rsid w:val="009D6EAE"/>
    <w:rsid w:val="009D6F4B"/>
    <w:rsid w:val="009D7353"/>
    <w:rsid w:val="009D77C9"/>
    <w:rsid w:val="009D79E5"/>
    <w:rsid w:val="009D7CC2"/>
    <w:rsid w:val="009D7D14"/>
    <w:rsid w:val="009D7D70"/>
    <w:rsid w:val="009E0410"/>
    <w:rsid w:val="009E044A"/>
    <w:rsid w:val="009E04A5"/>
    <w:rsid w:val="009E0B59"/>
    <w:rsid w:val="009E0BFF"/>
    <w:rsid w:val="009E0D95"/>
    <w:rsid w:val="009E1125"/>
    <w:rsid w:val="009E13FA"/>
    <w:rsid w:val="009E1607"/>
    <w:rsid w:val="009E1AD6"/>
    <w:rsid w:val="009E2543"/>
    <w:rsid w:val="009E2E06"/>
    <w:rsid w:val="009E2E5A"/>
    <w:rsid w:val="009E33D1"/>
    <w:rsid w:val="009E4459"/>
    <w:rsid w:val="009E466E"/>
    <w:rsid w:val="009E4D93"/>
    <w:rsid w:val="009E52D3"/>
    <w:rsid w:val="009E6A55"/>
    <w:rsid w:val="009E6DD0"/>
    <w:rsid w:val="009E6F5C"/>
    <w:rsid w:val="009E7562"/>
    <w:rsid w:val="009E7ADC"/>
    <w:rsid w:val="009E7ED5"/>
    <w:rsid w:val="009F04EB"/>
    <w:rsid w:val="009F0861"/>
    <w:rsid w:val="009F09F4"/>
    <w:rsid w:val="009F0BD9"/>
    <w:rsid w:val="009F0C98"/>
    <w:rsid w:val="009F1474"/>
    <w:rsid w:val="009F1A0A"/>
    <w:rsid w:val="009F21DC"/>
    <w:rsid w:val="009F240A"/>
    <w:rsid w:val="009F2803"/>
    <w:rsid w:val="009F2859"/>
    <w:rsid w:val="009F2900"/>
    <w:rsid w:val="009F293D"/>
    <w:rsid w:val="009F2BA2"/>
    <w:rsid w:val="009F31A9"/>
    <w:rsid w:val="009F3332"/>
    <w:rsid w:val="009F33FA"/>
    <w:rsid w:val="009F344F"/>
    <w:rsid w:val="009F3645"/>
    <w:rsid w:val="009F3AC7"/>
    <w:rsid w:val="009F3EB0"/>
    <w:rsid w:val="009F3F99"/>
    <w:rsid w:val="009F4283"/>
    <w:rsid w:val="009F42F3"/>
    <w:rsid w:val="009F449B"/>
    <w:rsid w:val="009F4C2B"/>
    <w:rsid w:val="009F4E26"/>
    <w:rsid w:val="009F5105"/>
    <w:rsid w:val="009F5259"/>
    <w:rsid w:val="009F58A7"/>
    <w:rsid w:val="009F5DC4"/>
    <w:rsid w:val="009F5E53"/>
    <w:rsid w:val="009F6769"/>
    <w:rsid w:val="009F6903"/>
    <w:rsid w:val="009F7107"/>
    <w:rsid w:val="009F768A"/>
    <w:rsid w:val="009F78D9"/>
    <w:rsid w:val="009F7CA8"/>
    <w:rsid w:val="00A0011D"/>
    <w:rsid w:val="00A002F3"/>
    <w:rsid w:val="00A006BD"/>
    <w:rsid w:val="00A006E1"/>
    <w:rsid w:val="00A00824"/>
    <w:rsid w:val="00A00854"/>
    <w:rsid w:val="00A009AC"/>
    <w:rsid w:val="00A00B7E"/>
    <w:rsid w:val="00A00D50"/>
    <w:rsid w:val="00A00DAC"/>
    <w:rsid w:val="00A00DC0"/>
    <w:rsid w:val="00A01149"/>
    <w:rsid w:val="00A0174E"/>
    <w:rsid w:val="00A01C1F"/>
    <w:rsid w:val="00A01C86"/>
    <w:rsid w:val="00A01C98"/>
    <w:rsid w:val="00A02408"/>
    <w:rsid w:val="00A02656"/>
    <w:rsid w:val="00A02901"/>
    <w:rsid w:val="00A02A9F"/>
    <w:rsid w:val="00A02CE8"/>
    <w:rsid w:val="00A02EE0"/>
    <w:rsid w:val="00A035F2"/>
    <w:rsid w:val="00A03C90"/>
    <w:rsid w:val="00A047A1"/>
    <w:rsid w:val="00A04A8A"/>
    <w:rsid w:val="00A04B48"/>
    <w:rsid w:val="00A04C41"/>
    <w:rsid w:val="00A051FC"/>
    <w:rsid w:val="00A0540A"/>
    <w:rsid w:val="00A05A92"/>
    <w:rsid w:val="00A05ACF"/>
    <w:rsid w:val="00A05D66"/>
    <w:rsid w:val="00A06297"/>
    <w:rsid w:val="00A06A54"/>
    <w:rsid w:val="00A06B8B"/>
    <w:rsid w:val="00A06E22"/>
    <w:rsid w:val="00A06EFA"/>
    <w:rsid w:val="00A0756E"/>
    <w:rsid w:val="00A100C6"/>
    <w:rsid w:val="00A10207"/>
    <w:rsid w:val="00A10423"/>
    <w:rsid w:val="00A1042B"/>
    <w:rsid w:val="00A10D02"/>
    <w:rsid w:val="00A10FC4"/>
    <w:rsid w:val="00A1124A"/>
    <w:rsid w:val="00A1160F"/>
    <w:rsid w:val="00A11911"/>
    <w:rsid w:val="00A1227D"/>
    <w:rsid w:val="00A122D2"/>
    <w:rsid w:val="00A1238B"/>
    <w:rsid w:val="00A1260D"/>
    <w:rsid w:val="00A12CAC"/>
    <w:rsid w:val="00A13081"/>
    <w:rsid w:val="00A1329F"/>
    <w:rsid w:val="00A137EE"/>
    <w:rsid w:val="00A13D9F"/>
    <w:rsid w:val="00A14AA2"/>
    <w:rsid w:val="00A15402"/>
    <w:rsid w:val="00A1548E"/>
    <w:rsid w:val="00A15A52"/>
    <w:rsid w:val="00A15DE0"/>
    <w:rsid w:val="00A1614F"/>
    <w:rsid w:val="00A162F2"/>
    <w:rsid w:val="00A16816"/>
    <w:rsid w:val="00A16A33"/>
    <w:rsid w:val="00A171E1"/>
    <w:rsid w:val="00A1727C"/>
    <w:rsid w:val="00A172FD"/>
    <w:rsid w:val="00A178F3"/>
    <w:rsid w:val="00A179AD"/>
    <w:rsid w:val="00A17AEF"/>
    <w:rsid w:val="00A17C62"/>
    <w:rsid w:val="00A17CFF"/>
    <w:rsid w:val="00A17D5B"/>
    <w:rsid w:val="00A20A26"/>
    <w:rsid w:val="00A215B0"/>
    <w:rsid w:val="00A218FE"/>
    <w:rsid w:val="00A21F85"/>
    <w:rsid w:val="00A22360"/>
    <w:rsid w:val="00A22536"/>
    <w:rsid w:val="00A227AB"/>
    <w:rsid w:val="00A2283C"/>
    <w:rsid w:val="00A229B1"/>
    <w:rsid w:val="00A22B30"/>
    <w:rsid w:val="00A230B1"/>
    <w:rsid w:val="00A2323D"/>
    <w:rsid w:val="00A23C9F"/>
    <w:rsid w:val="00A240AC"/>
    <w:rsid w:val="00A240FF"/>
    <w:rsid w:val="00A24272"/>
    <w:rsid w:val="00A2446B"/>
    <w:rsid w:val="00A24B17"/>
    <w:rsid w:val="00A25A12"/>
    <w:rsid w:val="00A25D07"/>
    <w:rsid w:val="00A25D2F"/>
    <w:rsid w:val="00A26090"/>
    <w:rsid w:val="00A266C7"/>
    <w:rsid w:val="00A26C96"/>
    <w:rsid w:val="00A270AB"/>
    <w:rsid w:val="00A2732C"/>
    <w:rsid w:val="00A27564"/>
    <w:rsid w:val="00A277C7"/>
    <w:rsid w:val="00A278DD"/>
    <w:rsid w:val="00A27A71"/>
    <w:rsid w:val="00A27F02"/>
    <w:rsid w:val="00A30DD6"/>
    <w:rsid w:val="00A311A8"/>
    <w:rsid w:val="00A31CC5"/>
    <w:rsid w:val="00A31DF9"/>
    <w:rsid w:val="00A32078"/>
    <w:rsid w:val="00A32211"/>
    <w:rsid w:val="00A32462"/>
    <w:rsid w:val="00A32B0E"/>
    <w:rsid w:val="00A32D14"/>
    <w:rsid w:val="00A330B6"/>
    <w:rsid w:val="00A335A6"/>
    <w:rsid w:val="00A33876"/>
    <w:rsid w:val="00A33D3A"/>
    <w:rsid w:val="00A33EB1"/>
    <w:rsid w:val="00A34114"/>
    <w:rsid w:val="00A341F3"/>
    <w:rsid w:val="00A34B29"/>
    <w:rsid w:val="00A34BEA"/>
    <w:rsid w:val="00A34C81"/>
    <w:rsid w:val="00A34E19"/>
    <w:rsid w:val="00A34FB9"/>
    <w:rsid w:val="00A34FC2"/>
    <w:rsid w:val="00A353D8"/>
    <w:rsid w:val="00A3567D"/>
    <w:rsid w:val="00A35B31"/>
    <w:rsid w:val="00A3646D"/>
    <w:rsid w:val="00A3664B"/>
    <w:rsid w:val="00A369B0"/>
    <w:rsid w:val="00A36B46"/>
    <w:rsid w:val="00A36BD5"/>
    <w:rsid w:val="00A36FB3"/>
    <w:rsid w:val="00A374B1"/>
    <w:rsid w:val="00A40014"/>
    <w:rsid w:val="00A401BF"/>
    <w:rsid w:val="00A40906"/>
    <w:rsid w:val="00A40C3D"/>
    <w:rsid w:val="00A40C5E"/>
    <w:rsid w:val="00A40D0C"/>
    <w:rsid w:val="00A41302"/>
    <w:rsid w:val="00A415E2"/>
    <w:rsid w:val="00A41C59"/>
    <w:rsid w:val="00A41C63"/>
    <w:rsid w:val="00A420F4"/>
    <w:rsid w:val="00A42130"/>
    <w:rsid w:val="00A421C0"/>
    <w:rsid w:val="00A4271D"/>
    <w:rsid w:val="00A42AD9"/>
    <w:rsid w:val="00A42CF9"/>
    <w:rsid w:val="00A43021"/>
    <w:rsid w:val="00A43278"/>
    <w:rsid w:val="00A434EC"/>
    <w:rsid w:val="00A438EE"/>
    <w:rsid w:val="00A44712"/>
    <w:rsid w:val="00A44BAB"/>
    <w:rsid w:val="00A44E4B"/>
    <w:rsid w:val="00A455B1"/>
    <w:rsid w:val="00A459D9"/>
    <w:rsid w:val="00A45BF7"/>
    <w:rsid w:val="00A45FF8"/>
    <w:rsid w:val="00A461D0"/>
    <w:rsid w:val="00A46249"/>
    <w:rsid w:val="00A46385"/>
    <w:rsid w:val="00A463EB"/>
    <w:rsid w:val="00A466BC"/>
    <w:rsid w:val="00A469C6"/>
    <w:rsid w:val="00A46B49"/>
    <w:rsid w:val="00A47029"/>
    <w:rsid w:val="00A47341"/>
    <w:rsid w:val="00A50299"/>
    <w:rsid w:val="00A503CF"/>
    <w:rsid w:val="00A50F4B"/>
    <w:rsid w:val="00A510C2"/>
    <w:rsid w:val="00A51D1A"/>
    <w:rsid w:val="00A51D94"/>
    <w:rsid w:val="00A51DC7"/>
    <w:rsid w:val="00A52100"/>
    <w:rsid w:val="00A523FB"/>
    <w:rsid w:val="00A52885"/>
    <w:rsid w:val="00A53048"/>
    <w:rsid w:val="00A535DB"/>
    <w:rsid w:val="00A536D5"/>
    <w:rsid w:val="00A53919"/>
    <w:rsid w:val="00A53EF0"/>
    <w:rsid w:val="00A53F09"/>
    <w:rsid w:val="00A53FCE"/>
    <w:rsid w:val="00A5425D"/>
    <w:rsid w:val="00A54DAA"/>
    <w:rsid w:val="00A5510E"/>
    <w:rsid w:val="00A559F4"/>
    <w:rsid w:val="00A55A51"/>
    <w:rsid w:val="00A56547"/>
    <w:rsid w:val="00A56BBE"/>
    <w:rsid w:val="00A56D12"/>
    <w:rsid w:val="00A570E0"/>
    <w:rsid w:val="00A57343"/>
    <w:rsid w:val="00A57566"/>
    <w:rsid w:val="00A57609"/>
    <w:rsid w:val="00A57889"/>
    <w:rsid w:val="00A6027F"/>
    <w:rsid w:val="00A606A0"/>
    <w:rsid w:val="00A60AEA"/>
    <w:rsid w:val="00A60E0C"/>
    <w:rsid w:val="00A611FE"/>
    <w:rsid w:val="00A61263"/>
    <w:rsid w:val="00A614AD"/>
    <w:rsid w:val="00A61805"/>
    <w:rsid w:val="00A61886"/>
    <w:rsid w:val="00A61C42"/>
    <w:rsid w:val="00A626C0"/>
    <w:rsid w:val="00A62CE4"/>
    <w:rsid w:val="00A63706"/>
    <w:rsid w:val="00A63792"/>
    <w:rsid w:val="00A63840"/>
    <w:rsid w:val="00A63991"/>
    <w:rsid w:val="00A63A0E"/>
    <w:rsid w:val="00A63D89"/>
    <w:rsid w:val="00A64DAD"/>
    <w:rsid w:val="00A650DB"/>
    <w:rsid w:val="00A65406"/>
    <w:rsid w:val="00A65B54"/>
    <w:rsid w:val="00A65E52"/>
    <w:rsid w:val="00A6616B"/>
    <w:rsid w:val="00A6662E"/>
    <w:rsid w:val="00A66B3D"/>
    <w:rsid w:val="00A66E04"/>
    <w:rsid w:val="00A671B3"/>
    <w:rsid w:val="00A6775B"/>
    <w:rsid w:val="00A67816"/>
    <w:rsid w:val="00A67C9D"/>
    <w:rsid w:val="00A67E84"/>
    <w:rsid w:val="00A67F13"/>
    <w:rsid w:val="00A7001F"/>
    <w:rsid w:val="00A70B12"/>
    <w:rsid w:val="00A70D82"/>
    <w:rsid w:val="00A71084"/>
    <w:rsid w:val="00A71181"/>
    <w:rsid w:val="00A71996"/>
    <w:rsid w:val="00A71CC9"/>
    <w:rsid w:val="00A71E69"/>
    <w:rsid w:val="00A7269D"/>
    <w:rsid w:val="00A72726"/>
    <w:rsid w:val="00A7290C"/>
    <w:rsid w:val="00A72ADA"/>
    <w:rsid w:val="00A733CD"/>
    <w:rsid w:val="00A73642"/>
    <w:rsid w:val="00A73647"/>
    <w:rsid w:val="00A73915"/>
    <w:rsid w:val="00A73AC8"/>
    <w:rsid w:val="00A740A9"/>
    <w:rsid w:val="00A740DC"/>
    <w:rsid w:val="00A74C0B"/>
    <w:rsid w:val="00A74CED"/>
    <w:rsid w:val="00A74E03"/>
    <w:rsid w:val="00A75085"/>
    <w:rsid w:val="00A753C1"/>
    <w:rsid w:val="00A7588B"/>
    <w:rsid w:val="00A7599B"/>
    <w:rsid w:val="00A76063"/>
    <w:rsid w:val="00A7661A"/>
    <w:rsid w:val="00A767A1"/>
    <w:rsid w:val="00A767FD"/>
    <w:rsid w:val="00A76B3E"/>
    <w:rsid w:val="00A771BF"/>
    <w:rsid w:val="00A77A3F"/>
    <w:rsid w:val="00A801BC"/>
    <w:rsid w:val="00A80822"/>
    <w:rsid w:val="00A80B84"/>
    <w:rsid w:val="00A80D67"/>
    <w:rsid w:val="00A812D8"/>
    <w:rsid w:val="00A815D0"/>
    <w:rsid w:val="00A81953"/>
    <w:rsid w:val="00A81B67"/>
    <w:rsid w:val="00A81D09"/>
    <w:rsid w:val="00A823AB"/>
    <w:rsid w:val="00A826A8"/>
    <w:rsid w:val="00A82C6D"/>
    <w:rsid w:val="00A83046"/>
    <w:rsid w:val="00A83DB0"/>
    <w:rsid w:val="00A84155"/>
    <w:rsid w:val="00A84AE2"/>
    <w:rsid w:val="00A84AEB"/>
    <w:rsid w:val="00A84DD3"/>
    <w:rsid w:val="00A85054"/>
    <w:rsid w:val="00A85C62"/>
    <w:rsid w:val="00A85D25"/>
    <w:rsid w:val="00A861F3"/>
    <w:rsid w:val="00A8677F"/>
    <w:rsid w:val="00A867C4"/>
    <w:rsid w:val="00A86BD8"/>
    <w:rsid w:val="00A86F1A"/>
    <w:rsid w:val="00A879C1"/>
    <w:rsid w:val="00A87A3E"/>
    <w:rsid w:val="00A87B18"/>
    <w:rsid w:val="00A90283"/>
    <w:rsid w:val="00A90686"/>
    <w:rsid w:val="00A9074A"/>
    <w:rsid w:val="00A90888"/>
    <w:rsid w:val="00A90B04"/>
    <w:rsid w:val="00A90B1F"/>
    <w:rsid w:val="00A90B26"/>
    <w:rsid w:val="00A90DB1"/>
    <w:rsid w:val="00A90DCE"/>
    <w:rsid w:val="00A910CC"/>
    <w:rsid w:val="00A9147B"/>
    <w:rsid w:val="00A9162D"/>
    <w:rsid w:val="00A917A8"/>
    <w:rsid w:val="00A9185E"/>
    <w:rsid w:val="00A91BA8"/>
    <w:rsid w:val="00A91DB9"/>
    <w:rsid w:val="00A91EF1"/>
    <w:rsid w:val="00A91EF2"/>
    <w:rsid w:val="00A91EF4"/>
    <w:rsid w:val="00A92331"/>
    <w:rsid w:val="00A92E10"/>
    <w:rsid w:val="00A9325C"/>
    <w:rsid w:val="00A9390E"/>
    <w:rsid w:val="00A93B3D"/>
    <w:rsid w:val="00A94129"/>
    <w:rsid w:val="00A94171"/>
    <w:rsid w:val="00A947DA"/>
    <w:rsid w:val="00A94A61"/>
    <w:rsid w:val="00A94FD5"/>
    <w:rsid w:val="00A950AD"/>
    <w:rsid w:val="00A95559"/>
    <w:rsid w:val="00A95F9F"/>
    <w:rsid w:val="00A95FC9"/>
    <w:rsid w:val="00A96223"/>
    <w:rsid w:val="00A96CAB"/>
    <w:rsid w:val="00A96E85"/>
    <w:rsid w:val="00A96FC6"/>
    <w:rsid w:val="00A97B3D"/>
    <w:rsid w:val="00A97B61"/>
    <w:rsid w:val="00AA01DA"/>
    <w:rsid w:val="00AA01EF"/>
    <w:rsid w:val="00AA0220"/>
    <w:rsid w:val="00AA046E"/>
    <w:rsid w:val="00AA04E0"/>
    <w:rsid w:val="00AA05D3"/>
    <w:rsid w:val="00AA0766"/>
    <w:rsid w:val="00AA0891"/>
    <w:rsid w:val="00AA0F42"/>
    <w:rsid w:val="00AA106A"/>
    <w:rsid w:val="00AA115C"/>
    <w:rsid w:val="00AA1211"/>
    <w:rsid w:val="00AA1579"/>
    <w:rsid w:val="00AA2101"/>
    <w:rsid w:val="00AA2195"/>
    <w:rsid w:val="00AA2380"/>
    <w:rsid w:val="00AA2854"/>
    <w:rsid w:val="00AA2CD2"/>
    <w:rsid w:val="00AA2E76"/>
    <w:rsid w:val="00AA35E5"/>
    <w:rsid w:val="00AA37D3"/>
    <w:rsid w:val="00AA3BFD"/>
    <w:rsid w:val="00AA41E9"/>
    <w:rsid w:val="00AA4482"/>
    <w:rsid w:val="00AA450C"/>
    <w:rsid w:val="00AA47F9"/>
    <w:rsid w:val="00AA4AE0"/>
    <w:rsid w:val="00AA5139"/>
    <w:rsid w:val="00AA5265"/>
    <w:rsid w:val="00AA579B"/>
    <w:rsid w:val="00AA5AEF"/>
    <w:rsid w:val="00AA5E31"/>
    <w:rsid w:val="00AA6884"/>
    <w:rsid w:val="00AA6E71"/>
    <w:rsid w:val="00AA70F2"/>
    <w:rsid w:val="00AA7247"/>
    <w:rsid w:val="00AA7437"/>
    <w:rsid w:val="00AA750C"/>
    <w:rsid w:val="00AA75E0"/>
    <w:rsid w:val="00AA7A5E"/>
    <w:rsid w:val="00AA7E9C"/>
    <w:rsid w:val="00AB0229"/>
    <w:rsid w:val="00AB0363"/>
    <w:rsid w:val="00AB07D1"/>
    <w:rsid w:val="00AB0879"/>
    <w:rsid w:val="00AB0966"/>
    <w:rsid w:val="00AB0AA6"/>
    <w:rsid w:val="00AB0E99"/>
    <w:rsid w:val="00AB0F03"/>
    <w:rsid w:val="00AB1287"/>
    <w:rsid w:val="00AB1698"/>
    <w:rsid w:val="00AB17E5"/>
    <w:rsid w:val="00AB1CE8"/>
    <w:rsid w:val="00AB1FC9"/>
    <w:rsid w:val="00AB2F20"/>
    <w:rsid w:val="00AB3386"/>
    <w:rsid w:val="00AB367F"/>
    <w:rsid w:val="00AB39BF"/>
    <w:rsid w:val="00AB3A53"/>
    <w:rsid w:val="00AB3F7B"/>
    <w:rsid w:val="00AB4419"/>
    <w:rsid w:val="00AB45DD"/>
    <w:rsid w:val="00AB4976"/>
    <w:rsid w:val="00AB4AD8"/>
    <w:rsid w:val="00AB4CD3"/>
    <w:rsid w:val="00AB5222"/>
    <w:rsid w:val="00AB5299"/>
    <w:rsid w:val="00AB5597"/>
    <w:rsid w:val="00AB5FEE"/>
    <w:rsid w:val="00AB6DFC"/>
    <w:rsid w:val="00AB7350"/>
    <w:rsid w:val="00AB7786"/>
    <w:rsid w:val="00AB7A79"/>
    <w:rsid w:val="00AB7C4E"/>
    <w:rsid w:val="00AB7DD2"/>
    <w:rsid w:val="00AC0189"/>
    <w:rsid w:val="00AC0934"/>
    <w:rsid w:val="00AC09CD"/>
    <w:rsid w:val="00AC1004"/>
    <w:rsid w:val="00AC165A"/>
    <w:rsid w:val="00AC2832"/>
    <w:rsid w:val="00AC2885"/>
    <w:rsid w:val="00AC2C16"/>
    <w:rsid w:val="00AC2E54"/>
    <w:rsid w:val="00AC37AF"/>
    <w:rsid w:val="00AC3DB7"/>
    <w:rsid w:val="00AC3DF5"/>
    <w:rsid w:val="00AC400E"/>
    <w:rsid w:val="00AC4293"/>
    <w:rsid w:val="00AC4319"/>
    <w:rsid w:val="00AC47BD"/>
    <w:rsid w:val="00AC4E38"/>
    <w:rsid w:val="00AC526F"/>
    <w:rsid w:val="00AC561A"/>
    <w:rsid w:val="00AC570E"/>
    <w:rsid w:val="00AC57D2"/>
    <w:rsid w:val="00AC658F"/>
    <w:rsid w:val="00AC6E43"/>
    <w:rsid w:val="00AC7260"/>
    <w:rsid w:val="00AC7593"/>
    <w:rsid w:val="00AC76B7"/>
    <w:rsid w:val="00AC7899"/>
    <w:rsid w:val="00AC7F42"/>
    <w:rsid w:val="00AD0B50"/>
    <w:rsid w:val="00AD0B96"/>
    <w:rsid w:val="00AD1436"/>
    <w:rsid w:val="00AD1A5F"/>
    <w:rsid w:val="00AD1A60"/>
    <w:rsid w:val="00AD1C44"/>
    <w:rsid w:val="00AD1C70"/>
    <w:rsid w:val="00AD25E3"/>
    <w:rsid w:val="00AD2762"/>
    <w:rsid w:val="00AD27FC"/>
    <w:rsid w:val="00AD2A89"/>
    <w:rsid w:val="00AD2ACE"/>
    <w:rsid w:val="00AD2B92"/>
    <w:rsid w:val="00AD322C"/>
    <w:rsid w:val="00AD3A38"/>
    <w:rsid w:val="00AD3FA7"/>
    <w:rsid w:val="00AD4029"/>
    <w:rsid w:val="00AD4B09"/>
    <w:rsid w:val="00AD4D4A"/>
    <w:rsid w:val="00AD4EF7"/>
    <w:rsid w:val="00AD4FA3"/>
    <w:rsid w:val="00AD50AD"/>
    <w:rsid w:val="00AD514D"/>
    <w:rsid w:val="00AD516C"/>
    <w:rsid w:val="00AD5C99"/>
    <w:rsid w:val="00AD5D6B"/>
    <w:rsid w:val="00AD5DEF"/>
    <w:rsid w:val="00AD5FD1"/>
    <w:rsid w:val="00AD6407"/>
    <w:rsid w:val="00AD6E95"/>
    <w:rsid w:val="00AD752F"/>
    <w:rsid w:val="00AD79BB"/>
    <w:rsid w:val="00AE00CA"/>
    <w:rsid w:val="00AE02C6"/>
    <w:rsid w:val="00AE0888"/>
    <w:rsid w:val="00AE0F01"/>
    <w:rsid w:val="00AE10C4"/>
    <w:rsid w:val="00AE1152"/>
    <w:rsid w:val="00AE118B"/>
    <w:rsid w:val="00AE1197"/>
    <w:rsid w:val="00AE1524"/>
    <w:rsid w:val="00AE1AE1"/>
    <w:rsid w:val="00AE1FB3"/>
    <w:rsid w:val="00AE254F"/>
    <w:rsid w:val="00AE25B1"/>
    <w:rsid w:val="00AE260E"/>
    <w:rsid w:val="00AE2A7F"/>
    <w:rsid w:val="00AE2C77"/>
    <w:rsid w:val="00AE2D01"/>
    <w:rsid w:val="00AE3AB0"/>
    <w:rsid w:val="00AE3C9F"/>
    <w:rsid w:val="00AE415F"/>
    <w:rsid w:val="00AE4801"/>
    <w:rsid w:val="00AE4E21"/>
    <w:rsid w:val="00AE4F15"/>
    <w:rsid w:val="00AE53B9"/>
    <w:rsid w:val="00AE55BC"/>
    <w:rsid w:val="00AE572E"/>
    <w:rsid w:val="00AE57D2"/>
    <w:rsid w:val="00AE5890"/>
    <w:rsid w:val="00AE5D51"/>
    <w:rsid w:val="00AE6004"/>
    <w:rsid w:val="00AE638D"/>
    <w:rsid w:val="00AE686D"/>
    <w:rsid w:val="00AE6B27"/>
    <w:rsid w:val="00AE6D6A"/>
    <w:rsid w:val="00AE6F0F"/>
    <w:rsid w:val="00AE7200"/>
    <w:rsid w:val="00AF00D2"/>
    <w:rsid w:val="00AF0489"/>
    <w:rsid w:val="00AF0B16"/>
    <w:rsid w:val="00AF0F96"/>
    <w:rsid w:val="00AF21D7"/>
    <w:rsid w:val="00AF222F"/>
    <w:rsid w:val="00AF2893"/>
    <w:rsid w:val="00AF28EB"/>
    <w:rsid w:val="00AF2ED6"/>
    <w:rsid w:val="00AF2FC2"/>
    <w:rsid w:val="00AF3178"/>
    <w:rsid w:val="00AF31FE"/>
    <w:rsid w:val="00AF32F2"/>
    <w:rsid w:val="00AF36B6"/>
    <w:rsid w:val="00AF3702"/>
    <w:rsid w:val="00AF3A61"/>
    <w:rsid w:val="00AF3C6C"/>
    <w:rsid w:val="00AF49AE"/>
    <w:rsid w:val="00AF4A74"/>
    <w:rsid w:val="00AF4AB5"/>
    <w:rsid w:val="00AF4E1B"/>
    <w:rsid w:val="00AF5216"/>
    <w:rsid w:val="00AF527E"/>
    <w:rsid w:val="00AF5407"/>
    <w:rsid w:val="00AF5AC5"/>
    <w:rsid w:val="00AF5D00"/>
    <w:rsid w:val="00AF5D56"/>
    <w:rsid w:val="00AF5E88"/>
    <w:rsid w:val="00AF5F14"/>
    <w:rsid w:val="00AF6595"/>
    <w:rsid w:val="00AF6E63"/>
    <w:rsid w:val="00AF7257"/>
    <w:rsid w:val="00AF7444"/>
    <w:rsid w:val="00AF76F4"/>
    <w:rsid w:val="00AF780B"/>
    <w:rsid w:val="00AF782D"/>
    <w:rsid w:val="00B00130"/>
    <w:rsid w:val="00B002AC"/>
    <w:rsid w:val="00B00C7A"/>
    <w:rsid w:val="00B00D08"/>
    <w:rsid w:val="00B00ED5"/>
    <w:rsid w:val="00B01180"/>
    <w:rsid w:val="00B017EA"/>
    <w:rsid w:val="00B01B8C"/>
    <w:rsid w:val="00B022CF"/>
    <w:rsid w:val="00B02808"/>
    <w:rsid w:val="00B0284A"/>
    <w:rsid w:val="00B028BC"/>
    <w:rsid w:val="00B02BB7"/>
    <w:rsid w:val="00B02BF0"/>
    <w:rsid w:val="00B02EEE"/>
    <w:rsid w:val="00B037DC"/>
    <w:rsid w:val="00B03861"/>
    <w:rsid w:val="00B038A2"/>
    <w:rsid w:val="00B03AB4"/>
    <w:rsid w:val="00B04580"/>
    <w:rsid w:val="00B0459A"/>
    <w:rsid w:val="00B04830"/>
    <w:rsid w:val="00B04972"/>
    <w:rsid w:val="00B04A0A"/>
    <w:rsid w:val="00B04BED"/>
    <w:rsid w:val="00B05326"/>
    <w:rsid w:val="00B0580E"/>
    <w:rsid w:val="00B05B34"/>
    <w:rsid w:val="00B05B91"/>
    <w:rsid w:val="00B05FB0"/>
    <w:rsid w:val="00B05FE5"/>
    <w:rsid w:val="00B060A8"/>
    <w:rsid w:val="00B0613A"/>
    <w:rsid w:val="00B0624B"/>
    <w:rsid w:val="00B062A6"/>
    <w:rsid w:val="00B06382"/>
    <w:rsid w:val="00B0689A"/>
    <w:rsid w:val="00B069B2"/>
    <w:rsid w:val="00B069BA"/>
    <w:rsid w:val="00B06DD5"/>
    <w:rsid w:val="00B06F77"/>
    <w:rsid w:val="00B0711E"/>
    <w:rsid w:val="00B07297"/>
    <w:rsid w:val="00B077CC"/>
    <w:rsid w:val="00B07CD8"/>
    <w:rsid w:val="00B10346"/>
    <w:rsid w:val="00B10762"/>
    <w:rsid w:val="00B10B90"/>
    <w:rsid w:val="00B11197"/>
    <w:rsid w:val="00B119A6"/>
    <w:rsid w:val="00B11D78"/>
    <w:rsid w:val="00B11F38"/>
    <w:rsid w:val="00B123E2"/>
    <w:rsid w:val="00B12BA7"/>
    <w:rsid w:val="00B12FD0"/>
    <w:rsid w:val="00B1390D"/>
    <w:rsid w:val="00B13D07"/>
    <w:rsid w:val="00B13F7C"/>
    <w:rsid w:val="00B141FA"/>
    <w:rsid w:val="00B143C4"/>
    <w:rsid w:val="00B1482F"/>
    <w:rsid w:val="00B148D0"/>
    <w:rsid w:val="00B14D70"/>
    <w:rsid w:val="00B14E03"/>
    <w:rsid w:val="00B150AC"/>
    <w:rsid w:val="00B1524E"/>
    <w:rsid w:val="00B152C6"/>
    <w:rsid w:val="00B1597B"/>
    <w:rsid w:val="00B15B92"/>
    <w:rsid w:val="00B15BB2"/>
    <w:rsid w:val="00B165F8"/>
    <w:rsid w:val="00B16611"/>
    <w:rsid w:val="00B17016"/>
    <w:rsid w:val="00B20523"/>
    <w:rsid w:val="00B20AF2"/>
    <w:rsid w:val="00B20D7A"/>
    <w:rsid w:val="00B214DD"/>
    <w:rsid w:val="00B216F9"/>
    <w:rsid w:val="00B21D85"/>
    <w:rsid w:val="00B21ED5"/>
    <w:rsid w:val="00B21F2E"/>
    <w:rsid w:val="00B22037"/>
    <w:rsid w:val="00B22864"/>
    <w:rsid w:val="00B229BE"/>
    <w:rsid w:val="00B22AE1"/>
    <w:rsid w:val="00B22D02"/>
    <w:rsid w:val="00B23157"/>
    <w:rsid w:val="00B233CE"/>
    <w:rsid w:val="00B23C29"/>
    <w:rsid w:val="00B24076"/>
    <w:rsid w:val="00B241E3"/>
    <w:rsid w:val="00B242AB"/>
    <w:rsid w:val="00B248B0"/>
    <w:rsid w:val="00B2511E"/>
    <w:rsid w:val="00B25819"/>
    <w:rsid w:val="00B2586C"/>
    <w:rsid w:val="00B25988"/>
    <w:rsid w:val="00B25C72"/>
    <w:rsid w:val="00B25E6F"/>
    <w:rsid w:val="00B265BA"/>
    <w:rsid w:val="00B265F4"/>
    <w:rsid w:val="00B27220"/>
    <w:rsid w:val="00B27553"/>
    <w:rsid w:val="00B27A6D"/>
    <w:rsid w:val="00B27CC0"/>
    <w:rsid w:val="00B300B6"/>
    <w:rsid w:val="00B3020F"/>
    <w:rsid w:val="00B3098F"/>
    <w:rsid w:val="00B30A12"/>
    <w:rsid w:val="00B30A2A"/>
    <w:rsid w:val="00B30B07"/>
    <w:rsid w:val="00B30BCF"/>
    <w:rsid w:val="00B31170"/>
    <w:rsid w:val="00B314D0"/>
    <w:rsid w:val="00B31F6E"/>
    <w:rsid w:val="00B324B7"/>
    <w:rsid w:val="00B32C01"/>
    <w:rsid w:val="00B32F1F"/>
    <w:rsid w:val="00B32F2D"/>
    <w:rsid w:val="00B33321"/>
    <w:rsid w:val="00B3341E"/>
    <w:rsid w:val="00B3370B"/>
    <w:rsid w:val="00B34296"/>
    <w:rsid w:val="00B344C2"/>
    <w:rsid w:val="00B34C4E"/>
    <w:rsid w:val="00B3517D"/>
    <w:rsid w:val="00B35221"/>
    <w:rsid w:val="00B353BC"/>
    <w:rsid w:val="00B3542E"/>
    <w:rsid w:val="00B35520"/>
    <w:rsid w:val="00B35891"/>
    <w:rsid w:val="00B35EFA"/>
    <w:rsid w:val="00B36421"/>
    <w:rsid w:val="00B3690C"/>
    <w:rsid w:val="00B369FF"/>
    <w:rsid w:val="00B36F74"/>
    <w:rsid w:val="00B37068"/>
    <w:rsid w:val="00B370C8"/>
    <w:rsid w:val="00B371DA"/>
    <w:rsid w:val="00B3763B"/>
    <w:rsid w:val="00B37B57"/>
    <w:rsid w:val="00B40330"/>
    <w:rsid w:val="00B4043D"/>
    <w:rsid w:val="00B406E5"/>
    <w:rsid w:val="00B40FAB"/>
    <w:rsid w:val="00B41674"/>
    <w:rsid w:val="00B4180D"/>
    <w:rsid w:val="00B41B90"/>
    <w:rsid w:val="00B421E9"/>
    <w:rsid w:val="00B4299A"/>
    <w:rsid w:val="00B42A94"/>
    <w:rsid w:val="00B42B9E"/>
    <w:rsid w:val="00B42C20"/>
    <w:rsid w:val="00B42D98"/>
    <w:rsid w:val="00B42D9A"/>
    <w:rsid w:val="00B42E90"/>
    <w:rsid w:val="00B42EFB"/>
    <w:rsid w:val="00B42F20"/>
    <w:rsid w:val="00B43023"/>
    <w:rsid w:val="00B4329A"/>
    <w:rsid w:val="00B434EA"/>
    <w:rsid w:val="00B43C0E"/>
    <w:rsid w:val="00B43CED"/>
    <w:rsid w:val="00B43D4A"/>
    <w:rsid w:val="00B44A9B"/>
    <w:rsid w:val="00B44D47"/>
    <w:rsid w:val="00B44D96"/>
    <w:rsid w:val="00B44DB5"/>
    <w:rsid w:val="00B44DBD"/>
    <w:rsid w:val="00B451C7"/>
    <w:rsid w:val="00B4521F"/>
    <w:rsid w:val="00B45928"/>
    <w:rsid w:val="00B45DD7"/>
    <w:rsid w:val="00B45E16"/>
    <w:rsid w:val="00B45E8C"/>
    <w:rsid w:val="00B46B3C"/>
    <w:rsid w:val="00B46B9B"/>
    <w:rsid w:val="00B46D2D"/>
    <w:rsid w:val="00B46F06"/>
    <w:rsid w:val="00B470FE"/>
    <w:rsid w:val="00B47148"/>
    <w:rsid w:val="00B47248"/>
    <w:rsid w:val="00B47B29"/>
    <w:rsid w:val="00B47FE8"/>
    <w:rsid w:val="00B50036"/>
    <w:rsid w:val="00B50378"/>
    <w:rsid w:val="00B5098B"/>
    <w:rsid w:val="00B50B5A"/>
    <w:rsid w:val="00B50F51"/>
    <w:rsid w:val="00B51403"/>
    <w:rsid w:val="00B51A2F"/>
    <w:rsid w:val="00B51B5B"/>
    <w:rsid w:val="00B52111"/>
    <w:rsid w:val="00B5240A"/>
    <w:rsid w:val="00B528D0"/>
    <w:rsid w:val="00B52FAF"/>
    <w:rsid w:val="00B52FDA"/>
    <w:rsid w:val="00B5304F"/>
    <w:rsid w:val="00B5323F"/>
    <w:rsid w:val="00B532CA"/>
    <w:rsid w:val="00B539EB"/>
    <w:rsid w:val="00B53B23"/>
    <w:rsid w:val="00B54550"/>
    <w:rsid w:val="00B547FF"/>
    <w:rsid w:val="00B5495B"/>
    <w:rsid w:val="00B54A5A"/>
    <w:rsid w:val="00B54B7E"/>
    <w:rsid w:val="00B54C8C"/>
    <w:rsid w:val="00B54F0F"/>
    <w:rsid w:val="00B54FEB"/>
    <w:rsid w:val="00B5537A"/>
    <w:rsid w:val="00B5557F"/>
    <w:rsid w:val="00B55695"/>
    <w:rsid w:val="00B562E6"/>
    <w:rsid w:val="00B5639B"/>
    <w:rsid w:val="00B5660B"/>
    <w:rsid w:val="00B571B1"/>
    <w:rsid w:val="00B57643"/>
    <w:rsid w:val="00B576E1"/>
    <w:rsid w:val="00B5790F"/>
    <w:rsid w:val="00B579AB"/>
    <w:rsid w:val="00B57A77"/>
    <w:rsid w:val="00B57C68"/>
    <w:rsid w:val="00B6004E"/>
    <w:rsid w:val="00B60477"/>
    <w:rsid w:val="00B60665"/>
    <w:rsid w:val="00B6072A"/>
    <w:rsid w:val="00B608F1"/>
    <w:rsid w:val="00B60C76"/>
    <w:rsid w:val="00B60F79"/>
    <w:rsid w:val="00B611B5"/>
    <w:rsid w:val="00B61337"/>
    <w:rsid w:val="00B61B49"/>
    <w:rsid w:val="00B62482"/>
    <w:rsid w:val="00B62538"/>
    <w:rsid w:val="00B6254F"/>
    <w:rsid w:val="00B62601"/>
    <w:rsid w:val="00B62B8B"/>
    <w:rsid w:val="00B63111"/>
    <w:rsid w:val="00B6317C"/>
    <w:rsid w:val="00B633B9"/>
    <w:rsid w:val="00B63545"/>
    <w:rsid w:val="00B63591"/>
    <w:rsid w:val="00B635C6"/>
    <w:rsid w:val="00B63704"/>
    <w:rsid w:val="00B63742"/>
    <w:rsid w:val="00B637D9"/>
    <w:rsid w:val="00B63B4A"/>
    <w:rsid w:val="00B6428D"/>
    <w:rsid w:val="00B64496"/>
    <w:rsid w:val="00B64498"/>
    <w:rsid w:val="00B64C56"/>
    <w:rsid w:val="00B6588C"/>
    <w:rsid w:val="00B6604C"/>
    <w:rsid w:val="00B661F6"/>
    <w:rsid w:val="00B664B0"/>
    <w:rsid w:val="00B66853"/>
    <w:rsid w:val="00B67120"/>
    <w:rsid w:val="00B673CA"/>
    <w:rsid w:val="00B674A0"/>
    <w:rsid w:val="00B6753E"/>
    <w:rsid w:val="00B67550"/>
    <w:rsid w:val="00B67978"/>
    <w:rsid w:val="00B679F5"/>
    <w:rsid w:val="00B67B36"/>
    <w:rsid w:val="00B7117A"/>
    <w:rsid w:val="00B71203"/>
    <w:rsid w:val="00B71684"/>
    <w:rsid w:val="00B717F6"/>
    <w:rsid w:val="00B72053"/>
    <w:rsid w:val="00B7234F"/>
    <w:rsid w:val="00B724F4"/>
    <w:rsid w:val="00B72537"/>
    <w:rsid w:val="00B72E76"/>
    <w:rsid w:val="00B73093"/>
    <w:rsid w:val="00B73B57"/>
    <w:rsid w:val="00B73CC7"/>
    <w:rsid w:val="00B742BB"/>
    <w:rsid w:val="00B746D5"/>
    <w:rsid w:val="00B74753"/>
    <w:rsid w:val="00B74BDA"/>
    <w:rsid w:val="00B74DEB"/>
    <w:rsid w:val="00B75037"/>
    <w:rsid w:val="00B75159"/>
    <w:rsid w:val="00B759D6"/>
    <w:rsid w:val="00B75A79"/>
    <w:rsid w:val="00B75AAD"/>
    <w:rsid w:val="00B75D3F"/>
    <w:rsid w:val="00B75FFB"/>
    <w:rsid w:val="00B76584"/>
    <w:rsid w:val="00B7745A"/>
    <w:rsid w:val="00B77723"/>
    <w:rsid w:val="00B77ABB"/>
    <w:rsid w:val="00B77B0B"/>
    <w:rsid w:val="00B77E12"/>
    <w:rsid w:val="00B77E50"/>
    <w:rsid w:val="00B77FA9"/>
    <w:rsid w:val="00B802CA"/>
    <w:rsid w:val="00B809B6"/>
    <w:rsid w:val="00B80B08"/>
    <w:rsid w:val="00B80B0E"/>
    <w:rsid w:val="00B80E0E"/>
    <w:rsid w:val="00B81533"/>
    <w:rsid w:val="00B815D3"/>
    <w:rsid w:val="00B818D4"/>
    <w:rsid w:val="00B82181"/>
    <w:rsid w:val="00B827B7"/>
    <w:rsid w:val="00B8288C"/>
    <w:rsid w:val="00B82C39"/>
    <w:rsid w:val="00B82D67"/>
    <w:rsid w:val="00B82DE1"/>
    <w:rsid w:val="00B831B4"/>
    <w:rsid w:val="00B83476"/>
    <w:rsid w:val="00B835D2"/>
    <w:rsid w:val="00B837B9"/>
    <w:rsid w:val="00B83C64"/>
    <w:rsid w:val="00B83F32"/>
    <w:rsid w:val="00B842EE"/>
    <w:rsid w:val="00B84396"/>
    <w:rsid w:val="00B843A1"/>
    <w:rsid w:val="00B84410"/>
    <w:rsid w:val="00B84710"/>
    <w:rsid w:val="00B84792"/>
    <w:rsid w:val="00B848BE"/>
    <w:rsid w:val="00B84978"/>
    <w:rsid w:val="00B84FF8"/>
    <w:rsid w:val="00B853BD"/>
    <w:rsid w:val="00B8573A"/>
    <w:rsid w:val="00B85861"/>
    <w:rsid w:val="00B859DB"/>
    <w:rsid w:val="00B85AE3"/>
    <w:rsid w:val="00B861A7"/>
    <w:rsid w:val="00B86DA8"/>
    <w:rsid w:val="00B86DDB"/>
    <w:rsid w:val="00B873D5"/>
    <w:rsid w:val="00B8748B"/>
    <w:rsid w:val="00B879C6"/>
    <w:rsid w:val="00B87BC1"/>
    <w:rsid w:val="00B87F56"/>
    <w:rsid w:val="00B903B9"/>
    <w:rsid w:val="00B911CB"/>
    <w:rsid w:val="00B91504"/>
    <w:rsid w:val="00B91818"/>
    <w:rsid w:val="00B919AB"/>
    <w:rsid w:val="00B91F89"/>
    <w:rsid w:val="00B927B0"/>
    <w:rsid w:val="00B9290A"/>
    <w:rsid w:val="00B92C14"/>
    <w:rsid w:val="00B92F7A"/>
    <w:rsid w:val="00B931D0"/>
    <w:rsid w:val="00B93597"/>
    <w:rsid w:val="00B93799"/>
    <w:rsid w:val="00B9463B"/>
    <w:rsid w:val="00B94798"/>
    <w:rsid w:val="00B947FD"/>
    <w:rsid w:val="00B94BE5"/>
    <w:rsid w:val="00B9589A"/>
    <w:rsid w:val="00B96011"/>
    <w:rsid w:val="00B963BA"/>
    <w:rsid w:val="00B965AF"/>
    <w:rsid w:val="00B96964"/>
    <w:rsid w:val="00B97182"/>
    <w:rsid w:val="00B977A2"/>
    <w:rsid w:val="00B97DBD"/>
    <w:rsid w:val="00BA0255"/>
    <w:rsid w:val="00BA064A"/>
    <w:rsid w:val="00BA06D4"/>
    <w:rsid w:val="00BA075F"/>
    <w:rsid w:val="00BA0A76"/>
    <w:rsid w:val="00BA0B17"/>
    <w:rsid w:val="00BA0D2A"/>
    <w:rsid w:val="00BA0F7A"/>
    <w:rsid w:val="00BA0FA7"/>
    <w:rsid w:val="00BA10BE"/>
    <w:rsid w:val="00BA1218"/>
    <w:rsid w:val="00BA14C1"/>
    <w:rsid w:val="00BA16AB"/>
    <w:rsid w:val="00BA1B48"/>
    <w:rsid w:val="00BA1BDC"/>
    <w:rsid w:val="00BA1D32"/>
    <w:rsid w:val="00BA2169"/>
    <w:rsid w:val="00BA256B"/>
    <w:rsid w:val="00BA31A5"/>
    <w:rsid w:val="00BA38A8"/>
    <w:rsid w:val="00BA3DFA"/>
    <w:rsid w:val="00BA4EFE"/>
    <w:rsid w:val="00BA52C1"/>
    <w:rsid w:val="00BA58C0"/>
    <w:rsid w:val="00BA6166"/>
    <w:rsid w:val="00BA683A"/>
    <w:rsid w:val="00BA739B"/>
    <w:rsid w:val="00BA76B1"/>
    <w:rsid w:val="00BA7A38"/>
    <w:rsid w:val="00BA7CCB"/>
    <w:rsid w:val="00BB0423"/>
    <w:rsid w:val="00BB1185"/>
    <w:rsid w:val="00BB1211"/>
    <w:rsid w:val="00BB1216"/>
    <w:rsid w:val="00BB17C8"/>
    <w:rsid w:val="00BB1CBD"/>
    <w:rsid w:val="00BB1EA8"/>
    <w:rsid w:val="00BB1FFA"/>
    <w:rsid w:val="00BB29E7"/>
    <w:rsid w:val="00BB2B1F"/>
    <w:rsid w:val="00BB2F0B"/>
    <w:rsid w:val="00BB3326"/>
    <w:rsid w:val="00BB36C5"/>
    <w:rsid w:val="00BB3A60"/>
    <w:rsid w:val="00BB4C56"/>
    <w:rsid w:val="00BB4CF1"/>
    <w:rsid w:val="00BB58CA"/>
    <w:rsid w:val="00BB5F6C"/>
    <w:rsid w:val="00BB60C3"/>
    <w:rsid w:val="00BB61B4"/>
    <w:rsid w:val="00BB63D7"/>
    <w:rsid w:val="00BB6796"/>
    <w:rsid w:val="00BB690D"/>
    <w:rsid w:val="00BB69B6"/>
    <w:rsid w:val="00BB6C88"/>
    <w:rsid w:val="00BB6ECF"/>
    <w:rsid w:val="00BB70B8"/>
    <w:rsid w:val="00BB74B3"/>
    <w:rsid w:val="00BB76A1"/>
    <w:rsid w:val="00BB777A"/>
    <w:rsid w:val="00BB7A45"/>
    <w:rsid w:val="00BB7C25"/>
    <w:rsid w:val="00BB7DDE"/>
    <w:rsid w:val="00BC069A"/>
    <w:rsid w:val="00BC08BD"/>
    <w:rsid w:val="00BC0B9D"/>
    <w:rsid w:val="00BC0DE1"/>
    <w:rsid w:val="00BC0EF5"/>
    <w:rsid w:val="00BC11CE"/>
    <w:rsid w:val="00BC125B"/>
    <w:rsid w:val="00BC1286"/>
    <w:rsid w:val="00BC1424"/>
    <w:rsid w:val="00BC162B"/>
    <w:rsid w:val="00BC1765"/>
    <w:rsid w:val="00BC1AF1"/>
    <w:rsid w:val="00BC1CC3"/>
    <w:rsid w:val="00BC1DFC"/>
    <w:rsid w:val="00BC21F3"/>
    <w:rsid w:val="00BC2243"/>
    <w:rsid w:val="00BC24FA"/>
    <w:rsid w:val="00BC28A7"/>
    <w:rsid w:val="00BC2A07"/>
    <w:rsid w:val="00BC2CA6"/>
    <w:rsid w:val="00BC30C1"/>
    <w:rsid w:val="00BC4299"/>
    <w:rsid w:val="00BC44A4"/>
    <w:rsid w:val="00BC475C"/>
    <w:rsid w:val="00BC47D8"/>
    <w:rsid w:val="00BC5454"/>
    <w:rsid w:val="00BC54F6"/>
    <w:rsid w:val="00BC58FB"/>
    <w:rsid w:val="00BC5961"/>
    <w:rsid w:val="00BC5FFD"/>
    <w:rsid w:val="00BC6342"/>
    <w:rsid w:val="00BC6437"/>
    <w:rsid w:val="00BC693E"/>
    <w:rsid w:val="00BC76B5"/>
    <w:rsid w:val="00BC76F1"/>
    <w:rsid w:val="00BC7CCA"/>
    <w:rsid w:val="00BC7DF8"/>
    <w:rsid w:val="00BD0152"/>
    <w:rsid w:val="00BD028F"/>
    <w:rsid w:val="00BD03C9"/>
    <w:rsid w:val="00BD0582"/>
    <w:rsid w:val="00BD07A7"/>
    <w:rsid w:val="00BD07F4"/>
    <w:rsid w:val="00BD0FC3"/>
    <w:rsid w:val="00BD137C"/>
    <w:rsid w:val="00BD1693"/>
    <w:rsid w:val="00BD16D1"/>
    <w:rsid w:val="00BD219A"/>
    <w:rsid w:val="00BD249C"/>
    <w:rsid w:val="00BD2539"/>
    <w:rsid w:val="00BD26D8"/>
    <w:rsid w:val="00BD299D"/>
    <w:rsid w:val="00BD2C2C"/>
    <w:rsid w:val="00BD2C42"/>
    <w:rsid w:val="00BD2DE5"/>
    <w:rsid w:val="00BD307A"/>
    <w:rsid w:val="00BD3424"/>
    <w:rsid w:val="00BD3698"/>
    <w:rsid w:val="00BD4119"/>
    <w:rsid w:val="00BD44A4"/>
    <w:rsid w:val="00BD4655"/>
    <w:rsid w:val="00BD4D35"/>
    <w:rsid w:val="00BD523B"/>
    <w:rsid w:val="00BD544C"/>
    <w:rsid w:val="00BD55C0"/>
    <w:rsid w:val="00BD58F5"/>
    <w:rsid w:val="00BD5A88"/>
    <w:rsid w:val="00BD65E1"/>
    <w:rsid w:val="00BD67E1"/>
    <w:rsid w:val="00BD6A70"/>
    <w:rsid w:val="00BD6BF2"/>
    <w:rsid w:val="00BD6EF9"/>
    <w:rsid w:val="00BD754C"/>
    <w:rsid w:val="00BD772A"/>
    <w:rsid w:val="00BD7970"/>
    <w:rsid w:val="00BD7E1A"/>
    <w:rsid w:val="00BE0197"/>
    <w:rsid w:val="00BE02E5"/>
    <w:rsid w:val="00BE03F6"/>
    <w:rsid w:val="00BE113F"/>
    <w:rsid w:val="00BE194D"/>
    <w:rsid w:val="00BE1C72"/>
    <w:rsid w:val="00BE1DDD"/>
    <w:rsid w:val="00BE1EB6"/>
    <w:rsid w:val="00BE2172"/>
    <w:rsid w:val="00BE235C"/>
    <w:rsid w:val="00BE29DD"/>
    <w:rsid w:val="00BE2AB1"/>
    <w:rsid w:val="00BE35C9"/>
    <w:rsid w:val="00BE394E"/>
    <w:rsid w:val="00BE3A79"/>
    <w:rsid w:val="00BE3B56"/>
    <w:rsid w:val="00BE3E86"/>
    <w:rsid w:val="00BE418C"/>
    <w:rsid w:val="00BE45F2"/>
    <w:rsid w:val="00BE4602"/>
    <w:rsid w:val="00BE4C3A"/>
    <w:rsid w:val="00BE576A"/>
    <w:rsid w:val="00BE5B3E"/>
    <w:rsid w:val="00BE5B5E"/>
    <w:rsid w:val="00BE61CB"/>
    <w:rsid w:val="00BE6BD2"/>
    <w:rsid w:val="00BE6CFB"/>
    <w:rsid w:val="00BE72FD"/>
    <w:rsid w:val="00BE74D1"/>
    <w:rsid w:val="00BE74F4"/>
    <w:rsid w:val="00BE7863"/>
    <w:rsid w:val="00BE786F"/>
    <w:rsid w:val="00BF07C0"/>
    <w:rsid w:val="00BF07F7"/>
    <w:rsid w:val="00BF0C38"/>
    <w:rsid w:val="00BF139F"/>
    <w:rsid w:val="00BF1728"/>
    <w:rsid w:val="00BF1EF8"/>
    <w:rsid w:val="00BF2674"/>
    <w:rsid w:val="00BF27BD"/>
    <w:rsid w:val="00BF2CE4"/>
    <w:rsid w:val="00BF2DE5"/>
    <w:rsid w:val="00BF2FCF"/>
    <w:rsid w:val="00BF32C6"/>
    <w:rsid w:val="00BF3C29"/>
    <w:rsid w:val="00BF41CE"/>
    <w:rsid w:val="00BF4283"/>
    <w:rsid w:val="00BF4339"/>
    <w:rsid w:val="00BF461B"/>
    <w:rsid w:val="00BF482A"/>
    <w:rsid w:val="00BF4856"/>
    <w:rsid w:val="00BF4AD7"/>
    <w:rsid w:val="00BF4C49"/>
    <w:rsid w:val="00BF5173"/>
    <w:rsid w:val="00BF5DA2"/>
    <w:rsid w:val="00BF5E36"/>
    <w:rsid w:val="00BF61B0"/>
    <w:rsid w:val="00BF623B"/>
    <w:rsid w:val="00BF6338"/>
    <w:rsid w:val="00BF6536"/>
    <w:rsid w:val="00BF6655"/>
    <w:rsid w:val="00BF6679"/>
    <w:rsid w:val="00BF6D56"/>
    <w:rsid w:val="00BF6EA4"/>
    <w:rsid w:val="00BF780C"/>
    <w:rsid w:val="00BF7866"/>
    <w:rsid w:val="00BF7DFA"/>
    <w:rsid w:val="00BF7E44"/>
    <w:rsid w:val="00C003F5"/>
    <w:rsid w:val="00C0079D"/>
    <w:rsid w:val="00C009DC"/>
    <w:rsid w:val="00C00D03"/>
    <w:rsid w:val="00C01151"/>
    <w:rsid w:val="00C017B2"/>
    <w:rsid w:val="00C01DD3"/>
    <w:rsid w:val="00C01DFC"/>
    <w:rsid w:val="00C02205"/>
    <w:rsid w:val="00C02396"/>
    <w:rsid w:val="00C0282B"/>
    <w:rsid w:val="00C0293A"/>
    <w:rsid w:val="00C02CA7"/>
    <w:rsid w:val="00C02E62"/>
    <w:rsid w:val="00C0382B"/>
    <w:rsid w:val="00C03D01"/>
    <w:rsid w:val="00C03EBD"/>
    <w:rsid w:val="00C04382"/>
    <w:rsid w:val="00C04648"/>
    <w:rsid w:val="00C048A6"/>
    <w:rsid w:val="00C05343"/>
    <w:rsid w:val="00C05381"/>
    <w:rsid w:val="00C06023"/>
    <w:rsid w:val="00C0632A"/>
    <w:rsid w:val="00C067E0"/>
    <w:rsid w:val="00C0690E"/>
    <w:rsid w:val="00C06EEB"/>
    <w:rsid w:val="00C06EF0"/>
    <w:rsid w:val="00C0702E"/>
    <w:rsid w:val="00C074B8"/>
    <w:rsid w:val="00C075D0"/>
    <w:rsid w:val="00C07CD6"/>
    <w:rsid w:val="00C10192"/>
    <w:rsid w:val="00C1025D"/>
    <w:rsid w:val="00C103AB"/>
    <w:rsid w:val="00C103C8"/>
    <w:rsid w:val="00C10CEC"/>
    <w:rsid w:val="00C10E42"/>
    <w:rsid w:val="00C11131"/>
    <w:rsid w:val="00C11821"/>
    <w:rsid w:val="00C11EDA"/>
    <w:rsid w:val="00C12686"/>
    <w:rsid w:val="00C129CC"/>
    <w:rsid w:val="00C12CED"/>
    <w:rsid w:val="00C12D93"/>
    <w:rsid w:val="00C12EE2"/>
    <w:rsid w:val="00C13419"/>
    <w:rsid w:val="00C1365D"/>
    <w:rsid w:val="00C139DE"/>
    <w:rsid w:val="00C13B55"/>
    <w:rsid w:val="00C13C3F"/>
    <w:rsid w:val="00C13CBD"/>
    <w:rsid w:val="00C13DB6"/>
    <w:rsid w:val="00C142BD"/>
    <w:rsid w:val="00C1455D"/>
    <w:rsid w:val="00C14865"/>
    <w:rsid w:val="00C148E5"/>
    <w:rsid w:val="00C14B57"/>
    <w:rsid w:val="00C14CDE"/>
    <w:rsid w:val="00C15473"/>
    <w:rsid w:val="00C159C1"/>
    <w:rsid w:val="00C15D34"/>
    <w:rsid w:val="00C1609D"/>
    <w:rsid w:val="00C16489"/>
    <w:rsid w:val="00C16848"/>
    <w:rsid w:val="00C168C0"/>
    <w:rsid w:val="00C16BF9"/>
    <w:rsid w:val="00C16F50"/>
    <w:rsid w:val="00C1711E"/>
    <w:rsid w:val="00C1746D"/>
    <w:rsid w:val="00C174C6"/>
    <w:rsid w:val="00C17E6E"/>
    <w:rsid w:val="00C2001A"/>
    <w:rsid w:val="00C20915"/>
    <w:rsid w:val="00C20C3D"/>
    <w:rsid w:val="00C2111F"/>
    <w:rsid w:val="00C2129B"/>
    <w:rsid w:val="00C21A06"/>
    <w:rsid w:val="00C21C4E"/>
    <w:rsid w:val="00C221D0"/>
    <w:rsid w:val="00C22309"/>
    <w:rsid w:val="00C22C7C"/>
    <w:rsid w:val="00C23520"/>
    <w:rsid w:val="00C2366E"/>
    <w:rsid w:val="00C23E35"/>
    <w:rsid w:val="00C24097"/>
    <w:rsid w:val="00C24568"/>
    <w:rsid w:val="00C246D7"/>
    <w:rsid w:val="00C24D75"/>
    <w:rsid w:val="00C24DA9"/>
    <w:rsid w:val="00C24F12"/>
    <w:rsid w:val="00C24F98"/>
    <w:rsid w:val="00C25082"/>
    <w:rsid w:val="00C25260"/>
    <w:rsid w:val="00C25277"/>
    <w:rsid w:val="00C25E6A"/>
    <w:rsid w:val="00C25E7D"/>
    <w:rsid w:val="00C25F06"/>
    <w:rsid w:val="00C264BA"/>
    <w:rsid w:val="00C265D4"/>
    <w:rsid w:val="00C266C1"/>
    <w:rsid w:val="00C273AE"/>
    <w:rsid w:val="00C275FC"/>
    <w:rsid w:val="00C2789E"/>
    <w:rsid w:val="00C27920"/>
    <w:rsid w:val="00C27D57"/>
    <w:rsid w:val="00C27E01"/>
    <w:rsid w:val="00C30B3D"/>
    <w:rsid w:val="00C30C6A"/>
    <w:rsid w:val="00C30D84"/>
    <w:rsid w:val="00C3106E"/>
    <w:rsid w:val="00C313FD"/>
    <w:rsid w:val="00C3145E"/>
    <w:rsid w:val="00C315AE"/>
    <w:rsid w:val="00C3160C"/>
    <w:rsid w:val="00C317A7"/>
    <w:rsid w:val="00C31812"/>
    <w:rsid w:val="00C31EE1"/>
    <w:rsid w:val="00C32310"/>
    <w:rsid w:val="00C32450"/>
    <w:rsid w:val="00C33431"/>
    <w:rsid w:val="00C3360B"/>
    <w:rsid w:val="00C337A9"/>
    <w:rsid w:val="00C33AEC"/>
    <w:rsid w:val="00C33C71"/>
    <w:rsid w:val="00C341FB"/>
    <w:rsid w:val="00C34263"/>
    <w:rsid w:val="00C34536"/>
    <w:rsid w:val="00C34919"/>
    <w:rsid w:val="00C34CDD"/>
    <w:rsid w:val="00C3536E"/>
    <w:rsid w:val="00C35629"/>
    <w:rsid w:val="00C3608B"/>
    <w:rsid w:val="00C36203"/>
    <w:rsid w:val="00C36B2D"/>
    <w:rsid w:val="00C36E09"/>
    <w:rsid w:val="00C36EAF"/>
    <w:rsid w:val="00C37CDE"/>
    <w:rsid w:val="00C40256"/>
    <w:rsid w:val="00C40C58"/>
    <w:rsid w:val="00C40C6B"/>
    <w:rsid w:val="00C40E91"/>
    <w:rsid w:val="00C410D2"/>
    <w:rsid w:val="00C4116F"/>
    <w:rsid w:val="00C4140D"/>
    <w:rsid w:val="00C416DB"/>
    <w:rsid w:val="00C417CD"/>
    <w:rsid w:val="00C41AFB"/>
    <w:rsid w:val="00C41C08"/>
    <w:rsid w:val="00C42A78"/>
    <w:rsid w:val="00C42C3F"/>
    <w:rsid w:val="00C42EAF"/>
    <w:rsid w:val="00C42FB2"/>
    <w:rsid w:val="00C433BA"/>
    <w:rsid w:val="00C435C8"/>
    <w:rsid w:val="00C437D6"/>
    <w:rsid w:val="00C43AE6"/>
    <w:rsid w:val="00C43C0C"/>
    <w:rsid w:val="00C43E13"/>
    <w:rsid w:val="00C43E4C"/>
    <w:rsid w:val="00C4426C"/>
    <w:rsid w:val="00C4471A"/>
    <w:rsid w:val="00C44A16"/>
    <w:rsid w:val="00C44CC9"/>
    <w:rsid w:val="00C44FD9"/>
    <w:rsid w:val="00C45350"/>
    <w:rsid w:val="00C45DD1"/>
    <w:rsid w:val="00C45FDE"/>
    <w:rsid w:val="00C4601D"/>
    <w:rsid w:val="00C4698B"/>
    <w:rsid w:val="00C46C08"/>
    <w:rsid w:val="00C46FE3"/>
    <w:rsid w:val="00C46FF6"/>
    <w:rsid w:val="00C473E7"/>
    <w:rsid w:val="00C47478"/>
    <w:rsid w:val="00C47BD2"/>
    <w:rsid w:val="00C507C3"/>
    <w:rsid w:val="00C50868"/>
    <w:rsid w:val="00C50DFC"/>
    <w:rsid w:val="00C51880"/>
    <w:rsid w:val="00C51B1B"/>
    <w:rsid w:val="00C51FA8"/>
    <w:rsid w:val="00C51FF0"/>
    <w:rsid w:val="00C52782"/>
    <w:rsid w:val="00C52D4E"/>
    <w:rsid w:val="00C52F1B"/>
    <w:rsid w:val="00C5300F"/>
    <w:rsid w:val="00C53027"/>
    <w:rsid w:val="00C53EE2"/>
    <w:rsid w:val="00C54256"/>
    <w:rsid w:val="00C54377"/>
    <w:rsid w:val="00C54473"/>
    <w:rsid w:val="00C54549"/>
    <w:rsid w:val="00C54E54"/>
    <w:rsid w:val="00C55A79"/>
    <w:rsid w:val="00C55D94"/>
    <w:rsid w:val="00C568B8"/>
    <w:rsid w:val="00C56938"/>
    <w:rsid w:val="00C57567"/>
    <w:rsid w:val="00C57582"/>
    <w:rsid w:val="00C6017A"/>
    <w:rsid w:val="00C6087E"/>
    <w:rsid w:val="00C608EF"/>
    <w:rsid w:val="00C60CB0"/>
    <w:rsid w:val="00C60FC1"/>
    <w:rsid w:val="00C60FF0"/>
    <w:rsid w:val="00C611A2"/>
    <w:rsid w:val="00C612BB"/>
    <w:rsid w:val="00C612BF"/>
    <w:rsid w:val="00C619EE"/>
    <w:rsid w:val="00C6207E"/>
    <w:rsid w:val="00C625C7"/>
    <w:rsid w:val="00C627D9"/>
    <w:rsid w:val="00C629C9"/>
    <w:rsid w:val="00C6339B"/>
    <w:rsid w:val="00C63770"/>
    <w:rsid w:val="00C644D9"/>
    <w:rsid w:val="00C64784"/>
    <w:rsid w:val="00C64AB1"/>
    <w:rsid w:val="00C64AD8"/>
    <w:rsid w:val="00C64FAE"/>
    <w:rsid w:val="00C65320"/>
    <w:rsid w:val="00C65CEF"/>
    <w:rsid w:val="00C65E02"/>
    <w:rsid w:val="00C66344"/>
    <w:rsid w:val="00C66679"/>
    <w:rsid w:val="00C66D4A"/>
    <w:rsid w:val="00C66E0E"/>
    <w:rsid w:val="00C674F7"/>
    <w:rsid w:val="00C67955"/>
    <w:rsid w:val="00C70074"/>
    <w:rsid w:val="00C70244"/>
    <w:rsid w:val="00C70341"/>
    <w:rsid w:val="00C70438"/>
    <w:rsid w:val="00C7089C"/>
    <w:rsid w:val="00C70918"/>
    <w:rsid w:val="00C70972"/>
    <w:rsid w:val="00C70EE7"/>
    <w:rsid w:val="00C716CF"/>
    <w:rsid w:val="00C71730"/>
    <w:rsid w:val="00C717CD"/>
    <w:rsid w:val="00C719A4"/>
    <w:rsid w:val="00C71AC2"/>
    <w:rsid w:val="00C725B9"/>
    <w:rsid w:val="00C726D0"/>
    <w:rsid w:val="00C72AE3"/>
    <w:rsid w:val="00C72F13"/>
    <w:rsid w:val="00C73402"/>
    <w:rsid w:val="00C735A2"/>
    <w:rsid w:val="00C73645"/>
    <w:rsid w:val="00C736A3"/>
    <w:rsid w:val="00C739BB"/>
    <w:rsid w:val="00C73D07"/>
    <w:rsid w:val="00C74144"/>
    <w:rsid w:val="00C745D7"/>
    <w:rsid w:val="00C74865"/>
    <w:rsid w:val="00C75196"/>
    <w:rsid w:val="00C75391"/>
    <w:rsid w:val="00C755C8"/>
    <w:rsid w:val="00C7584E"/>
    <w:rsid w:val="00C758E0"/>
    <w:rsid w:val="00C75A25"/>
    <w:rsid w:val="00C75B05"/>
    <w:rsid w:val="00C76125"/>
    <w:rsid w:val="00C76971"/>
    <w:rsid w:val="00C76C64"/>
    <w:rsid w:val="00C76D24"/>
    <w:rsid w:val="00C76DBB"/>
    <w:rsid w:val="00C76F63"/>
    <w:rsid w:val="00C7702A"/>
    <w:rsid w:val="00C770C5"/>
    <w:rsid w:val="00C771F7"/>
    <w:rsid w:val="00C773C8"/>
    <w:rsid w:val="00C77404"/>
    <w:rsid w:val="00C77707"/>
    <w:rsid w:val="00C777C4"/>
    <w:rsid w:val="00C8001E"/>
    <w:rsid w:val="00C807B9"/>
    <w:rsid w:val="00C80A25"/>
    <w:rsid w:val="00C80F34"/>
    <w:rsid w:val="00C8127C"/>
    <w:rsid w:val="00C817AF"/>
    <w:rsid w:val="00C817D1"/>
    <w:rsid w:val="00C81DB4"/>
    <w:rsid w:val="00C81DF7"/>
    <w:rsid w:val="00C8240C"/>
    <w:rsid w:val="00C8242E"/>
    <w:rsid w:val="00C82758"/>
    <w:rsid w:val="00C828F3"/>
    <w:rsid w:val="00C82930"/>
    <w:rsid w:val="00C82A83"/>
    <w:rsid w:val="00C82A8A"/>
    <w:rsid w:val="00C82D33"/>
    <w:rsid w:val="00C8301A"/>
    <w:rsid w:val="00C832CE"/>
    <w:rsid w:val="00C83E34"/>
    <w:rsid w:val="00C83E74"/>
    <w:rsid w:val="00C83F15"/>
    <w:rsid w:val="00C84054"/>
    <w:rsid w:val="00C84687"/>
    <w:rsid w:val="00C84FF2"/>
    <w:rsid w:val="00C85046"/>
    <w:rsid w:val="00C8531E"/>
    <w:rsid w:val="00C853A9"/>
    <w:rsid w:val="00C855FB"/>
    <w:rsid w:val="00C8572E"/>
    <w:rsid w:val="00C85B6C"/>
    <w:rsid w:val="00C85E1F"/>
    <w:rsid w:val="00C8604B"/>
    <w:rsid w:val="00C86BFE"/>
    <w:rsid w:val="00C86C72"/>
    <w:rsid w:val="00C86D8A"/>
    <w:rsid w:val="00C873ED"/>
    <w:rsid w:val="00C87F73"/>
    <w:rsid w:val="00C87F8D"/>
    <w:rsid w:val="00C900B0"/>
    <w:rsid w:val="00C90164"/>
    <w:rsid w:val="00C9019E"/>
    <w:rsid w:val="00C90231"/>
    <w:rsid w:val="00C9080B"/>
    <w:rsid w:val="00C90C4C"/>
    <w:rsid w:val="00C90D8A"/>
    <w:rsid w:val="00C90EF9"/>
    <w:rsid w:val="00C9101A"/>
    <w:rsid w:val="00C9108F"/>
    <w:rsid w:val="00C91749"/>
    <w:rsid w:val="00C92444"/>
    <w:rsid w:val="00C9268D"/>
    <w:rsid w:val="00C92714"/>
    <w:rsid w:val="00C9286B"/>
    <w:rsid w:val="00C92949"/>
    <w:rsid w:val="00C92AB1"/>
    <w:rsid w:val="00C92B1A"/>
    <w:rsid w:val="00C9312F"/>
    <w:rsid w:val="00C933D8"/>
    <w:rsid w:val="00C933EF"/>
    <w:rsid w:val="00C93DE5"/>
    <w:rsid w:val="00C93E91"/>
    <w:rsid w:val="00C94024"/>
    <w:rsid w:val="00C9476C"/>
    <w:rsid w:val="00C94AD2"/>
    <w:rsid w:val="00C950CA"/>
    <w:rsid w:val="00C958E9"/>
    <w:rsid w:val="00C95BFF"/>
    <w:rsid w:val="00C95E24"/>
    <w:rsid w:val="00C95ED6"/>
    <w:rsid w:val="00C95FCC"/>
    <w:rsid w:val="00C975CA"/>
    <w:rsid w:val="00CA0D5F"/>
    <w:rsid w:val="00CA132A"/>
    <w:rsid w:val="00CA1379"/>
    <w:rsid w:val="00CA14DE"/>
    <w:rsid w:val="00CA1B03"/>
    <w:rsid w:val="00CA1DCF"/>
    <w:rsid w:val="00CA1FB0"/>
    <w:rsid w:val="00CA24D1"/>
    <w:rsid w:val="00CA27A0"/>
    <w:rsid w:val="00CA2A4A"/>
    <w:rsid w:val="00CA2E1D"/>
    <w:rsid w:val="00CA324D"/>
    <w:rsid w:val="00CA39CC"/>
    <w:rsid w:val="00CA3B60"/>
    <w:rsid w:val="00CA4743"/>
    <w:rsid w:val="00CA48B2"/>
    <w:rsid w:val="00CA4B38"/>
    <w:rsid w:val="00CA4F40"/>
    <w:rsid w:val="00CA5A8C"/>
    <w:rsid w:val="00CA6014"/>
    <w:rsid w:val="00CA6529"/>
    <w:rsid w:val="00CA6568"/>
    <w:rsid w:val="00CA65FC"/>
    <w:rsid w:val="00CA6B6A"/>
    <w:rsid w:val="00CA708B"/>
    <w:rsid w:val="00CA735E"/>
    <w:rsid w:val="00CA73DD"/>
    <w:rsid w:val="00CA7931"/>
    <w:rsid w:val="00CA7D8A"/>
    <w:rsid w:val="00CB0599"/>
    <w:rsid w:val="00CB0FFE"/>
    <w:rsid w:val="00CB10A6"/>
    <w:rsid w:val="00CB1162"/>
    <w:rsid w:val="00CB138F"/>
    <w:rsid w:val="00CB13E0"/>
    <w:rsid w:val="00CB171C"/>
    <w:rsid w:val="00CB185B"/>
    <w:rsid w:val="00CB1AD6"/>
    <w:rsid w:val="00CB1B42"/>
    <w:rsid w:val="00CB1C35"/>
    <w:rsid w:val="00CB2197"/>
    <w:rsid w:val="00CB248C"/>
    <w:rsid w:val="00CB254E"/>
    <w:rsid w:val="00CB25B9"/>
    <w:rsid w:val="00CB3705"/>
    <w:rsid w:val="00CB3934"/>
    <w:rsid w:val="00CB4046"/>
    <w:rsid w:val="00CB43FA"/>
    <w:rsid w:val="00CB4EF9"/>
    <w:rsid w:val="00CB50C5"/>
    <w:rsid w:val="00CB5A89"/>
    <w:rsid w:val="00CB5B31"/>
    <w:rsid w:val="00CB5BE7"/>
    <w:rsid w:val="00CB64D1"/>
    <w:rsid w:val="00CB6533"/>
    <w:rsid w:val="00CB6727"/>
    <w:rsid w:val="00CB6CB0"/>
    <w:rsid w:val="00CB712E"/>
    <w:rsid w:val="00CB7234"/>
    <w:rsid w:val="00CB76B8"/>
    <w:rsid w:val="00CB7703"/>
    <w:rsid w:val="00CB783B"/>
    <w:rsid w:val="00CB7FBA"/>
    <w:rsid w:val="00CC05E6"/>
    <w:rsid w:val="00CC08B5"/>
    <w:rsid w:val="00CC0E6F"/>
    <w:rsid w:val="00CC1189"/>
    <w:rsid w:val="00CC11BB"/>
    <w:rsid w:val="00CC1247"/>
    <w:rsid w:val="00CC1F79"/>
    <w:rsid w:val="00CC23C0"/>
    <w:rsid w:val="00CC23C6"/>
    <w:rsid w:val="00CC24F9"/>
    <w:rsid w:val="00CC2803"/>
    <w:rsid w:val="00CC28D8"/>
    <w:rsid w:val="00CC3489"/>
    <w:rsid w:val="00CC3A68"/>
    <w:rsid w:val="00CC3E3F"/>
    <w:rsid w:val="00CC468B"/>
    <w:rsid w:val="00CC4B5B"/>
    <w:rsid w:val="00CC56AF"/>
    <w:rsid w:val="00CC5F61"/>
    <w:rsid w:val="00CC6423"/>
    <w:rsid w:val="00CC657C"/>
    <w:rsid w:val="00CC68D6"/>
    <w:rsid w:val="00CC6B0C"/>
    <w:rsid w:val="00CC707F"/>
    <w:rsid w:val="00CC727F"/>
    <w:rsid w:val="00CC79CD"/>
    <w:rsid w:val="00CC7CC8"/>
    <w:rsid w:val="00CD06F8"/>
    <w:rsid w:val="00CD0761"/>
    <w:rsid w:val="00CD0AAD"/>
    <w:rsid w:val="00CD0CEE"/>
    <w:rsid w:val="00CD15AC"/>
    <w:rsid w:val="00CD1841"/>
    <w:rsid w:val="00CD1BF1"/>
    <w:rsid w:val="00CD1CEF"/>
    <w:rsid w:val="00CD1E42"/>
    <w:rsid w:val="00CD1E74"/>
    <w:rsid w:val="00CD1EB4"/>
    <w:rsid w:val="00CD1F72"/>
    <w:rsid w:val="00CD2A3E"/>
    <w:rsid w:val="00CD2ED3"/>
    <w:rsid w:val="00CD31C1"/>
    <w:rsid w:val="00CD35F1"/>
    <w:rsid w:val="00CD4704"/>
    <w:rsid w:val="00CD4AE1"/>
    <w:rsid w:val="00CD4B3B"/>
    <w:rsid w:val="00CD4C9C"/>
    <w:rsid w:val="00CD5401"/>
    <w:rsid w:val="00CD5716"/>
    <w:rsid w:val="00CD58E8"/>
    <w:rsid w:val="00CD5927"/>
    <w:rsid w:val="00CD6524"/>
    <w:rsid w:val="00CD667B"/>
    <w:rsid w:val="00CD68DD"/>
    <w:rsid w:val="00CD6C24"/>
    <w:rsid w:val="00CD6C94"/>
    <w:rsid w:val="00CD6E13"/>
    <w:rsid w:val="00CD7474"/>
    <w:rsid w:val="00CD7649"/>
    <w:rsid w:val="00CD7715"/>
    <w:rsid w:val="00CD7760"/>
    <w:rsid w:val="00CD794A"/>
    <w:rsid w:val="00CD79F0"/>
    <w:rsid w:val="00CD7B8B"/>
    <w:rsid w:val="00CD7D8E"/>
    <w:rsid w:val="00CE0177"/>
    <w:rsid w:val="00CE04AB"/>
    <w:rsid w:val="00CE0513"/>
    <w:rsid w:val="00CE0578"/>
    <w:rsid w:val="00CE067F"/>
    <w:rsid w:val="00CE073C"/>
    <w:rsid w:val="00CE092A"/>
    <w:rsid w:val="00CE0AAE"/>
    <w:rsid w:val="00CE1374"/>
    <w:rsid w:val="00CE16A7"/>
    <w:rsid w:val="00CE1BB8"/>
    <w:rsid w:val="00CE2746"/>
    <w:rsid w:val="00CE2B04"/>
    <w:rsid w:val="00CE3F20"/>
    <w:rsid w:val="00CE4055"/>
    <w:rsid w:val="00CE4270"/>
    <w:rsid w:val="00CE431C"/>
    <w:rsid w:val="00CE4396"/>
    <w:rsid w:val="00CE4582"/>
    <w:rsid w:val="00CE49FD"/>
    <w:rsid w:val="00CE4E5D"/>
    <w:rsid w:val="00CE4F18"/>
    <w:rsid w:val="00CE51E0"/>
    <w:rsid w:val="00CE5298"/>
    <w:rsid w:val="00CE56DA"/>
    <w:rsid w:val="00CE5803"/>
    <w:rsid w:val="00CE58EB"/>
    <w:rsid w:val="00CE596B"/>
    <w:rsid w:val="00CE5F0A"/>
    <w:rsid w:val="00CE643F"/>
    <w:rsid w:val="00CE681D"/>
    <w:rsid w:val="00CE6A32"/>
    <w:rsid w:val="00CE6CB4"/>
    <w:rsid w:val="00CE78C9"/>
    <w:rsid w:val="00CE7968"/>
    <w:rsid w:val="00CF0805"/>
    <w:rsid w:val="00CF091E"/>
    <w:rsid w:val="00CF0A69"/>
    <w:rsid w:val="00CF0F91"/>
    <w:rsid w:val="00CF10F6"/>
    <w:rsid w:val="00CF1331"/>
    <w:rsid w:val="00CF15AC"/>
    <w:rsid w:val="00CF15E2"/>
    <w:rsid w:val="00CF16E4"/>
    <w:rsid w:val="00CF1969"/>
    <w:rsid w:val="00CF1E7E"/>
    <w:rsid w:val="00CF1F4A"/>
    <w:rsid w:val="00CF26A8"/>
    <w:rsid w:val="00CF3127"/>
    <w:rsid w:val="00CF35B2"/>
    <w:rsid w:val="00CF38D4"/>
    <w:rsid w:val="00CF3AB9"/>
    <w:rsid w:val="00CF3C86"/>
    <w:rsid w:val="00CF467B"/>
    <w:rsid w:val="00CF472E"/>
    <w:rsid w:val="00CF48D0"/>
    <w:rsid w:val="00CF4D1E"/>
    <w:rsid w:val="00CF4D48"/>
    <w:rsid w:val="00CF50F7"/>
    <w:rsid w:val="00CF54F3"/>
    <w:rsid w:val="00CF5593"/>
    <w:rsid w:val="00CF5672"/>
    <w:rsid w:val="00CF5C9C"/>
    <w:rsid w:val="00CF5CAF"/>
    <w:rsid w:val="00CF5DEA"/>
    <w:rsid w:val="00CF5F7A"/>
    <w:rsid w:val="00CF60B2"/>
    <w:rsid w:val="00CF648A"/>
    <w:rsid w:val="00CF664A"/>
    <w:rsid w:val="00CF6BB9"/>
    <w:rsid w:val="00CF6DD6"/>
    <w:rsid w:val="00CF71A5"/>
    <w:rsid w:val="00CF79F1"/>
    <w:rsid w:val="00CF7CD8"/>
    <w:rsid w:val="00D00CED"/>
    <w:rsid w:val="00D00FDE"/>
    <w:rsid w:val="00D014F1"/>
    <w:rsid w:val="00D01C8F"/>
    <w:rsid w:val="00D022D6"/>
    <w:rsid w:val="00D026EE"/>
    <w:rsid w:val="00D02876"/>
    <w:rsid w:val="00D028EB"/>
    <w:rsid w:val="00D029E9"/>
    <w:rsid w:val="00D02EBA"/>
    <w:rsid w:val="00D0316E"/>
    <w:rsid w:val="00D032E3"/>
    <w:rsid w:val="00D03342"/>
    <w:rsid w:val="00D034A8"/>
    <w:rsid w:val="00D03563"/>
    <w:rsid w:val="00D035C3"/>
    <w:rsid w:val="00D038CF"/>
    <w:rsid w:val="00D03F31"/>
    <w:rsid w:val="00D045FD"/>
    <w:rsid w:val="00D04AE4"/>
    <w:rsid w:val="00D04B78"/>
    <w:rsid w:val="00D0626B"/>
    <w:rsid w:val="00D06446"/>
    <w:rsid w:val="00D0774F"/>
    <w:rsid w:val="00D07DA6"/>
    <w:rsid w:val="00D10303"/>
    <w:rsid w:val="00D103E0"/>
    <w:rsid w:val="00D1060F"/>
    <w:rsid w:val="00D1140B"/>
    <w:rsid w:val="00D11757"/>
    <w:rsid w:val="00D11823"/>
    <w:rsid w:val="00D118F2"/>
    <w:rsid w:val="00D119B1"/>
    <w:rsid w:val="00D11E27"/>
    <w:rsid w:val="00D12371"/>
    <w:rsid w:val="00D12D32"/>
    <w:rsid w:val="00D12E0E"/>
    <w:rsid w:val="00D12F07"/>
    <w:rsid w:val="00D132C3"/>
    <w:rsid w:val="00D13444"/>
    <w:rsid w:val="00D13573"/>
    <w:rsid w:val="00D13887"/>
    <w:rsid w:val="00D13E24"/>
    <w:rsid w:val="00D13EEC"/>
    <w:rsid w:val="00D14269"/>
    <w:rsid w:val="00D14494"/>
    <w:rsid w:val="00D1452D"/>
    <w:rsid w:val="00D148D1"/>
    <w:rsid w:val="00D149AD"/>
    <w:rsid w:val="00D14CD4"/>
    <w:rsid w:val="00D15416"/>
    <w:rsid w:val="00D159F8"/>
    <w:rsid w:val="00D161C1"/>
    <w:rsid w:val="00D1637D"/>
    <w:rsid w:val="00D16592"/>
    <w:rsid w:val="00D166EC"/>
    <w:rsid w:val="00D16CC4"/>
    <w:rsid w:val="00D1713A"/>
    <w:rsid w:val="00D171C8"/>
    <w:rsid w:val="00D177DE"/>
    <w:rsid w:val="00D17AFC"/>
    <w:rsid w:val="00D17CFB"/>
    <w:rsid w:val="00D17CFC"/>
    <w:rsid w:val="00D17D1E"/>
    <w:rsid w:val="00D2009D"/>
    <w:rsid w:val="00D201DD"/>
    <w:rsid w:val="00D20486"/>
    <w:rsid w:val="00D2051D"/>
    <w:rsid w:val="00D20822"/>
    <w:rsid w:val="00D2110E"/>
    <w:rsid w:val="00D211EE"/>
    <w:rsid w:val="00D21842"/>
    <w:rsid w:val="00D21A98"/>
    <w:rsid w:val="00D21D35"/>
    <w:rsid w:val="00D21D89"/>
    <w:rsid w:val="00D220D7"/>
    <w:rsid w:val="00D22287"/>
    <w:rsid w:val="00D22567"/>
    <w:rsid w:val="00D226B9"/>
    <w:rsid w:val="00D23437"/>
    <w:rsid w:val="00D2381C"/>
    <w:rsid w:val="00D23842"/>
    <w:rsid w:val="00D23A94"/>
    <w:rsid w:val="00D23EC1"/>
    <w:rsid w:val="00D23F38"/>
    <w:rsid w:val="00D242E3"/>
    <w:rsid w:val="00D24346"/>
    <w:rsid w:val="00D244E1"/>
    <w:rsid w:val="00D2459A"/>
    <w:rsid w:val="00D246CC"/>
    <w:rsid w:val="00D24774"/>
    <w:rsid w:val="00D248D9"/>
    <w:rsid w:val="00D24B50"/>
    <w:rsid w:val="00D24CD7"/>
    <w:rsid w:val="00D24D7B"/>
    <w:rsid w:val="00D2502F"/>
    <w:rsid w:val="00D25100"/>
    <w:rsid w:val="00D25450"/>
    <w:rsid w:val="00D25F3E"/>
    <w:rsid w:val="00D2632F"/>
    <w:rsid w:val="00D2654F"/>
    <w:rsid w:val="00D26A63"/>
    <w:rsid w:val="00D26C87"/>
    <w:rsid w:val="00D26CD4"/>
    <w:rsid w:val="00D26D53"/>
    <w:rsid w:val="00D27131"/>
    <w:rsid w:val="00D27908"/>
    <w:rsid w:val="00D27A6A"/>
    <w:rsid w:val="00D300F7"/>
    <w:rsid w:val="00D30336"/>
    <w:rsid w:val="00D30394"/>
    <w:rsid w:val="00D30796"/>
    <w:rsid w:val="00D31BBD"/>
    <w:rsid w:val="00D32104"/>
    <w:rsid w:val="00D329A0"/>
    <w:rsid w:val="00D32CE1"/>
    <w:rsid w:val="00D32E58"/>
    <w:rsid w:val="00D32EED"/>
    <w:rsid w:val="00D33010"/>
    <w:rsid w:val="00D330F1"/>
    <w:rsid w:val="00D33362"/>
    <w:rsid w:val="00D334CD"/>
    <w:rsid w:val="00D33534"/>
    <w:rsid w:val="00D3395C"/>
    <w:rsid w:val="00D34412"/>
    <w:rsid w:val="00D34AE4"/>
    <w:rsid w:val="00D34D6B"/>
    <w:rsid w:val="00D34FF5"/>
    <w:rsid w:val="00D35572"/>
    <w:rsid w:val="00D35628"/>
    <w:rsid w:val="00D359FC"/>
    <w:rsid w:val="00D35BAA"/>
    <w:rsid w:val="00D36072"/>
    <w:rsid w:val="00D360E3"/>
    <w:rsid w:val="00D36122"/>
    <w:rsid w:val="00D36506"/>
    <w:rsid w:val="00D36DCC"/>
    <w:rsid w:val="00D36F7A"/>
    <w:rsid w:val="00D37397"/>
    <w:rsid w:val="00D3756A"/>
    <w:rsid w:val="00D375DA"/>
    <w:rsid w:val="00D377AE"/>
    <w:rsid w:val="00D400D8"/>
    <w:rsid w:val="00D404B1"/>
    <w:rsid w:val="00D4113F"/>
    <w:rsid w:val="00D4119C"/>
    <w:rsid w:val="00D412B3"/>
    <w:rsid w:val="00D41378"/>
    <w:rsid w:val="00D41417"/>
    <w:rsid w:val="00D41616"/>
    <w:rsid w:val="00D41FE1"/>
    <w:rsid w:val="00D42A30"/>
    <w:rsid w:val="00D42A8E"/>
    <w:rsid w:val="00D42B1F"/>
    <w:rsid w:val="00D42CD9"/>
    <w:rsid w:val="00D42D2A"/>
    <w:rsid w:val="00D42DD3"/>
    <w:rsid w:val="00D438E1"/>
    <w:rsid w:val="00D43988"/>
    <w:rsid w:val="00D43A7E"/>
    <w:rsid w:val="00D43AC4"/>
    <w:rsid w:val="00D43B0E"/>
    <w:rsid w:val="00D44448"/>
    <w:rsid w:val="00D44869"/>
    <w:rsid w:val="00D44B46"/>
    <w:rsid w:val="00D44BDE"/>
    <w:rsid w:val="00D44E88"/>
    <w:rsid w:val="00D45B50"/>
    <w:rsid w:val="00D45CA8"/>
    <w:rsid w:val="00D46109"/>
    <w:rsid w:val="00D46280"/>
    <w:rsid w:val="00D46673"/>
    <w:rsid w:val="00D4670C"/>
    <w:rsid w:val="00D4692A"/>
    <w:rsid w:val="00D46B49"/>
    <w:rsid w:val="00D46C3C"/>
    <w:rsid w:val="00D46D0E"/>
    <w:rsid w:val="00D46E71"/>
    <w:rsid w:val="00D4707E"/>
    <w:rsid w:val="00D4721D"/>
    <w:rsid w:val="00D47867"/>
    <w:rsid w:val="00D47D6E"/>
    <w:rsid w:val="00D47E2C"/>
    <w:rsid w:val="00D47EAF"/>
    <w:rsid w:val="00D504F6"/>
    <w:rsid w:val="00D50C02"/>
    <w:rsid w:val="00D50E7A"/>
    <w:rsid w:val="00D51284"/>
    <w:rsid w:val="00D512EA"/>
    <w:rsid w:val="00D51552"/>
    <w:rsid w:val="00D51801"/>
    <w:rsid w:val="00D51B27"/>
    <w:rsid w:val="00D51F4A"/>
    <w:rsid w:val="00D5227E"/>
    <w:rsid w:val="00D52583"/>
    <w:rsid w:val="00D52D7F"/>
    <w:rsid w:val="00D52F8D"/>
    <w:rsid w:val="00D52FF8"/>
    <w:rsid w:val="00D53034"/>
    <w:rsid w:val="00D532F5"/>
    <w:rsid w:val="00D5331B"/>
    <w:rsid w:val="00D54373"/>
    <w:rsid w:val="00D545E9"/>
    <w:rsid w:val="00D547BC"/>
    <w:rsid w:val="00D54E43"/>
    <w:rsid w:val="00D54F28"/>
    <w:rsid w:val="00D54FCC"/>
    <w:rsid w:val="00D55023"/>
    <w:rsid w:val="00D5522A"/>
    <w:rsid w:val="00D5529D"/>
    <w:rsid w:val="00D554E0"/>
    <w:rsid w:val="00D559DA"/>
    <w:rsid w:val="00D55A05"/>
    <w:rsid w:val="00D55D24"/>
    <w:rsid w:val="00D55DDA"/>
    <w:rsid w:val="00D564A9"/>
    <w:rsid w:val="00D564EF"/>
    <w:rsid w:val="00D5676E"/>
    <w:rsid w:val="00D56CC4"/>
    <w:rsid w:val="00D56DB7"/>
    <w:rsid w:val="00D56F64"/>
    <w:rsid w:val="00D5709F"/>
    <w:rsid w:val="00D570FB"/>
    <w:rsid w:val="00D57447"/>
    <w:rsid w:val="00D57A21"/>
    <w:rsid w:val="00D605C1"/>
    <w:rsid w:val="00D60E3C"/>
    <w:rsid w:val="00D60FDA"/>
    <w:rsid w:val="00D613B2"/>
    <w:rsid w:val="00D613BF"/>
    <w:rsid w:val="00D6199A"/>
    <w:rsid w:val="00D61A9F"/>
    <w:rsid w:val="00D61EDD"/>
    <w:rsid w:val="00D628AF"/>
    <w:rsid w:val="00D6294B"/>
    <w:rsid w:val="00D62AF3"/>
    <w:rsid w:val="00D630BA"/>
    <w:rsid w:val="00D6353D"/>
    <w:rsid w:val="00D6357C"/>
    <w:rsid w:val="00D636CF"/>
    <w:rsid w:val="00D6429C"/>
    <w:rsid w:val="00D642D7"/>
    <w:rsid w:val="00D64490"/>
    <w:rsid w:val="00D64508"/>
    <w:rsid w:val="00D64A3D"/>
    <w:rsid w:val="00D65D91"/>
    <w:rsid w:val="00D662EE"/>
    <w:rsid w:val="00D66331"/>
    <w:rsid w:val="00D665DB"/>
    <w:rsid w:val="00D66697"/>
    <w:rsid w:val="00D66772"/>
    <w:rsid w:val="00D66ECC"/>
    <w:rsid w:val="00D66EDC"/>
    <w:rsid w:val="00D6751B"/>
    <w:rsid w:val="00D67684"/>
    <w:rsid w:val="00D67A3F"/>
    <w:rsid w:val="00D67ACA"/>
    <w:rsid w:val="00D67EA8"/>
    <w:rsid w:val="00D67F69"/>
    <w:rsid w:val="00D70737"/>
    <w:rsid w:val="00D70E58"/>
    <w:rsid w:val="00D71103"/>
    <w:rsid w:val="00D71DA3"/>
    <w:rsid w:val="00D71E5D"/>
    <w:rsid w:val="00D72420"/>
    <w:rsid w:val="00D72551"/>
    <w:rsid w:val="00D725C6"/>
    <w:rsid w:val="00D72748"/>
    <w:rsid w:val="00D72BED"/>
    <w:rsid w:val="00D72DF4"/>
    <w:rsid w:val="00D73302"/>
    <w:rsid w:val="00D7362F"/>
    <w:rsid w:val="00D737AE"/>
    <w:rsid w:val="00D73ADE"/>
    <w:rsid w:val="00D73AF1"/>
    <w:rsid w:val="00D73B41"/>
    <w:rsid w:val="00D73B4A"/>
    <w:rsid w:val="00D74504"/>
    <w:rsid w:val="00D74639"/>
    <w:rsid w:val="00D7490E"/>
    <w:rsid w:val="00D74B6F"/>
    <w:rsid w:val="00D74DAF"/>
    <w:rsid w:val="00D74F04"/>
    <w:rsid w:val="00D7551A"/>
    <w:rsid w:val="00D75BC3"/>
    <w:rsid w:val="00D75ECA"/>
    <w:rsid w:val="00D762C4"/>
    <w:rsid w:val="00D7674B"/>
    <w:rsid w:val="00D76C9F"/>
    <w:rsid w:val="00D76FE2"/>
    <w:rsid w:val="00D7764B"/>
    <w:rsid w:val="00D77EF0"/>
    <w:rsid w:val="00D77F35"/>
    <w:rsid w:val="00D800BC"/>
    <w:rsid w:val="00D8093F"/>
    <w:rsid w:val="00D809B7"/>
    <w:rsid w:val="00D8101C"/>
    <w:rsid w:val="00D810C4"/>
    <w:rsid w:val="00D813B0"/>
    <w:rsid w:val="00D8143E"/>
    <w:rsid w:val="00D81A57"/>
    <w:rsid w:val="00D81D6E"/>
    <w:rsid w:val="00D81FFC"/>
    <w:rsid w:val="00D82A4C"/>
    <w:rsid w:val="00D82E01"/>
    <w:rsid w:val="00D8371D"/>
    <w:rsid w:val="00D83A8B"/>
    <w:rsid w:val="00D83EF5"/>
    <w:rsid w:val="00D84061"/>
    <w:rsid w:val="00D8412D"/>
    <w:rsid w:val="00D844E7"/>
    <w:rsid w:val="00D84736"/>
    <w:rsid w:val="00D8483A"/>
    <w:rsid w:val="00D84FA4"/>
    <w:rsid w:val="00D85083"/>
    <w:rsid w:val="00D851A0"/>
    <w:rsid w:val="00D85683"/>
    <w:rsid w:val="00D85AD4"/>
    <w:rsid w:val="00D8682D"/>
    <w:rsid w:val="00D86B88"/>
    <w:rsid w:val="00D86B8C"/>
    <w:rsid w:val="00D87125"/>
    <w:rsid w:val="00D87145"/>
    <w:rsid w:val="00D87206"/>
    <w:rsid w:val="00D874FB"/>
    <w:rsid w:val="00D87776"/>
    <w:rsid w:val="00D9075A"/>
    <w:rsid w:val="00D908D7"/>
    <w:rsid w:val="00D909AD"/>
    <w:rsid w:val="00D90EC1"/>
    <w:rsid w:val="00D90F8A"/>
    <w:rsid w:val="00D910AE"/>
    <w:rsid w:val="00D91621"/>
    <w:rsid w:val="00D918C7"/>
    <w:rsid w:val="00D91B8F"/>
    <w:rsid w:val="00D92122"/>
    <w:rsid w:val="00D92412"/>
    <w:rsid w:val="00D92CF0"/>
    <w:rsid w:val="00D930F2"/>
    <w:rsid w:val="00D93342"/>
    <w:rsid w:val="00D93415"/>
    <w:rsid w:val="00D9364E"/>
    <w:rsid w:val="00D9434D"/>
    <w:rsid w:val="00D94716"/>
    <w:rsid w:val="00D94D4B"/>
    <w:rsid w:val="00D94E0E"/>
    <w:rsid w:val="00D94F54"/>
    <w:rsid w:val="00D950AF"/>
    <w:rsid w:val="00D9545B"/>
    <w:rsid w:val="00D9553A"/>
    <w:rsid w:val="00D957EB"/>
    <w:rsid w:val="00D95BCF"/>
    <w:rsid w:val="00D95FC2"/>
    <w:rsid w:val="00D961EE"/>
    <w:rsid w:val="00D96F3B"/>
    <w:rsid w:val="00D97035"/>
    <w:rsid w:val="00D97077"/>
    <w:rsid w:val="00D971AA"/>
    <w:rsid w:val="00D97308"/>
    <w:rsid w:val="00D9740F"/>
    <w:rsid w:val="00D97A89"/>
    <w:rsid w:val="00D97BA1"/>
    <w:rsid w:val="00D97D8B"/>
    <w:rsid w:val="00DA095E"/>
    <w:rsid w:val="00DA09FC"/>
    <w:rsid w:val="00DA1779"/>
    <w:rsid w:val="00DA190E"/>
    <w:rsid w:val="00DA1EE5"/>
    <w:rsid w:val="00DA263F"/>
    <w:rsid w:val="00DA2A54"/>
    <w:rsid w:val="00DA2B4B"/>
    <w:rsid w:val="00DA3692"/>
    <w:rsid w:val="00DA3D60"/>
    <w:rsid w:val="00DA4048"/>
    <w:rsid w:val="00DA44CF"/>
    <w:rsid w:val="00DA4578"/>
    <w:rsid w:val="00DA47B9"/>
    <w:rsid w:val="00DA4D1E"/>
    <w:rsid w:val="00DA51F4"/>
    <w:rsid w:val="00DA597A"/>
    <w:rsid w:val="00DA59D2"/>
    <w:rsid w:val="00DA5BD5"/>
    <w:rsid w:val="00DA60CB"/>
    <w:rsid w:val="00DA669D"/>
    <w:rsid w:val="00DA6E2E"/>
    <w:rsid w:val="00DA73EF"/>
    <w:rsid w:val="00DA776F"/>
    <w:rsid w:val="00DA7B84"/>
    <w:rsid w:val="00DB0BE0"/>
    <w:rsid w:val="00DB0E46"/>
    <w:rsid w:val="00DB1749"/>
    <w:rsid w:val="00DB1FEA"/>
    <w:rsid w:val="00DB2A67"/>
    <w:rsid w:val="00DB2B7E"/>
    <w:rsid w:val="00DB328A"/>
    <w:rsid w:val="00DB3386"/>
    <w:rsid w:val="00DB33D2"/>
    <w:rsid w:val="00DB3690"/>
    <w:rsid w:val="00DB36D2"/>
    <w:rsid w:val="00DB4099"/>
    <w:rsid w:val="00DB42F9"/>
    <w:rsid w:val="00DB44A6"/>
    <w:rsid w:val="00DB452C"/>
    <w:rsid w:val="00DB476D"/>
    <w:rsid w:val="00DB47C5"/>
    <w:rsid w:val="00DB4C13"/>
    <w:rsid w:val="00DB4D88"/>
    <w:rsid w:val="00DB53CD"/>
    <w:rsid w:val="00DB553A"/>
    <w:rsid w:val="00DB5719"/>
    <w:rsid w:val="00DB5D19"/>
    <w:rsid w:val="00DB5E4A"/>
    <w:rsid w:val="00DB6042"/>
    <w:rsid w:val="00DB624E"/>
    <w:rsid w:val="00DB646B"/>
    <w:rsid w:val="00DB673F"/>
    <w:rsid w:val="00DB6888"/>
    <w:rsid w:val="00DB6CF5"/>
    <w:rsid w:val="00DB7A4B"/>
    <w:rsid w:val="00DB7AC4"/>
    <w:rsid w:val="00DC02EA"/>
    <w:rsid w:val="00DC0A52"/>
    <w:rsid w:val="00DC0B0A"/>
    <w:rsid w:val="00DC0BDC"/>
    <w:rsid w:val="00DC0E65"/>
    <w:rsid w:val="00DC0F49"/>
    <w:rsid w:val="00DC1103"/>
    <w:rsid w:val="00DC1117"/>
    <w:rsid w:val="00DC1134"/>
    <w:rsid w:val="00DC13E6"/>
    <w:rsid w:val="00DC1CA6"/>
    <w:rsid w:val="00DC20CF"/>
    <w:rsid w:val="00DC224D"/>
    <w:rsid w:val="00DC2259"/>
    <w:rsid w:val="00DC2623"/>
    <w:rsid w:val="00DC2D5F"/>
    <w:rsid w:val="00DC2E59"/>
    <w:rsid w:val="00DC2FC1"/>
    <w:rsid w:val="00DC30AE"/>
    <w:rsid w:val="00DC31CC"/>
    <w:rsid w:val="00DC32E4"/>
    <w:rsid w:val="00DC37FD"/>
    <w:rsid w:val="00DC3A8D"/>
    <w:rsid w:val="00DC3D2E"/>
    <w:rsid w:val="00DC3D34"/>
    <w:rsid w:val="00DC4015"/>
    <w:rsid w:val="00DC4BFD"/>
    <w:rsid w:val="00DC4E22"/>
    <w:rsid w:val="00DC4FE5"/>
    <w:rsid w:val="00DC59AE"/>
    <w:rsid w:val="00DC6153"/>
    <w:rsid w:val="00DC6E61"/>
    <w:rsid w:val="00DC7002"/>
    <w:rsid w:val="00DC76C3"/>
    <w:rsid w:val="00DC77BF"/>
    <w:rsid w:val="00DC7A5D"/>
    <w:rsid w:val="00DC7BDA"/>
    <w:rsid w:val="00DC7E69"/>
    <w:rsid w:val="00DC7F61"/>
    <w:rsid w:val="00DC7FC9"/>
    <w:rsid w:val="00DD02C0"/>
    <w:rsid w:val="00DD0DCC"/>
    <w:rsid w:val="00DD17CE"/>
    <w:rsid w:val="00DD1B83"/>
    <w:rsid w:val="00DD1EC6"/>
    <w:rsid w:val="00DD239F"/>
    <w:rsid w:val="00DD2821"/>
    <w:rsid w:val="00DD287C"/>
    <w:rsid w:val="00DD2BAF"/>
    <w:rsid w:val="00DD2E32"/>
    <w:rsid w:val="00DD3308"/>
    <w:rsid w:val="00DD3316"/>
    <w:rsid w:val="00DD3593"/>
    <w:rsid w:val="00DD36A1"/>
    <w:rsid w:val="00DD38FE"/>
    <w:rsid w:val="00DD3BB8"/>
    <w:rsid w:val="00DD40BA"/>
    <w:rsid w:val="00DD40D7"/>
    <w:rsid w:val="00DD414F"/>
    <w:rsid w:val="00DD42D8"/>
    <w:rsid w:val="00DD460E"/>
    <w:rsid w:val="00DD48AF"/>
    <w:rsid w:val="00DD4CD0"/>
    <w:rsid w:val="00DD4F5E"/>
    <w:rsid w:val="00DD5286"/>
    <w:rsid w:val="00DD5ADD"/>
    <w:rsid w:val="00DD5E57"/>
    <w:rsid w:val="00DD606B"/>
    <w:rsid w:val="00DD6DFD"/>
    <w:rsid w:val="00DD6E32"/>
    <w:rsid w:val="00DD70A2"/>
    <w:rsid w:val="00DD7695"/>
    <w:rsid w:val="00DE02B8"/>
    <w:rsid w:val="00DE02BE"/>
    <w:rsid w:val="00DE146E"/>
    <w:rsid w:val="00DE192E"/>
    <w:rsid w:val="00DE1B0C"/>
    <w:rsid w:val="00DE2364"/>
    <w:rsid w:val="00DE2B78"/>
    <w:rsid w:val="00DE3385"/>
    <w:rsid w:val="00DE340E"/>
    <w:rsid w:val="00DE3554"/>
    <w:rsid w:val="00DE3609"/>
    <w:rsid w:val="00DE38A1"/>
    <w:rsid w:val="00DE4502"/>
    <w:rsid w:val="00DE4638"/>
    <w:rsid w:val="00DE4651"/>
    <w:rsid w:val="00DE4983"/>
    <w:rsid w:val="00DE4E56"/>
    <w:rsid w:val="00DE5501"/>
    <w:rsid w:val="00DE6149"/>
    <w:rsid w:val="00DE6569"/>
    <w:rsid w:val="00DE66D7"/>
    <w:rsid w:val="00DE6A04"/>
    <w:rsid w:val="00DE6AAE"/>
    <w:rsid w:val="00DE6CE0"/>
    <w:rsid w:val="00DE7265"/>
    <w:rsid w:val="00DE7525"/>
    <w:rsid w:val="00DE78F2"/>
    <w:rsid w:val="00DE7BDC"/>
    <w:rsid w:val="00DF048D"/>
    <w:rsid w:val="00DF1251"/>
    <w:rsid w:val="00DF1298"/>
    <w:rsid w:val="00DF13AC"/>
    <w:rsid w:val="00DF16EB"/>
    <w:rsid w:val="00DF1791"/>
    <w:rsid w:val="00DF1AD3"/>
    <w:rsid w:val="00DF1C8D"/>
    <w:rsid w:val="00DF22C0"/>
    <w:rsid w:val="00DF2353"/>
    <w:rsid w:val="00DF28EB"/>
    <w:rsid w:val="00DF2C54"/>
    <w:rsid w:val="00DF3837"/>
    <w:rsid w:val="00DF3AB2"/>
    <w:rsid w:val="00DF49D8"/>
    <w:rsid w:val="00DF6677"/>
    <w:rsid w:val="00DF6FBC"/>
    <w:rsid w:val="00DF71BB"/>
    <w:rsid w:val="00DF78B2"/>
    <w:rsid w:val="00DF7BEA"/>
    <w:rsid w:val="00DF7DD5"/>
    <w:rsid w:val="00DF7ED4"/>
    <w:rsid w:val="00E0004C"/>
    <w:rsid w:val="00E0054D"/>
    <w:rsid w:val="00E00868"/>
    <w:rsid w:val="00E00898"/>
    <w:rsid w:val="00E01CB2"/>
    <w:rsid w:val="00E01D44"/>
    <w:rsid w:val="00E01DD2"/>
    <w:rsid w:val="00E020A9"/>
    <w:rsid w:val="00E023F7"/>
    <w:rsid w:val="00E02546"/>
    <w:rsid w:val="00E0272B"/>
    <w:rsid w:val="00E0274F"/>
    <w:rsid w:val="00E02CFF"/>
    <w:rsid w:val="00E02E2F"/>
    <w:rsid w:val="00E03343"/>
    <w:rsid w:val="00E03938"/>
    <w:rsid w:val="00E03CBD"/>
    <w:rsid w:val="00E03E89"/>
    <w:rsid w:val="00E04877"/>
    <w:rsid w:val="00E04C45"/>
    <w:rsid w:val="00E04D1C"/>
    <w:rsid w:val="00E05681"/>
    <w:rsid w:val="00E0576B"/>
    <w:rsid w:val="00E058EB"/>
    <w:rsid w:val="00E05A89"/>
    <w:rsid w:val="00E05FA9"/>
    <w:rsid w:val="00E0628E"/>
    <w:rsid w:val="00E06460"/>
    <w:rsid w:val="00E06826"/>
    <w:rsid w:val="00E0689E"/>
    <w:rsid w:val="00E0717C"/>
    <w:rsid w:val="00E073CF"/>
    <w:rsid w:val="00E07844"/>
    <w:rsid w:val="00E07A6C"/>
    <w:rsid w:val="00E07BA5"/>
    <w:rsid w:val="00E07F31"/>
    <w:rsid w:val="00E07FA0"/>
    <w:rsid w:val="00E103E5"/>
    <w:rsid w:val="00E10C42"/>
    <w:rsid w:val="00E10FC4"/>
    <w:rsid w:val="00E1132A"/>
    <w:rsid w:val="00E11370"/>
    <w:rsid w:val="00E114C0"/>
    <w:rsid w:val="00E11C13"/>
    <w:rsid w:val="00E11DB1"/>
    <w:rsid w:val="00E11F04"/>
    <w:rsid w:val="00E12535"/>
    <w:rsid w:val="00E12D4A"/>
    <w:rsid w:val="00E12D89"/>
    <w:rsid w:val="00E13167"/>
    <w:rsid w:val="00E132D0"/>
    <w:rsid w:val="00E1340B"/>
    <w:rsid w:val="00E13999"/>
    <w:rsid w:val="00E13EF3"/>
    <w:rsid w:val="00E14108"/>
    <w:rsid w:val="00E14793"/>
    <w:rsid w:val="00E1493B"/>
    <w:rsid w:val="00E149D3"/>
    <w:rsid w:val="00E14DD8"/>
    <w:rsid w:val="00E14EE9"/>
    <w:rsid w:val="00E14F62"/>
    <w:rsid w:val="00E15082"/>
    <w:rsid w:val="00E15217"/>
    <w:rsid w:val="00E15282"/>
    <w:rsid w:val="00E1557E"/>
    <w:rsid w:val="00E1590A"/>
    <w:rsid w:val="00E15917"/>
    <w:rsid w:val="00E15F3D"/>
    <w:rsid w:val="00E160AD"/>
    <w:rsid w:val="00E161AD"/>
    <w:rsid w:val="00E162FF"/>
    <w:rsid w:val="00E1670B"/>
    <w:rsid w:val="00E167DB"/>
    <w:rsid w:val="00E16819"/>
    <w:rsid w:val="00E16B82"/>
    <w:rsid w:val="00E16D18"/>
    <w:rsid w:val="00E16E3C"/>
    <w:rsid w:val="00E17050"/>
    <w:rsid w:val="00E17096"/>
    <w:rsid w:val="00E174F3"/>
    <w:rsid w:val="00E17DB2"/>
    <w:rsid w:val="00E17F53"/>
    <w:rsid w:val="00E211FF"/>
    <w:rsid w:val="00E21463"/>
    <w:rsid w:val="00E21479"/>
    <w:rsid w:val="00E21BA1"/>
    <w:rsid w:val="00E21DB7"/>
    <w:rsid w:val="00E2256E"/>
    <w:rsid w:val="00E23C14"/>
    <w:rsid w:val="00E24195"/>
    <w:rsid w:val="00E24224"/>
    <w:rsid w:val="00E24567"/>
    <w:rsid w:val="00E25124"/>
    <w:rsid w:val="00E2519A"/>
    <w:rsid w:val="00E25239"/>
    <w:rsid w:val="00E25A4F"/>
    <w:rsid w:val="00E25EEA"/>
    <w:rsid w:val="00E261F8"/>
    <w:rsid w:val="00E2664B"/>
    <w:rsid w:val="00E268EB"/>
    <w:rsid w:val="00E26973"/>
    <w:rsid w:val="00E26B79"/>
    <w:rsid w:val="00E26E57"/>
    <w:rsid w:val="00E270CF"/>
    <w:rsid w:val="00E27467"/>
    <w:rsid w:val="00E277B5"/>
    <w:rsid w:val="00E27B46"/>
    <w:rsid w:val="00E30261"/>
    <w:rsid w:val="00E302E2"/>
    <w:rsid w:val="00E303A9"/>
    <w:rsid w:val="00E3043D"/>
    <w:rsid w:val="00E30560"/>
    <w:rsid w:val="00E30628"/>
    <w:rsid w:val="00E30883"/>
    <w:rsid w:val="00E31251"/>
    <w:rsid w:val="00E31476"/>
    <w:rsid w:val="00E32231"/>
    <w:rsid w:val="00E324AD"/>
    <w:rsid w:val="00E32C6C"/>
    <w:rsid w:val="00E32F9A"/>
    <w:rsid w:val="00E333C5"/>
    <w:rsid w:val="00E333FB"/>
    <w:rsid w:val="00E3342D"/>
    <w:rsid w:val="00E33683"/>
    <w:rsid w:val="00E33734"/>
    <w:rsid w:val="00E33C47"/>
    <w:rsid w:val="00E33C7F"/>
    <w:rsid w:val="00E33EE3"/>
    <w:rsid w:val="00E3440F"/>
    <w:rsid w:val="00E34551"/>
    <w:rsid w:val="00E347F0"/>
    <w:rsid w:val="00E35085"/>
    <w:rsid w:val="00E35094"/>
    <w:rsid w:val="00E35693"/>
    <w:rsid w:val="00E356FF"/>
    <w:rsid w:val="00E3584D"/>
    <w:rsid w:val="00E36CFA"/>
    <w:rsid w:val="00E36EB2"/>
    <w:rsid w:val="00E36F56"/>
    <w:rsid w:val="00E370E4"/>
    <w:rsid w:val="00E377A0"/>
    <w:rsid w:val="00E4060A"/>
    <w:rsid w:val="00E4083B"/>
    <w:rsid w:val="00E40AEB"/>
    <w:rsid w:val="00E40F9D"/>
    <w:rsid w:val="00E41017"/>
    <w:rsid w:val="00E411FE"/>
    <w:rsid w:val="00E4122C"/>
    <w:rsid w:val="00E417D0"/>
    <w:rsid w:val="00E41864"/>
    <w:rsid w:val="00E418F1"/>
    <w:rsid w:val="00E41DA9"/>
    <w:rsid w:val="00E41F07"/>
    <w:rsid w:val="00E41F93"/>
    <w:rsid w:val="00E422C4"/>
    <w:rsid w:val="00E429EC"/>
    <w:rsid w:val="00E42BA3"/>
    <w:rsid w:val="00E43330"/>
    <w:rsid w:val="00E4341C"/>
    <w:rsid w:val="00E43634"/>
    <w:rsid w:val="00E43666"/>
    <w:rsid w:val="00E43826"/>
    <w:rsid w:val="00E439F8"/>
    <w:rsid w:val="00E43AD8"/>
    <w:rsid w:val="00E43DC4"/>
    <w:rsid w:val="00E43DF0"/>
    <w:rsid w:val="00E440AE"/>
    <w:rsid w:val="00E4431C"/>
    <w:rsid w:val="00E44672"/>
    <w:rsid w:val="00E4494D"/>
    <w:rsid w:val="00E449F6"/>
    <w:rsid w:val="00E44CD4"/>
    <w:rsid w:val="00E450A6"/>
    <w:rsid w:val="00E455AB"/>
    <w:rsid w:val="00E458BD"/>
    <w:rsid w:val="00E45B91"/>
    <w:rsid w:val="00E467D5"/>
    <w:rsid w:val="00E46B50"/>
    <w:rsid w:val="00E46B92"/>
    <w:rsid w:val="00E46C57"/>
    <w:rsid w:val="00E46D9B"/>
    <w:rsid w:val="00E472E9"/>
    <w:rsid w:val="00E47385"/>
    <w:rsid w:val="00E47857"/>
    <w:rsid w:val="00E47F67"/>
    <w:rsid w:val="00E50342"/>
    <w:rsid w:val="00E50533"/>
    <w:rsid w:val="00E50570"/>
    <w:rsid w:val="00E50770"/>
    <w:rsid w:val="00E508F6"/>
    <w:rsid w:val="00E50D34"/>
    <w:rsid w:val="00E50F7B"/>
    <w:rsid w:val="00E51467"/>
    <w:rsid w:val="00E5176B"/>
    <w:rsid w:val="00E51B5D"/>
    <w:rsid w:val="00E51CB9"/>
    <w:rsid w:val="00E5281B"/>
    <w:rsid w:val="00E528BA"/>
    <w:rsid w:val="00E53671"/>
    <w:rsid w:val="00E536E6"/>
    <w:rsid w:val="00E539CD"/>
    <w:rsid w:val="00E53CAB"/>
    <w:rsid w:val="00E53D6A"/>
    <w:rsid w:val="00E540EA"/>
    <w:rsid w:val="00E54329"/>
    <w:rsid w:val="00E5446B"/>
    <w:rsid w:val="00E55339"/>
    <w:rsid w:val="00E55538"/>
    <w:rsid w:val="00E55A27"/>
    <w:rsid w:val="00E55ADF"/>
    <w:rsid w:val="00E565C2"/>
    <w:rsid w:val="00E5682A"/>
    <w:rsid w:val="00E56CAB"/>
    <w:rsid w:val="00E56E95"/>
    <w:rsid w:val="00E56ECC"/>
    <w:rsid w:val="00E56F7E"/>
    <w:rsid w:val="00E5731F"/>
    <w:rsid w:val="00E5773B"/>
    <w:rsid w:val="00E57F05"/>
    <w:rsid w:val="00E57F9B"/>
    <w:rsid w:val="00E6002F"/>
    <w:rsid w:val="00E60117"/>
    <w:rsid w:val="00E60269"/>
    <w:rsid w:val="00E60586"/>
    <w:rsid w:val="00E6063E"/>
    <w:rsid w:val="00E6073C"/>
    <w:rsid w:val="00E60C32"/>
    <w:rsid w:val="00E60CF1"/>
    <w:rsid w:val="00E61046"/>
    <w:rsid w:val="00E616A2"/>
    <w:rsid w:val="00E627F6"/>
    <w:rsid w:val="00E62907"/>
    <w:rsid w:val="00E632C3"/>
    <w:rsid w:val="00E6332C"/>
    <w:rsid w:val="00E63398"/>
    <w:rsid w:val="00E639C3"/>
    <w:rsid w:val="00E63E77"/>
    <w:rsid w:val="00E63E8A"/>
    <w:rsid w:val="00E63F1D"/>
    <w:rsid w:val="00E64156"/>
    <w:rsid w:val="00E64364"/>
    <w:rsid w:val="00E64536"/>
    <w:rsid w:val="00E645EC"/>
    <w:rsid w:val="00E646D5"/>
    <w:rsid w:val="00E64A75"/>
    <w:rsid w:val="00E64B1B"/>
    <w:rsid w:val="00E64CF7"/>
    <w:rsid w:val="00E64D52"/>
    <w:rsid w:val="00E651CF"/>
    <w:rsid w:val="00E65779"/>
    <w:rsid w:val="00E65C24"/>
    <w:rsid w:val="00E6602D"/>
    <w:rsid w:val="00E6603D"/>
    <w:rsid w:val="00E66786"/>
    <w:rsid w:val="00E672A9"/>
    <w:rsid w:val="00E67336"/>
    <w:rsid w:val="00E67343"/>
    <w:rsid w:val="00E67D47"/>
    <w:rsid w:val="00E67D98"/>
    <w:rsid w:val="00E67E86"/>
    <w:rsid w:val="00E67FB5"/>
    <w:rsid w:val="00E7009F"/>
    <w:rsid w:val="00E70752"/>
    <w:rsid w:val="00E7153E"/>
    <w:rsid w:val="00E715B4"/>
    <w:rsid w:val="00E71650"/>
    <w:rsid w:val="00E71C21"/>
    <w:rsid w:val="00E71DD6"/>
    <w:rsid w:val="00E72A7F"/>
    <w:rsid w:val="00E72B2A"/>
    <w:rsid w:val="00E72EC2"/>
    <w:rsid w:val="00E73243"/>
    <w:rsid w:val="00E735DE"/>
    <w:rsid w:val="00E7372A"/>
    <w:rsid w:val="00E742E5"/>
    <w:rsid w:val="00E74926"/>
    <w:rsid w:val="00E7506D"/>
    <w:rsid w:val="00E752A1"/>
    <w:rsid w:val="00E753AA"/>
    <w:rsid w:val="00E75406"/>
    <w:rsid w:val="00E75A9D"/>
    <w:rsid w:val="00E75C6F"/>
    <w:rsid w:val="00E75E7C"/>
    <w:rsid w:val="00E75F2E"/>
    <w:rsid w:val="00E761FB"/>
    <w:rsid w:val="00E76513"/>
    <w:rsid w:val="00E769CD"/>
    <w:rsid w:val="00E76A32"/>
    <w:rsid w:val="00E76C5E"/>
    <w:rsid w:val="00E7799A"/>
    <w:rsid w:val="00E779DD"/>
    <w:rsid w:val="00E803C3"/>
    <w:rsid w:val="00E804F1"/>
    <w:rsid w:val="00E80872"/>
    <w:rsid w:val="00E80EFB"/>
    <w:rsid w:val="00E81274"/>
    <w:rsid w:val="00E8183A"/>
    <w:rsid w:val="00E81B34"/>
    <w:rsid w:val="00E81B8E"/>
    <w:rsid w:val="00E81EBF"/>
    <w:rsid w:val="00E81ED7"/>
    <w:rsid w:val="00E8219D"/>
    <w:rsid w:val="00E825C6"/>
    <w:rsid w:val="00E82941"/>
    <w:rsid w:val="00E83371"/>
    <w:rsid w:val="00E833F3"/>
    <w:rsid w:val="00E8377F"/>
    <w:rsid w:val="00E83B1D"/>
    <w:rsid w:val="00E84955"/>
    <w:rsid w:val="00E8543E"/>
    <w:rsid w:val="00E855CE"/>
    <w:rsid w:val="00E856B7"/>
    <w:rsid w:val="00E8582C"/>
    <w:rsid w:val="00E85938"/>
    <w:rsid w:val="00E85EA7"/>
    <w:rsid w:val="00E8607A"/>
    <w:rsid w:val="00E8623F"/>
    <w:rsid w:val="00E86ED8"/>
    <w:rsid w:val="00E86F11"/>
    <w:rsid w:val="00E8704B"/>
    <w:rsid w:val="00E87631"/>
    <w:rsid w:val="00E878BE"/>
    <w:rsid w:val="00E87B2E"/>
    <w:rsid w:val="00E87B3E"/>
    <w:rsid w:val="00E87B69"/>
    <w:rsid w:val="00E87D52"/>
    <w:rsid w:val="00E87F00"/>
    <w:rsid w:val="00E87F4D"/>
    <w:rsid w:val="00E90555"/>
    <w:rsid w:val="00E907BE"/>
    <w:rsid w:val="00E90C23"/>
    <w:rsid w:val="00E9110E"/>
    <w:rsid w:val="00E91499"/>
    <w:rsid w:val="00E9176F"/>
    <w:rsid w:val="00E91942"/>
    <w:rsid w:val="00E919FB"/>
    <w:rsid w:val="00E91A9A"/>
    <w:rsid w:val="00E91CBA"/>
    <w:rsid w:val="00E91D54"/>
    <w:rsid w:val="00E91FBA"/>
    <w:rsid w:val="00E9222C"/>
    <w:rsid w:val="00E92248"/>
    <w:rsid w:val="00E9229E"/>
    <w:rsid w:val="00E924CC"/>
    <w:rsid w:val="00E925E4"/>
    <w:rsid w:val="00E92F79"/>
    <w:rsid w:val="00E92FB4"/>
    <w:rsid w:val="00E933EB"/>
    <w:rsid w:val="00E937CF"/>
    <w:rsid w:val="00E9427A"/>
    <w:rsid w:val="00E94308"/>
    <w:rsid w:val="00E9439E"/>
    <w:rsid w:val="00E947F9"/>
    <w:rsid w:val="00E9522B"/>
    <w:rsid w:val="00E9558B"/>
    <w:rsid w:val="00E95D1B"/>
    <w:rsid w:val="00E9621B"/>
    <w:rsid w:val="00E9623E"/>
    <w:rsid w:val="00E9649D"/>
    <w:rsid w:val="00E969F0"/>
    <w:rsid w:val="00E97020"/>
    <w:rsid w:val="00E977FD"/>
    <w:rsid w:val="00EA06D7"/>
    <w:rsid w:val="00EA09FE"/>
    <w:rsid w:val="00EA0A92"/>
    <w:rsid w:val="00EA0A9B"/>
    <w:rsid w:val="00EA0B1A"/>
    <w:rsid w:val="00EA0C1B"/>
    <w:rsid w:val="00EA0D79"/>
    <w:rsid w:val="00EA175D"/>
    <w:rsid w:val="00EA1886"/>
    <w:rsid w:val="00EA210C"/>
    <w:rsid w:val="00EA2190"/>
    <w:rsid w:val="00EA2396"/>
    <w:rsid w:val="00EA2523"/>
    <w:rsid w:val="00EA26E0"/>
    <w:rsid w:val="00EA28AF"/>
    <w:rsid w:val="00EA2EFA"/>
    <w:rsid w:val="00EA32BF"/>
    <w:rsid w:val="00EA3852"/>
    <w:rsid w:val="00EA50D6"/>
    <w:rsid w:val="00EA5514"/>
    <w:rsid w:val="00EA5714"/>
    <w:rsid w:val="00EA5C38"/>
    <w:rsid w:val="00EA5E49"/>
    <w:rsid w:val="00EA679F"/>
    <w:rsid w:val="00EA69EF"/>
    <w:rsid w:val="00EA7070"/>
    <w:rsid w:val="00EA7662"/>
    <w:rsid w:val="00EA7B29"/>
    <w:rsid w:val="00EB016F"/>
    <w:rsid w:val="00EB04FD"/>
    <w:rsid w:val="00EB0635"/>
    <w:rsid w:val="00EB06EB"/>
    <w:rsid w:val="00EB0798"/>
    <w:rsid w:val="00EB0B50"/>
    <w:rsid w:val="00EB0C4A"/>
    <w:rsid w:val="00EB13E0"/>
    <w:rsid w:val="00EB1A92"/>
    <w:rsid w:val="00EB2045"/>
    <w:rsid w:val="00EB222C"/>
    <w:rsid w:val="00EB2634"/>
    <w:rsid w:val="00EB2A4D"/>
    <w:rsid w:val="00EB33F4"/>
    <w:rsid w:val="00EB3534"/>
    <w:rsid w:val="00EB3B9C"/>
    <w:rsid w:val="00EB3C8F"/>
    <w:rsid w:val="00EB3CA2"/>
    <w:rsid w:val="00EB4242"/>
    <w:rsid w:val="00EB4C04"/>
    <w:rsid w:val="00EB4CA7"/>
    <w:rsid w:val="00EB4D10"/>
    <w:rsid w:val="00EB5B9E"/>
    <w:rsid w:val="00EB5E24"/>
    <w:rsid w:val="00EB5E87"/>
    <w:rsid w:val="00EB608F"/>
    <w:rsid w:val="00EB649D"/>
    <w:rsid w:val="00EB6C6B"/>
    <w:rsid w:val="00EB6E0D"/>
    <w:rsid w:val="00EB72A7"/>
    <w:rsid w:val="00EB7363"/>
    <w:rsid w:val="00EB7714"/>
    <w:rsid w:val="00EB77C1"/>
    <w:rsid w:val="00EB7A49"/>
    <w:rsid w:val="00EB7A62"/>
    <w:rsid w:val="00EB7B5B"/>
    <w:rsid w:val="00EB7C4B"/>
    <w:rsid w:val="00EC0BAD"/>
    <w:rsid w:val="00EC0CAA"/>
    <w:rsid w:val="00EC1320"/>
    <w:rsid w:val="00EC1406"/>
    <w:rsid w:val="00EC1435"/>
    <w:rsid w:val="00EC16B4"/>
    <w:rsid w:val="00EC19D9"/>
    <w:rsid w:val="00EC225B"/>
    <w:rsid w:val="00EC2677"/>
    <w:rsid w:val="00EC2745"/>
    <w:rsid w:val="00EC2876"/>
    <w:rsid w:val="00EC2DAB"/>
    <w:rsid w:val="00EC3254"/>
    <w:rsid w:val="00EC36F2"/>
    <w:rsid w:val="00EC3810"/>
    <w:rsid w:val="00EC40B3"/>
    <w:rsid w:val="00EC476F"/>
    <w:rsid w:val="00EC47AD"/>
    <w:rsid w:val="00EC486B"/>
    <w:rsid w:val="00EC48D7"/>
    <w:rsid w:val="00EC4B7C"/>
    <w:rsid w:val="00EC4BB6"/>
    <w:rsid w:val="00EC4F33"/>
    <w:rsid w:val="00EC5634"/>
    <w:rsid w:val="00EC68DA"/>
    <w:rsid w:val="00EC68E3"/>
    <w:rsid w:val="00EC7129"/>
    <w:rsid w:val="00EC7147"/>
    <w:rsid w:val="00EC7298"/>
    <w:rsid w:val="00EC72F8"/>
    <w:rsid w:val="00EC76CF"/>
    <w:rsid w:val="00EC7D2B"/>
    <w:rsid w:val="00EC7F5B"/>
    <w:rsid w:val="00ED0270"/>
    <w:rsid w:val="00ED0721"/>
    <w:rsid w:val="00ED07A3"/>
    <w:rsid w:val="00ED0D4D"/>
    <w:rsid w:val="00ED0E28"/>
    <w:rsid w:val="00ED11C5"/>
    <w:rsid w:val="00ED1924"/>
    <w:rsid w:val="00ED1DED"/>
    <w:rsid w:val="00ED1E35"/>
    <w:rsid w:val="00ED1EEE"/>
    <w:rsid w:val="00ED2B82"/>
    <w:rsid w:val="00ED2C8F"/>
    <w:rsid w:val="00ED2D4A"/>
    <w:rsid w:val="00ED2DB6"/>
    <w:rsid w:val="00ED304F"/>
    <w:rsid w:val="00ED403B"/>
    <w:rsid w:val="00ED47C8"/>
    <w:rsid w:val="00ED4BF7"/>
    <w:rsid w:val="00ED4F83"/>
    <w:rsid w:val="00ED4FB2"/>
    <w:rsid w:val="00ED507D"/>
    <w:rsid w:val="00ED518F"/>
    <w:rsid w:val="00ED57BC"/>
    <w:rsid w:val="00ED57FC"/>
    <w:rsid w:val="00ED6F17"/>
    <w:rsid w:val="00ED6F62"/>
    <w:rsid w:val="00ED76F1"/>
    <w:rsid w:val="00ED7871"/>
    <w:rsid w:val="00ED7BC1"/>
    <w:rsid w:val="00EE04E5"/>
    <w:rsid w:val="00EE09CC"/>
    <w:rsid w:val="00EE0E8D"/>
    <w:rsid w:val="00EE138C"/>
    <w:rsid w:val="00EE148A"/>
    <w:rsid w:val="00EE1575"/>
    <w:rsid w:val="00EE1C1C"/>
    <w:rsid w:val="00EE1C6D"/>
    <w:rsid w:val="00EE2406"/>
    <w:rsid w:val="00EE2431"/>
    <w:rsid w:val="00EE24DB"/>
    <w:rsid w:val="00EE24FB"/>
    <w:rsid w:val="00EE2727"/>
    <w:rsid w:val="00EE285D"/>
    <w:rsid w:val="00EE2B22"/>
    <w:rsid w:val="00EE2D3F"/>
    <w:rsid w:val="00EE2FC2"/>
    <w:rsid w:val="00EE3136"/>
    <w:rsid w:val="00EE3187"/>
    <w:rsid w:val="00EE3270"/>
    <w:rsid w:val="00EE3367"/>
    <w:rsid w:val="00EE367B"/>
    <w:rsid w:val="00EE3730"/>
    <w:rsid w:val="00EE3CE9"/>
    <w:rsid w:val="00EE3DA2"/>
    <w:rsid w:val="00EE43C0"/>
    <w:rsid w:val="00EE4452"/>
    <w:rsid w:val="00EE4C7E"/>
    <w:rsid w:val="00EE4CF9"/>
    <w:rsid w:val="00EE4FEB"/>
    <w:rsid w:val="00EE51DB"/>
    <w:rsid w:val="00EE556D"/>
    <w:rsid w:val="00EE5713"/>
    <w:rsid w:val="00EE58DC"/>
    <w:rsid w:val="00EE592A"/>
    <w:rsid w:val="00EE5A28"/>
    <w:rsid w:val="00EE5DBE"/>
    <w:rsid w:val="00EE6128"/>
    <w:rsid w:val="00EE6184"/>
    <w:rsid w:val="00EE6414"/>
    <w:rsid w:val="00EE7503"/>
    <w:rsid w:val="00EE7607"/>
    <w:rsid w:val="00EE7A2C"/>
    <w:rsid w:val="00EE7BEB"/>
    <w:rsid w:val="00EF0209"/>
    <w:rsid w:val="00EF0D8A"/>
    <w:rsid w:val="00EF0E5D"/>
    <w:rsid w:val="00EF0F3B"/>
    <w:rsid w:val="00EF1263"/>
    <w:rsid w:val="00EF20F2"/>
    <w:rsid w:val="00EF2141"/>
    <w:rsid w:val="00EF2240"/>
    <w:rsid w:val="00EF2F99"/>
    <w:rsid w:val="00EF3069"/>
    <w:rsid w:val="00EF3347"/>
    <w:rsid w:val="00EF3482"/>
    <w:rsid w:val="00EF352E"/>
    <w:rsid w:val="00EF3A6B"/>
    <w:rsid w:val="00EF3DE5"/>
    <w:rsid w:val="00EF3E81"/>
    <w:rsid w:val="00EF48BE"/>
    <w:rsid w:val="00EF4C4E"/>
    <w:rsid w:val="00EF51B0"/>
    <w:rsid w:val="00EF57A5"/>
    <w:rsid w:val="00EF5811"/>
    <w:rsid w:val="00EF5987"/>
    <w:rsid w:val="00EF5D1A"/>
    <w:rsid w:val="00EF6404"/>
    <w:rsid w:val="00EF6556"/>
    <w:rsid w:val="00EF6AFA"/>
    <w:rsid w:val="00EF6F14"/>
    <w:rsid w:val="00EF7395"/>
    <w:rsid w:val="00EF7C70"/>
    <w:rsid w:val="00F002EF"/>
    <w:rsid w:val="00F00F2B"/>
    <w:rsid w:val="00F01114"/>
    <w:rsid w:val="00F011DA"/>
    <w:rsid w:val="00F012A8"/>
    <w:rsid w:val="00F01565"/>
    <w:rsid w:val="00F01733"/>
    <w:rsid w:val="00F01AA8"/>
    <w:rsid w:val="00F01AC5"/>
    <w:rsid w:val="00F01F5F"/>
    <w:rsid w:val="00F020BB"/>
    <w:rsid w:val="00F0319D"/>
    <w:rsid w:val="00F03273"/>
    <w:rsid w:val="00F03323"/>
    <w:rsid w:val="00F0385E"/>
    <w:rsid w:val="00F040AC"/>
    <w:rsid w:val="00F04D91"/>
    <w:rsid w:val="00F04E2E"/>
    <w:rsid w:val="00F053BA"/>
    <w:rsid w:val="00F0583F"/>
    <w:rsid w:val="00F05C43"/>
    <w:rsid w:val="00F05D67"/>
    <w:rsid w:val="00F0638D"/>
    <w:rsid w:val="00F066C8"/>
    <w:rsid w:val="00F06C0B"/>
    <w:rsid w:val="00F07089"/>
    <w:rsid w:val="00F07A0C"/>
    <w:rsid w:val="00F07BE2"/>
    <w:rsid w:val="00F07E6E"/>
    <w:rsid w:val="00F07F28"/>
    <w:rsid w:val="00F07F78"/>
    <w:rsid w:val="00F10016"/>
    <w:rsid w:val="00F102EC"/>
    <w:rsid w:val="00F10548"/>
    <w:rsid w:val="00F105A7"/>
    <w:rsid w:val="00F106F3"/>
    <w:rsid w:val="00F10781"/>
    <w:rsid w:val="00F108D6"/>
    <w:rsid w:val="00F10A5D"/>
    <w:rsid w:val="00F10B73"/>
    <w:rsid w:val="00F10DE0"/>
    <w:rsid w:val="00F11001"/>
    <w:rsid w:val="00F1150F"/>
    <w:rsid w:val="00F11707"/>
    <w:rsid w:val="00F117A0"/>
    <w:rsid w:val="00F1232F"/>
    <w:rsid w:val="00F12994"/>
    <w:rsid w:val="00F12D86"/>
    <w:rsid w:val="00F12DF2"/>
    <w:rsid w:val="00F13058"/>
    <w:rsid w:val="00F13162"/>
    <w:rsid w:val="00F134F7"/>
    <w:rsid w:val="00F13B05"/>
    <w:rsid w:val="00F13E49"/>
    <w:rsid w:val="00F13F47"/>
    <w:rsid w:val="00F142D6"/>
    <w:rsid w:val="00F146D7"/>
    <w:rsid w:val="00F147B0"/>
    <w:rsid w:val="00F14A46"/>
    <w:rsid w:val="00F14BCA"/>
    <w:rsid w:val="00F14F9D"/>
    <w:rsid w:val="00F154D4"/>
    <w:rsid w:val="00F15AF2"/>
    <w:rsid w:val="00F15CC0"/>
    <w:rsid w:val="00F15CC7"/>
    <w:rsid w:val="00F15F1E"/>
    <w:rsid w:val="00F1643F"/>
    <w:rsid w:val="00F16622"/>
    <w:rsid w:val="00F16B06"/>
    <w:rsid w:val="00F16E49"/>
    <w:rsid w:val="00F177C6"/>
    <w:rsid w:val="00F178AB"/>
    <w:rsid w:val="00F179B5"/>
    <w:rsid w:val="00F17A64"/>
    <w:rsid w:val="00F17B16"/>
    <w:rsid w:val="00F17F5B"/>
    <w:rsid w:val="00F20020"/>
    <w:rsid w:val="00F2034E"/>
    <w:rsid w:val="00F20DB2"/>
    <w:rsid w:val="00F20EA1"/>
    <w:rsid w:val="00F20F16"/>
    <w:rsid w:val="00F21290"/>
    <w:rsid w:val="00F219DB"/>
    <w:rsid w:val="00F21B53"/>
    <w:rsid w:val="00F21E8A"/>
    <w:rsid w:val="00F2214E"/>
    <w:rsid w:val="00F228C1"/>
    <w:rsid w:val="00F231A1"/>
    <w:rsid w:val="00F23230"/>
    <w:rsid w:val="00F235C1"/>
    <w:rsid w:val="00F239CF"/>
    <w:rsid w:val="00F23DBA"/>
    <w:rsid w:val="00F23E5B"/>
    <w:rsid w:val="00F23F33"/>
    <w:rsid w:val="00F23FCA"/>
    <w:rsid w:val="00F24370"/>
    <w:rsid w:val="00F24A7D"/>
    <w:rsid w:val="00F25334"/>
    <w:rsid w:val="00F25416"/>
    <w:rsid w:val="00F25448"/>
    <w:rsid w:val="00F25EC4"/>
    <w:rsid w:val="00F2606A"/>
    <w:rsid w:val="00F26092"/>
    <w:rsid w:val="00F261DE"/>
    <w:rsid w:val="00F26538"/>
    <w:rsid w:val="00F2666C"/>
    <w:rsid w:val="00F26808"/>
    <w:rsid w:val="00F268A4"/>
    <w:rsid w:val="00F26E70"/>
    <w:rsid w:val="00F26EE2"/>
    <w:rsid w:val="00F270D4"/>
    <w:rsid w:val="00F27C4F"/>
    <w:rsid w:val="00F303AB"/>
    <w:rsid w:val="00F307CC"/>
    <w:rsid w:val="00F3093F"/>
    <w:rsid w:val="00F3099A"/>
    <w:rsid w:val="00F30BBA"/>
    <w:rsid w:val="00F30F78"/>
    <w:rsid w:val="00F31259"/>
    <w:rsid w:val="00F31584"/>
    <w:rsid w:val="00F31630"/>
    <w:rsid w:val="00F318FB"/>
    <w:rsid w:val="00F31B06"/>
    <w:rsid w:val="00F32212"/>
    <w:rsid w:val="00F329D1"/>
    <w:rsid w:val="00F32CDE"/>
    <w:rsid w:val="00F3322B"/>
    <w:rsid w:val="00F33B67"/>
    <w:rsid w:val="00F3434C"/>
    <w:rsid w:val="00F34A95"/>
    <w:rsid w:val="00F34C99"/>
    <w:rsid w:val="00F34F03"/>
    <w:rsid w:val="00F352F9"/>
    <w:rsid w:val="00F353F7"/>
    <w:rsid w:val="00F355CA"/>
    <w:rsid w:val="00F356B2"/>
    <w:rsid w:val="00F35C31"/>
    <w:rsid w:val="00F35CF9"/>
    <w:rsid w:val="00F36007"/>
    <w:rsid w:val="00F3623B"/>
    <w:rsid w:val="00F367AD"/>
    <w:rsid w:val="00F36816"/>
    <w:rsid w:val="00F36A3C"/>
    <w:rsid w:val="00F36FED"/>
    <w:rsid w:val="00F37072"/>
    <w:rsid w:val="00F37325"/>
    <w:rsid w:val="00F40794"/>
    <w:rsid w:val="00F40AFB"/>
    <w:rsid w:val="00F40C2F"/>
    <w:rsid w:val="00F40CF9"/>
    <w:rsid w:val="00F40F5F"/>
    <w:rsid w:val="00F41745"/>
    <w:rsid w:val="00F419AA"/>
    <w:rsid w:val="00F41B59"/>
    <w:rsid w:val="00F4221B"/>
    <w:rsid w:val="00F4233C"/>
    <w:rsid w:val="00F424A9"/>
    <w:rsid w:val="00F427D5"/>
    <w:rsid w:val="00F439BB"/>
    <w:rsid w:val="00F43FCA"/>
    <w:rsid w:val="00F44640"/>
    <w:rsid w:val="00F449D7"/>
    <w:rsid w:val="00F44B8B"/>
    <w:rsid w:val="00F44DB0"/>
    <w:rsid w:val="00F455B8"/>
    <w:rsid w:val="00F4573E"/>
    <w:rsid w:val="00F45F5E"/>
    <w:rsid w:val="00F461AE"/>
    <w:rsid w:val="00F4643E"/>
    <w:rsid w:val="00F46B1C"/>
    <w:rsid w:val="00F46CA0"/>
    <w:rsid w:val="00F46D8C"/>
    <w:rsid w:val="00F46EF8"/>
    <w:rsid w:val="00F4720F"/>
    <w:rsid w:val="00F474C0"/>
    <w:rsid w:val="00F47D6C"/>
    <w:rsid w:val="00F507F1"/>
    <w:rsid w:val="00F50FA0"/>
    <w:rsid w:val="00F51106"/>
    <w:rsid w:val="00F51524"/>
    <w:rsid w:val="00F51A00"/>
    <w:rsid w:val="00F51B1C"/>
    <w:rsid w:val="00F51B88"/>
    <w:rsid w:val="00F51F6F"/>
    <w:rsid w:val="00F52A4C"/>
    <w:rsid w:val="00F534D3"/>
    <w:rsid w:val="00F534ED"/>
    <w:rsid w:val="00F5393F"/>
    <w:rsid w:val="00F53968"/>
    <w:rsid w:val="00F53BAF"/>
    <w:rsid w:val="00F53E2A"/>
    <w:rsid w:val="00F541AC"/>
    <w:rsid w:val="00F5421D"/>
    <w:rsid w:val="00F545B8"/>
    <w:rsid w:val="00F54637"/>
    <w:rsid w:val="00F5470A"/>
    <w:rsid w:val="00F54914"/>
    <w:rsid w:val="00F55395"/>
    <w:rsid w:val="00F55A8B"/>
    <w:rsid w:val="00F562BE"/>
    <w:rsid w:val="00F567A9"/>
    <w:rsid w:val="00F56A51"/>
    <w:rsid w:val="00F56D0D"/>
    <w:rsid w:val="00F56F2E"/>
    <w:rsid w:val="00F570FA"/>
    <w:rsid w:val="00F572AB"/>
    <w:rsid w:val="00F57810"/>
    <w:rsid w:val="00F60458"/>
    <w:rsid w:val="00F6080E"/>
    <w:rsid w:val="00F60DF3"/>
    <w:rsid w:val="00F61026"/>
    <w:rsid w:val="00F61236"/>
    <w:rsid w:val="00F613D5"/>
    <w:rsid w:val="00F61567"/>
    <w:rsid w:val="00F61AC8"/>
    <w:rsid w:val="00F61C20"/>
    <w:rsid w:val="00F61CD2"/>
    <w:rsid w:val="00F62057"/>
    <w:rsid w:val="00F62582"/>
    <w:rsid w:val="00F634A4"/>
    <w:rsid w:val="00F63624"/>
    <w:rsid w:val="00F63EB4"/>
    <w:rsid w:val="00F64DC6"/>
    <w:rsid w:val="00F64F14"/>
    <w:rsid w:val="00F65729"/>
    <w:rsid w:val="00F658CB"/>
    <w:rsid w:val="00F65958"/>
    <w:rsid w:val="00F65B59"/>
    <w:rsid w:val="00F65BCB"/>
    <w:rsid w:val="00F66D31"/>
    <w:rsid w:val="00F67567"/>
    <w:rsid w:val="00F67650"/>
    <w:rsid w:val="00F67A0C"/>
    <w:rsid w:val="00F67C01"/>
    <w:rsid w:val="00F67C2B"/>
    <w:rsid w:val="00F67EBE"/>
    <w:rsid w:val="00F707DF"/>
    <w:rsid w:val="00F709F5"/>
    <w:rsid w:val="00F7114B"/>
    <w:rsid w:val="00F71E7A"/>
    <w:rsid w:val="00F721EF"/>
    <w:rsid w:val="00F72203"/>
    <w:rsid w:val="00F72301"/>
    <w:rsid w:val="00F724BD"/>
    <w:rsid w:val="00F72599"/>
    <w:rsid w:val="00F72731"/>
    <w:rsid w:val="00F7274A"/>
    <w:rsid w:val="00F72AC2"/>
    <w:rsid w:val="00F72BF8"/>
    <w:rsid w:val="00F72C15"/>
    <w:rsid w:val="00F7344C"/>
    <w:rsid w:val="00F738A2"/>
    <w:rsid w:val="00F74168"/>
    <w:rsid w:val="00F742F1"/>
    <w:rsid w:val="00F74339"/>
    <w:rsid w:val="00F747FA"/>
    <w:rsid w:val="00F74871"/>
    <w:rsid w:val="00F74CB7"/>
    <w:rsid w:val="00F74D87"/>
    <w:rsid w:val="00F7566E"/>
    <w:rsid w:val="00F76037"/>
    <w:rsid w:val="00F76408"/>
    <w:rsid w:val="00F76442"/>
    <w:rsid w:val="00F773B7"/>
    <w:rsid w:val="00F77724"/>
    <w:rsid w:val="00F7772A"/>
    <w:rsid w:val="00F777F7"/>
    <w:rsid w:val="00F77839"/>
    <w:rsid w:val="00F77995"/>
    <w:rsid w:val="00F77AB9"/>
    <w:rsid w:val="00F77FD4"/>
    <w:rsid w:val="00F8000F"/>
    <w:rsid w:val="00F803BA"/>
    <w:rsid w:val="00F805A3"/>
    <w:rsid w:val="00F8097D"/>
    <w:rsid w:val="00F811B9"/>
    <w:rsid w:val="00F814F1"/>
    <w:rsid w:val="00F81553"/>
    <w:rsid w:val="00F815CC"/>
    <w:rsid w:val="00F817E9"/>
    <w:rsid w:val="00F818AC"/>
    <w:rsid w:val="00F819FB"/>
    <w:rsid w:val="00F81A57"/>
    <w:rsid w:val="00F81F9F"/>
    <w:rsid w:val="00F8246A"/>
    <w:rsid w:val="00F8285E"/>
    <w:rsid w:val="00F82F00"/>
    <w:rsid w:val="00F82FA7"/>
    <w:rsid w:val="00F830C4"/>
    <w:rsid w:val="00F8336F"/>
    <w:rsid w:val="00F83B64"/>
    <w:rsid w:val="00F83ED9"/>
    <w:rsid w:val="00F84796"/>
    <w:rsid w:val="00F84CF9"/>
    <w:rsid w:val="00F84D9E"/>
    <w:rsid w:val="00F85096"/>
    <w:rsid w:val="00F856ED"/>
    <w:rsid w:val="00F8574D"/>
    <w:rsid w:val="00F85A58"/>
    <w:rsid w:val="00F85B2B"/>
    <w:rsid w:val="00F85B6D"/>
    <w:rsid w:val="00F85DEC"/>
    <w:rsid w:val="00F8615F"/>
    <w:rsid w:val="00F862C6"/>
    <w:rsid w:val="00F86637"/>
    <w:rsid w:val="00F869B3"/>
    <w:rsid w:val="00F86D4E"/>
    <w:rsid w:val="00F86E6F"/>
    <w:rsid w:val="00F87BEF"/>
    <w:rsid w:val="00F902F3"/>
    <w:rsid w:val="00F90C13"/>
    <w:rsid w:val="00F90DD7"/>
    <w:rsid w:val="00F91164"/>
    <w:rsid w:val="00F91524"/>
    <w:rsid w:val="00F91977"/>
    <w:rsid w:val="00F919B4"/>
    <w:rsid w:val="00F91F8B"/>
    <w:rsid w:val="00F920B2"/>
    <w:rsid w:val="00F92138"/>
    <w:rsid w:val="00F9270B"/>
    <w:rsid w:val="00F9275A"/>
    <w:rsid w:val="00F92AA4"/>
    <w:rsid w:val="00F92AB1"/>
    <w:rsid w:val="00F92B0F"/>
    <w:rsid w:val="00F92C57"/>
    <w:rsid w:val="00F92D2C"/>
    <w:rsid w:val="00F92F53"/>
    <w:rsid w:val="00F93043"/>
    <w:rsid w:val="00F9310D"/>
    <w:rsid w:val="00F93D6C"/>
    <w:rsid w:val="00F93FCF"/>
    <w:rsid w:val="00F94068"/>
    <w:rsid w:val="00F9489A"/>
    <w:rsid w:val="00F952A9"/>
    <w:rsid w:val="00F9536B"/>
    <w:rsid w:val="00F95599"/>
    <w:rsid w:val="00F95878"/>
    <w:rsid w:val="00F95964"/>
    <w:rsid w:val="00F95E59"/>
    <w:rsid w:val="00F963DB"/>
    <w:rsid w:val="00F96439"/>
    <w:rsid w:val="00F96A71"/>
    <w:rsid w:val="00F96ACA"/>
    <w:rsid w:val="00F96D24"/>
    <w:rsid w:val="00F96D4C"/>
    <w:rsid w:val="00F97491"/>
    <w:rsid w:val="00F97BFD"/>
    <w:rsid w:val="00F97E96"/>
    <w:rsid w:val="00FA02C5"/>
    <w:rsid w:val="00FA03A4"/>
    <w:rsid w:val="00FA03E1"/>
    <w:rsid w:val="00FA0CC4"/>
    <w:rsid w:val="00FA1AEC"/>
    <w:rsid w:val="00FA26E3"/>
    <w:rsid w:val="00FA26ED"/>
    <w:rsid w:val="00FA289E"/>
    <w:rsid w:val="00FA2CB5"/>
    <w:rsid w:val="00FA3549"/>
    <w:rsid w:val="00FA44FB"/>
    <w:rsid w:val="00FA5580"/>
    <w:rsid w:val="00FA5A8F"/>
    <w:rsid w:val="00FA5BFC"/>
    <w:rsid w:val="00FA5D9F"/>
    <w:rsid w:val="00FA5F42"/>
    <w:rsid w:val="00FA620B"/>
    <w:rsid w:val="00FA6361"/>
    <w:rsid w:val="00FA69C3"/>
    <w:rsid w:val="00FA69E4"/>
    <w:rsid w:val="00FA6AAC"/>
    <w:rsid w:val="00FA6CBC"/>
    <w:rsid w:val="00FA6D48"/>
    <w:rsid w:val="00FA7398"/>
    <w:rsid w:val="00FA76CB"/>
    <w:rsid w:val="00FA76FC"/>
    <w:rsid w:val="00FA7B6D"/>
    <w:rsid w:val="00FA7EC0"/>
    <w:rsid w:val="00FB00AC"/>
    <w:rsid w:val="00FB0B18"/>
    <w:rsid w:val="00FB0BB2"/>
    <w:rsid w:val="00FB0CE0"/>
    <w:rsid w:val="00FB119C"/>
    <w:rsid w:val="00FB1582"/>
    <w:rsid w:val="00FB1938"/>
    <w:rsid w:val="00FB1AD3"/>
    <w:rsid w:val="00FB1C3A"/>
    <w:rsid w:val="00FB22AE"/>
    <w:rsid w:val="00FB23DA"/>
    <w:rsid w:val="00FB349A"/>
    <w:rsid w:val="00FB37C2"/>
    <w:rsid w:val="00FB38BE"/>
    <w:rsid w:val="00FB3E1A"/>
    <w:rsid w:val="00FB448D"/>
    <w:rsid w:val="00FB4E5B"/>
    <w:rsid w:val="00FB5808"/>
    <w:rsid w:val="00FB5A0C"/>
    <w:rsid w:val="00FB623A"/>
    <w:rsid w:val="00FB6C88"/>
    <w:rsid w:val="00FB6CC4"/>
    <w:rsid w:val="00FB6DFE"/>
    <w:rsid w:val="00FB6EEB"/>
    <w:rsid w:val="00FB7468"/>
    <w:rsid w:val="00FB7CC7"/>
    <w:rsid w:val="00FC072E"/>
    <w:rsid w:val="00FC0801"/>
    <w:rsid w:val="00FC0921"/>
    <w:rsid w:val="00FC0970"/>
    <w:rsid w:val="00FC11A9"/>
    <w:rsid w:val="00FC1B97"/>
    <w:rsid w:val="00FC1BDA"/>
    <w:rsid w:val="00FC1C6F"/>
    <w:rsid w:val="00FC25F7"/>
    <w:rsid w:val="00FC266E"/>
    <w:rsid w:val="00FC2921"/>
    <w:rsid w:val="00FC2A88"/>
    <w:rsid w:val="00FC2E53"/>
    <w:rsid w:val="00FC2F15"/>
    <w:rsid w:val="00FC30E2"/>
    <w:rsid w:val="00FC3A30"/>
    <w:rsid w:val="00FC3B2B"/>
    <w:rsid w:val="00FC3CC4"/>
    <w:rsid w:val="00FC3E24"/>
    <w:rsid w:val="00FC4693"/>
    <w:rsid w:val="00FC4ECF"/>
    <w:rsid w:val="00FC5249"/>
    <w:rsid w:val="00FC551E"/>
    <w:rsid w:val="00FC5613"/>
    <w:rsid w:val="00FC5790"/>
    <w:rsid w:val="00FC5A9A"/>
    <w:rsid w:val="00FC5D6A"/>
    <w:rsid w:val="00FC62DB"/>
    <w:rsid w:val="00FC6969"/>
    <w:rsid w:val="00FC6A12"/>
    <w:rsid w:val="00FC6A31"/>
    <w:rsid w:val="00FC6B85"/>
    <w:rsid w:val="00FC6D98"/>
    <w:rsid w:val="00FC6DD4"/>
    <w:rsid w:val="00FC6DD7"/>
    <w:rsid w:val="00FC703A"/>
    <w:rsid w:val="00FC759D"/>
    <w:rsid w:val="00FD039F"/>
    <w:rsid w:val="00FD0721"/>
    <w:rsid w:val="00FD0D14"/>
    <w:rsid w:val="00FD1153"/>
    <w:rsid w:val="00FD120B"/>
    <w:rsid w:val="00FD13D5"/>
    <w:rsid w:val="00FD17EA"/>
    <w:rsid w:val="00FD1995"/>
    <w:rsid w:val="00FD1D02"/>
    <w:rsid w:val="00FD1FF6"/>
    <w:rsid w:val="00FD25E1"/>
    <w:rsid w:val="00FD2B06"/>
    <w:rsid w:val="00FD2D75"/>
    <w:rsid w:val="00FD2FE3"/>
    <w:rsid w:val="00FD32CB"/>
    <w:rsid w:val="00FD3363"/>
    <w:rsid w:val="00FD37BD"/>
    <w:rsid w:val="00FD3B18"/>
    <w:rsid w:val="00FD3C86"/>
    <w:rsid w:val="00FD3CAB"/>
    <w:rsid w:val="00FD3EEF"/>
    <w:rsid w:val="00FD40FF"/>
    <w:rsid w:val="00FD495A"/>
    <w:rsid w:val="00FD52A5"/>
    <w:rsid w:val="00FD538C"/>
    <w:rsid w:val="00FD56F2"/>
    <w:rsid w:val="00FD5E1C"/>
    <w:rsid w:val="00FD62EB"/>
    <w:rsid w:val="00FD6327"/>
    <w:rsid w:val="00FD63DF"/>
    <w:rsid w:val="00FD6811"/>
    <w:rsid w:val="00FD6AB4"/>
    <w:rsid w:val="00FD6B20"/>
    <w:rsid w:val="00FD7339"/>
    <w:rsid w:val="00FD7945"/>
    <w:rsid w:val="00FE02C1"/>
    <w:rsid w:val="00FE06D1"/>
    <w:rsid w:val="00FE06E5"/>
    <w:rsid w:val="00FE09CA"/>
    <w:rsid w:val="00FE0B54"/>
    <w:rsid w:val="00FE0B5C"/>
    <w:rsid w:val="00FE0F34"/>
    <w:rsid w:val="00FE1160"/>
    <w:rsid w:val="00FE1729"/>
    <w:rsid w:val="00FE1880"/>
    <w:rsid w:val="00FE1EB0"/>
    <w:rsid w:val="00FE2075"/>
    <w:rsid w:val="00FE23B0"/>
    <w:rsid w:val="00FE28D7"/>
    <w:rsid w:val="00FE2C67"/>
    <w:rsid w:val="00FE2D2D"/>
    <w:rsid w:val="00FE326E"/>
    <w:rsid w:val="00FE35A0"/>
    <w:rsid w:val="00FE3F8E"/>
    <w:rsid w:val="00FE4711"/>
    <w:rsid w:val="00FE47ED"/>
    <w:rsid w:val="00FE4AAD"/>
    <w:rsid w:val="00FE5206"/>
    <w:rsid w:val="00FE5330"/>
    <w:rsid w:val="00FE567A"/>
    <w:rsid w:val="00FE61DC"/>
    <w:rsid w:val="00FE6383"/>
    <w:rsid w:val="00FE662A"/>
    <w:rsid w:val="00FE67D0"/>
    <w:rsid w:val="00FE6D54"/>
    <w:rsid w:val="00FE781F"/>
    <w:rsid w:val="00FE7B01"/>
    <w:rsid w:val="00FF002B"/>
    <w:rsid w:val="00FF00BF"/>
    <w:rsid w:val="00FF04BD"/>
    <w:rsid w:val="00FF054B"/>
    <w:rsid w:val="00FF0767"/>
    <w:rsid w:val="00FF081E"/>
    <w:rsid w:val="00FF0D09"/>
    <w:rsid w:val="00FF1187"/>
    <w:rsid w:val="00FF1191"/>
    <w:rsid w:val="00FF145C"/>
    <w:rsid w:val="00FF155A"/>
    <w:rsid w:val="00FF1BBA"/>
    <w:rsid w:val="00FF1ED4"/>
    <w:rsid w:val="00FF2151"/>
    <w:rsid w:val="00FF2318"/>
    <w:rsid w:val="00FF26EE"/>
    <w:rsid w:val="00FF2EC1"/>
    <w:rsid w:val="00FF3102"/>
    <w:rsid w:val="00FF3329"/>
    <w:rsid w:val="00FF3B3A"/>
    <w:rsid w:val="00FF41D8"/>
    <w:rsid w:val="00FF47A3"/>
    <w:rsid w:val="00FF48AD"/>
    <w:rsid w:val="00FF48E1"/>
    <w:rsid w:val="00FF4D23"/>
    <w:rsid w:val="00FF4D5B"/>
    <w:rsid w:val="00FF4F72"/>
    <w:rsid w:val="00FF53E8"/>
    <w:rsid w:val="00FF5DF7"/>
    <w:rsid w:val="00FF5FEA"/>
    <w:rsid w:val="00FF602B"/>
    <w:rsid w:val="00FF6353"/>
    <w:rsid w:val="00FF661A"/>
    <w:rsid w:val="00FF6788"/>
    <w:rsid w:val="00FF6B39"/>
    <w:rsid w:val="00FF704A"/>
    <w:rsid w:val="00FF7512"/>
    <w:rsid w:val="00FF7746"/>
    <w:rsid w:val="00FF7846"/>
    <w:rsid w:val="00FF7877"/>
    <w:rsid w:val="00FF7C9E"/>
    <w:rsid w:val="012646B8"/>
    <w:rsid w:val="01710365"/>
    <w:rsid w:val="01AA1AC9"/>
    <w:rsid w:val="02750329"/>
    <w:rsid w:val="028E4F47"/>
    <w:rsid w:val="02AC16DB"/>
    <w:rsid w:val="03977E2B"/>
    <w:rsid w:val="04EF1AFF"/>
    <w:rsid w:val="055C30DB"/>
    <w:rsid w:val="058162FD"/>
    <w:rsid w:val="064707DC"/>
    <w:rsid w:val="06707752"/>
    <w:rsid w:val="06795F0A"/>
    <w:rsid w:val="06CF54F5"/>
    <w:rsid w:val="079E2A7F"/>
    <w:rsid w:val="07D4164E"/>
    <w:rsid w:val="0B112E49"/>
    <w:rsid w:val="0C372408"/>
    <w:rsid w:val="0D077DD0"/>
    <w:rsid w:val="0EB61AAE"/>
    <w:rsid w:val="0F637C9A"/>
    <w:rsid w:val="112E607D"/>
    <w:rsid w:val="11D0311E"/>
    <w:rsid w:val="1259312D"/>
    <w:rsid w:val="12D70244"/>
    <w:rsid w:val="136844F9"/>
    <w:rsid w:val="13913C57"/>
    <w:rsid w:val="13A971F2"/>
    <w:rsid w:val="14263231"/>
    <w:rsid w:val="14383CE7"/>
    <w:rsid w:val="1534372C"/>
    <w:rsid w:val="161D0664"/>
    <w:rsid w:val="165927DA"/>
    <w:rsid w:val="16BE5BB3"/>
    <w:rsid w:val="16BF614B"/>
    <w:rsid w:val="17A05BA3"/>
    <w:rsid w:val="17B9260F"/>
    <w:rsid w:val="17F46AC0"/>
    <w:rsid w:val="190673A1"/>
    <w:rsid w:val="1B2E0A8D"/>
    <w:rsid w:val="1C626DD1"/>
    <w:rsid w:val="1C7B7E93"/>
    <w:rsid w:val="1DED23D1"/>
    <w:rsid w:val="1E566E09"/>
    <w:rsid w:val="1E694075"/>
    <w:rsid w:val="1F433703"/>
    <w:rsid w:val="1FD442EC"/>
    <w:rsid w:val="1FE956E4"/>
    <w:rsid w:val="20350095"/>
    <w:rsid w:val="21387243"/>
    <w:rsid w:val="220B09A0"/>
    <w:rsid w:val="225E003A"/>
    <w:rsid w:val="2384634D"/>
    <w:rsid w:val="239F2813"/>
    <w:rsid w:val="24F742F8"/>
    <w:rsid w:val="25A12028"/>
    <w:rsid w:val="262D0A38"/>
    <w:rsid w:val="26492DAF"/>
    <w:rsid w:val="27235609"/>
    <w:rsid w:val="274346CC"/>
    <w:rsid w:val="28B64707"/>
    <w:rsid w:val="29930F11"/>
    <w:rsid w:val="2B1971F4"/>
    <w:rsid w:val="2B3209D2"/>
    <w:rsid w:val="2B797C93"/>
    <w:rsid w:val="2D0E75CB"/>
    <w:rsid w:val="2D3A16A4"/>
    <w:rsid w:val="2D87516A"/>
    <w:rsid w:val="2DD65871"/>
    <w:rsid w:val="2ECC12AE"/>
    <w:rsid w:val="2FAE20C9"/>
    <w:rsid w:val="302F3E44"/>
    <w:rsid w:val="30980BBB"/>
    <w:rsid w:val="30BB39FA"/>
    <w:rsid w:val="31DFF3B6"/>
    <w:rsid w:val="32D00B3D"/>
    <w:rsid w:val="33147378"/>
    <w:rsid w:val="33BE26EB"/>
    <w:rsid w:val="35A324DC"/>
    <w:rsid w:val="366C6D72"/>
    <w:rsid w:val="39A15FED"/>
    <w:rsid w:val="3B7F4E52"/>
    <w:rsid w:val="3C667DC0"/>
    <w:rsid w:val="3CBC56FE"/>
    <w:rsid w:val="3D297FBD"/>
    <w:rsid w:val="3E6B1022"/>
    <w:rsid w:val="3EFC4A0B"/>
    <w:rsid w:val="3F4A322E"/>
    <w:rsid w:val="3F941CDE"/>
    <w:rsid w:val="409018AF"/>
    <w:rsid w:val="40CD41A4"/>
    <w:rsid w:val="41BF101E"/>
    <w:rsid w:val="41C07788"/>
    <w:rsid w:val="42542899"/>
    <w:rsid w:val="438A0D9C"/>
    <w:rsid w:val="44064915"/>
    <w:rsid w:val="45945003"/>
    <w:rsid w:val="45A4430A"/>
    <w:rsid w:val="4680640C"/>
    <w:rsid w:val="46B06FD7"/>
    <w:rsid w:val="48326AC4"/>
    <w:rsid w:val="4A803EA9"/>
    <w:rsid w:val="4B484A42"/>
    <w:rsid w:val="4C123AC0"/>
    <w:rsid w:val="4D195519"/>
    <w:rsid w:val="4D96420E"/>
    <w:rsid w:val="4E1816E6"/>
    <w:rsid w:val="4EA56E6D"/>
    <w:rsid w:val="50493828"/>
    <w:rsid w:val="517D332A"/>
    <w:rsid w:val="519F3E1C"/>
    <w:rsid w:val="51D559CC"/>
    <w:rsid w:val="523A5D4C"/>
    <w:rsid w:val="532F6D06"/>
    <w:rsid w:val="53D95AD0"/>
    <w:rsid w:val="54EA7054"/>
    <w:rsid w:val="55654C60"/>
    <w:rsid w:val="583D08BF"/>
    <w:rsid w:val="59183CDB"/>
    <w:rsid w:val="597D0FC1"/>
    <w:rsid w:val="5AB30B1A"/>
    <w:rsid w:val="5B0B44FC"/>
    <w:rsid w:val="5B4716D9"/>
    <w:rsid w:val="5B527A35"/>
    <w:rsid w:val="5BF21ECF"/>
    <w:rsid w:val="5BF31218"/>
    <w:rsid w:val="5BF47470"/>
    <w:rsid w:val="5D78456B"/>
    <w:rsid w:val="5DD961EC"/>
    <w:rsid w:val="5DFF0076"/>
    <w:rsid w:val="5EB84053"/>
    <w:rsid w:val="5FFF6C7C"/>
    <w:rsid w:val="60013652"/>
    <w:rsid w:val="60966616"/>
    <w:rsid w:val="60BD4475"/>
    <w:rsid w:val="636033EE"/>
    <w:rsid w:val="63C13032"/>
    <w:rsid w:val="643A409F"/>
    <w:rsid w:val="64DC2508"/>
    <w:rsid w:val="657B402C"/>
    <w:rsid w:val="66061B48"/>
    <w:rsid w:val="66A32C8C"/>
    <w:rsid w:val="68B711D9"/>
    <w:rsid w:val="69F36DE4"/>
    <w:rsid w:val="6B581098"/>
    <w:rsid w:val="6CB121EE"/>
    <w:rsid w:val="6CB26586"/>
    <w:rsid w:val="6CDE654F"/>
    <w:rsid w:val="6D3125D7"/>
    <w:rsid w:val="6DFC777F"/>
    <w:rsid w:val="71905436"/>
    <w:rsid w:val="71A21F88"/>
    <w:rsid w:val="73835B06"/>
    <w:rsid w:val="73852AAD"/>
    <w:rsid w:val="73A2518E"/>
    <w:rsid w:val="75243D99"/>
    <w:rsid w:val="75FD55D6"/>
    <w:rsid w:val="77E39025"/>
    <w:rsid w:val="794C6E4C"/>
    <w:rsid w:val="796C3F60"/>
    <w:rsid w:val="7C7B1C8E"/>
    <w:rsid w:val="7DE9641A"/>
    <w:rsid w:val="7E7E07DC"/>
    <w:rsid w:val="BBFD4103"/>
    <w:rsid w:val="BEB4B684"/>
    <w:rsid w:val="BF6B5225"/>
    <w:rsid w:val="DBE54859"/>
    <w:rsid w:val="E71381E4"/>
    <w:rsid w:val="EBB7908E"/>
    <w:rsid w:val="EEEF5A44"/>
    <w:rsid w:val="F7FF05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99"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qFormat="1" w:unhideWhenUsed="0" w:uiPriority="0" w:semiHidden="0" w:name="toa heading"/>
    <w:lsdException w:uiPriority="0" w:name="List"/>
    <w:lsdException w:qFormat="1"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hd w:val="clear" w:color="auto" w:fill="FFFFFF"/>
      <w:tabs>
        <w:tab w:val="left" w:pos="426"/>
      </w:tabs>
      <w:adjustRightInd w:val="0"/>
      <w:snapToGrid w:val="0"/>
      <w:spacing w:line="360" w:lineRule="auto"/>
      <w:jc w:val="both"/>
    </w:pPr>
    <w:rPr>
      <w:rFonts w:ascii="宋体" w:hAnsi="宋体" w:eastAsia="宋体" w:cs="宋体"/>
      <w:sz w:val="21"/>
      <w:szCs w:val="24"/>
      <w:lang w:val="en-US" w:eastAsia="zh-CN" w:bidi="ar-SA"/>
    </w:rPr>
  </w:style>
  <w:style w:type="paragraph" w:styleId="2">
    <w:name w:val="heading 1"/>
    <w:basedOn w:val="3"/>
    <w:next w:val="1"/>
    <w:link w:val="60"/>
    <w:qFormat/>
    <w:uiPriority w:val="0"/>
    <w:pPr>
      <w:keepNext w:val="0"/>
      <w:keepLines w:val="0"/>
      <w:tabs>
        <w:tab w:val="left" w:pos="426"/>
      </w:tabs>
      <w:spacing w:before="340" w:after="330" w:line="300" w:lineRule="auto"/>
      <w:jc w:val="center"/>
      <w:outlineLvl w:val="0"/>
    </w:pPr>
    <w:rPr>
      <w:rFonts w:eastAsia="黑体"/>
      <w:kern w:val="44"/>
      <w:sz w:val="32"/>
    </w:rPr>
  </w:style>
  <w:style w:type="paragraph" w:styleId="5">
    <w:name w:val="heading 2"/>
    <w:basedOn w:val="3"/>
    <w:next w:val="4"/>
    <w:link w:val="288"/>
    <w:qFormat/>
    <w:uiPriority w:val="0"/>
    <w:pPr>
      <w:tabs>
        <w:tab w:val="left" w:pos="426"/>
      </w:tabs>
      <w:textAlignment w:val="baseline"/>
      <w:outlineLvl w:val="1"/>
    </w:pPr>
    <w:rPr>
      <w:bCs w:val="0"/>
      <w:kern w:val="0"/>
      <w:szCs w:val="20"/>
    </w:rPr>
  </w:style>
  <w:style w:type="paragraph" w:styleId="3">
    <w:name w:val="heading 3"/>
    <w:basedOn w:val="4"/>
    <w:next w:val="1"/>
    <w:link w:val="59"/>
    <w:qFormat/>
    <w:uiPriority w:val="0"/>
    <w:pPr>
      <w:tabs>
        <w:tab w:val="left" w:pos="426"/>
      </w:tabs>
      <w:spacing w:before="260" w:after="260" w:line="240" w:lineRule="auto"/>
      <w:outlineLvl w:val="2"/>
    </w:pPr>
    <w:rPr>
      <w:rFonts w:ascii="宋体" w:hAnsi="宋体" w:eastAsia="宋体"/>
      <w:sz w:val="24"/>
      <w:szCs w:val="32"/>
    </w:rPr>
  </w:style>
  <w:style w:type="paragraph" w:styleId="4">
    <w:name w:val="heading 4"/>
    <w:basedOn w:val="1"/>
    <w:next w:val="1"/>
    <w:link w:val="57"/>
    <w:qFormat/>
    <w:uiPriority w:val="0"/>
    <w:pPr>
      <w:keepNext/>
      <w:keepLines/>
      <w:spacing w:before="280" w:after="290" w:line="376" w:lineRule="auto"/>
      <w:outlineLvl w:val="3"/>
    </w:pPr>
    <w:rPr>
      <w:rFonts w:ascii="Arial" w:hAnsi="Arial" w:eastAsia="黑体" w:cs="Times New Roman"/>
      <w:b/>
      <w:bCs/>
      <w:kern w:val="2"/>
      <w:sz w:val="28"/>
      <w:szCs w:val="28"/>
    </w:rPr>
  </w:style>
  <w:style w:type="paragraph" w:styleId="6">
    <w:name w:val="heading 5"/>
    <w:basedOn w:val="1"/>
    <w:next w:val="7"/>
    <w:link w:val="119"/>
    <w:qFormat/>
    <w:uiPriority w:val="0"/>
    <w:pPr>
      <w:keepNext/>
      <w:keepLines/>
      <w:spacing w:before="280" w:after="290" w:line="376" w:lineRule="auto"/>
      <w:jc w:val="center"/>
      <w:outlineLvl w:val="4"/>
    </w:pPr>
    <w:rPr>
      <w:rFonts w:ascii="Times New Roman" w:hAnsi="Times New Roman" w:cs="Times New Roman"/>
      <w:b/>
      <w:kern w:val="2"/>
      <w:sz w:val="24"/>
      <w:szCs w:val="20"/>
    </w:rPr>
  </w:style>
  <w:style w:type="paragraph" w:styleId="9">
    <w:name w:val="heading 6"/>
    <w:basedOn w:val="1"/>
    <w:next w:val="7"/>
    <w:link w:val="120"/>
    <w:qFormat/>
    <w:uiPriority w:val="0"/>
    <w:pPr>
      <w:keepNext/>
      <w:keepLines/>
      <w:spacing w:before="240" w:after="64" w:line="320" w:lineRule="auto"/>
      <w:outlineLvl w:val="5"/>
    </w:pPr>
    <w:rPr>
      <w:rFonts w:ascii="Arial" w:hAnsi="Arial" w:eastAsia="黑体" w:cs="Times New Roman"/>
      <w:b/>
      <w:kern w:val="2"/>
      <w:sz w:val="24"/>
      <w:szCs w:val="20"/>
    </w:rPr>
  </w:style>
  <w:style w:type="paragraph" w:styleId="10">
    <w:name w:val="heading 7"/>
    <w:basedOn w:val="1"/>
    <w:next w:val="7"/>
    <w:link w:val="121"/>
    <w:qFormat/>
    <w:uiPriority w:val="0"/>
    <w:pPr>
      <w:keepNext/>
      <w:keepLines/>
      <w:spacing w:before="240" w:after="64" w:line="320" w:lineRule="auto"/>
      <w:outlineLvl w:val="6"/>
    </w:pPr>
    <w:rPr>
      <w:rFonts w:ascii="Times New Roman" w:hAnsi="Times New Roman" w:cs="Times New Roman"/>
      <w:b/>
      <w:kern w:val="2"/>
      <w:sz w:val="24"/>
      <w:szCs w:val="20"/>
    </w:rPr>
  </w:style>
  <w:style w:type="paragraph" w:styleId="11">
    <w:name w:val="heading 8"/>
    <w:basedOn w:val="1"/>
    <w:next w:val="7"/>
    <w:link w:val="122"/>
    <w:qFormat/>
    <w:uiPriority w:val="0"/>
    <w:pPr>
      <w:keepNext/>
      <w:keepLines/>
      <w:spacing w:before="240" w:after="64" w:line="320" w:lineRule="auto"/>
      <w:outlineLvl w:val="7"/>
    </w:pPr>
    <w:rPr>
      <w:rFonts w:ascii="Arial" w:hAnsi="Arial" w:eastAsia="黑体" w:cs="Times New Roman"/>
      <w:kern w:val="2"/>
      <w:sz w:val="24"/>
      <w:szCs w:val="20"/>
    </w:rPr>
  </w:style>
  <w:style w:type="paragraph" w:styleId="12">
    <w:name w:val="heading 9"/>
    <w:basedOn w:val="1"/>
    <w:next w:val="7"/>
    <w:link w:val="123"/>
    <w:qFormat/>
    <w:uiPriority w:val="0"/>
    <w:pPr>
      <w:keepNext/>
      <w:keepLines/>
      <w:spacing w:before="240" w:after="64" w:line="320" w:lineRule="auto"/>
      <w:outlineLvl w:val="8"/>
    </w:pPr>
    <w:rPr>
      <w:rFonts w:ascii="Arial" w:hAnsi="Arial" w:eastAsia="黑体" w:cs="Times New Roman"/>
      <w:kern w:val="2"/>
      <w:szCs w:val="20"/>
    </w:rPr>
  </w:style>
  <w:style w:type="character" w:default="1" w:styleId="47">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7">
    <w:name w:val="Normal Indent"/>
    <w:basedOn w:val="1"/>
    <w:next w:val="8"/>
    <w:link w:val="61"/>
    <w:qFormat/>
    <w:uiPriority w:val="0"/>
    <w:pPr>
      <w:ind w:firstLine="420"/>
    </w:pPr>
    <w:rPr>
      <w:rFonts w:ascii="Times New Roman" w:hAnsi="Times New Roman" w:cs="Times New Roman"/>
      <w:kern w:val="2"/>
      <w:szCs w:val="20"/>
    </w:rPr>
  </w:style>
  <w:style w:type="paragraph" w:styleId="8">
    <w:name w:val="Body Text"/>
    <w:basedOn w:val="1"/>
    <w:next w:val="1"/>
    <w:link w:val="289"/>
    <w:qFormat/>
    <w:uiPriority w:val="99"/>
    <w:rPr>
      <w:b/>
      <w:bCs/>
      <w:sz w:val="24"/>
    </w:rPr>
  </w:style>
  <w:style w:type="paragraph" w:styleId="13">
    <w:name w:val="toc 7"/>
    <w:basedOn w:val="1"/>
    <w:next w:val="1"/>
    <w:qFormat/>
    <w:uiPriority w:val="0"/>
    <w:pPr>
      <w:ind w:left="1260"/>
      <w:jc w:val="left"/>
    </w:pPr>
    <w:rPr>
      <w:szCs w:val="21"/>
    </w:rPr>
  </w:style>
  <w:style w:type="paragraph" w:styleId="14">
    <w:name w:val="List Number 2"/>
    <w:basedOn w:val="1"/>
    <w:qFormat/>
    <w:uiPriority w:val="0"/>
    <w:pPr>
      <w:numPr>
        <w:ilvl w:val="0"/>
        <w:numId w:val="1"/>
      </w:numPr>
      <w:tabs>
        <w:tab w:val="left" w:pos="820"/>
      </w:tabs>
      <w:spacing w:afterLines="50"/>
    </w:pPr>
    <w:rPr>
      <w:sz w:val="24"/>
      <w:szCs w:val="20"/>
    </w:rPr>
  </w:style>
  <w:style w:type="paragraph" w:styleId="15">
    <w:name w:val="caption"/>
    <w:basedOn w:val="1"/>
    <w:next w:val="1"/>
    <w:qFormat/>
    <w:uiPriority w:val="0"/>
    <w:rPr>
      <w:rFonts w:ascii="Arial" w:hAnsi="Arial" w:eastAsia="黑体" w:cs="Arial"/>
      <w:sz w:val="20"/>
      <w:szCs w:val="20"/>
    </w:rPr>
  </w:style>
  <w:style w:type="paragraph" w:styleId="16">
    <w:name w:val="List Bullet"/>
    <w:basedOn w:val="1"/>
    <w:qFormat/>
    <w:uiPriority w:val="0"/>
    <w:pPr>
      <w:tabs>
        <w:tab w:val="left" w:pos="360"/>
      </w:tabs>
      <w:ind w:left="360" w:hanging="360" w:hangingChars="200"/>
    </w:pPr>
    <w:rPr>
      <w:szCs w:val="20"/>
    </w:rPr>
  </w:style>
  <w:style w:type="paragraph" w:styleId="17">
    <w:name w:val="Document Map"/>
    <w:basedOn w:val="1"/>
    <w:link w:val="112"/>
    <w:semiHidden/>
    <w:qFormat/>
    <w:uiPriority w:val="0"/>
    <w:pPr>
      <w:shd w:val="clear" w:color="auto" w:fill="000080"/>
    </w:pPr>
    <w:rPr>
      <w:rFonts w:ascii="Times New Roman" w:hAnsi="Times New Roman" w:cs="Times New Roman"/>
      <w:kern w:val="2"/>
    </w:rPr>
  </w:style>
  <w:style w:type="paragraph" w:styleId="18">
    <w:name w:val="toa heading"/>
    <w:basedOn w:val="1"/>
    <w:next w:val="1"/>
    <w:qFormat/>
    <w:uiPriority w:val="0"/>
    <w:pPr>
      <w:spacing w:before="120"/>
    </w:pPr>
    <w:rPr>
      <w:rFonts w:ascii="Arial" w:hAnsi="Arial"/>
      <w:sz w:val="24"/>
      <w:szCs w:val="20"/>
    </w:rPr>
  </w:style>
  <w:style w:type="paragraph" w:styleId="19">
    <w:name w:val="annotation text"/>
    <w:basedOn w:val="1"/>
    <w:link w:val="74"/>
    <w:qFormat/>
    <w:uiPriority w:val="0"/>
    <w:pPr>
      <w:autoSpaceDE w:val="0"/>
      <w:autoSpaceDN w:val="0"/>
      <w:jc w:val="left"/>
      <w:textAlignment w:val="baseline"/>
    </w:pPr>
    <w:rPr>
      <w:rFonts w:hAnsi="Times New Roman" w:cs="Times New Roman"/>
      <w:sz w:val="34"/>
      <w:szCs w:val="20"/>
    </w:rPr>
  </w:style>
  <w:style w:type="paragraph" w:styleId="20">
    <w:name w:val="Body Text 3"/>
    <w:basedOn w:val="1"/>
    <w:link w:val="274"/>
    <w:qFormat/>
    <w:uiPriority w:val="0"/>
    <w:pPr>
      <w:spacing w:after="120"/>
    </w:pPr>
    <w:rPr>
      <w:rFonts w:ascii="Times New Roman" w:hAnsi="Times New Roman" w:cs="Times New Roman"/>
      <w:kern w:val="2"/>
      <w:sz w:val="16"/>
      <w:szCs w:val="16"/>
    </w:rPr>
  </w:style>
  <w:style w:type="paragraph" w:styleId="21">
    <w:name w:val="Body Text Indent"/>
    <w:basedOn w:val="1"/>
    <w:link w:val="215"/>
    <w:qFormat/>
    <w:uiPriority w:val="0"/>
    <w:pPr>
      <w:ind w:firstLine="420" w:firstLineChars="200"/>
    </w:pPr>
    <w:rPr>
      <w:rFonts w:ascii="Times New Roman" w:hAnsi="Times New Roman" w:cs="Times New Roman"/>
      <w:kern w:val="2"/>
    </w:rPr>
  </w:style>
  <w:style w:type="paragraph" w:styleId="22">
    <w:name w:val="toc 5"/>
    <w:basedOn w:val="1"/>
    <w:next w:val="1"/>
    <w:qFormat/>
    <w:uiPriority w:val="0"/>
    <w:pPr>
      <w:ind w:left="840"/>
      <w:jc w:val="left"/>
    </w:pPr>
    <w:rPr>
      <w:szCs w:val="21"/>
    </w:rPr>
  </w:style>
  <w:style w:type="paragraph" w:styleId="23">
    <w:name w:val="toc 3"/>
    <w:basedOn w:val="1"/>
    <w:next w:val="1"/>
    <w:qFormat/>
    <w:uiPriority w:val="39"/>
    <w:pPr>
      <w:ind w:left="420"/>
      <w:jc w:val="left"/>
    </w:pPr>
    <w:rPr>
      <w:i/>
      <w:iCs/>
    </w:rPr>
  </w:style>
  <w:style w:type="paragraph" w:styleId="24">
    <w:name w:val="Plain Text"/>
    <w:basedOn w:val="1"/>
    <w:link w:val="75"/>
    <w:qFormat/>
    <w:uiPriority w:val="0"/>
    <w:rPr>
      <w:rFonts w:hAnsi="Courier New" w:cs="Times New Roman"/>
      <w:kern w:val="2"/>
      <w:szCs w:val="20"/>
    </w:rPr>
  </w:style>
  <w:style w:type="paragraph" w:styleId="25">
    <w:name w:val="toc 8"/>
    <w:basedOn w:val="1"/>
    <w:next w:val="1"/>
    <w:qFormat/>
    <w:uiPriority w:val="0"/>
    <w:pPr>
      <w:ind w:left="1470"/>
      <w:jc w:val="left"/>
    </w:pPr>
    <w:rPr>
      <w:szCs w:val="21"/>
    </w:rPr>
  </w:style>
  <w:style w:type="paragraph" w:styleId="26">
    <w:name w:val="Date"/>
    <w:basedOn w:val="1"/>
    <w:next w:val="1"/>
    <w:link w:val="85"/>
    <w:qFormat/>
    <w:uiPriority w:val="0"/>
    <w:rPr>
      <w:rFonts w:hAnsi="Courier New" w:cs="Times New Roman"/>
      <w:kern w:val="2"/>
      <w:sz w:val="32"/>
      <w:szCs w:val="20"/>
    </w:rPr>
  </w:style>
  <w:style w:type="paragraph" w:styleId="27">
    <w:name w:val="Body Text Indent 2"/>
    <w:basedOn w:val="1"/>
    <w:link w:val="214"/>
    <w:qFormat/>
    <w:uiPriority w:val="0"/>
    <w:pPr>
      <w:spacing w:beforeLines="50" w:afterLines="50" w:line="120" w:lineRule="auto"/>
      <w:ind w:firstLine="840" w:firstLineChars="400"/>
      <w:jc w:val="left"/>
    </w:pPr>
    <w:rPr>
      <w:rFonts w:cs="Times New Roman"/>
      <w:kern w:val="2"/>
    </w:rPr>
  </w:style>
  <w:style w:type="paragraph" w:styleId="28">
    <w:name w:val="Balloon Text"/>
    <w:basedOn w:val="1"/>
    <w:link w:val="111"/>
    <w:qFormat/>
    <w:uiPriority w:val="0"/>
    <w:rPr>
      <w:rFonts w:ascii="Times New Roman" w:hAnsi="Times New Roman" w:cs="Times New Roman"/>
      <w:kern w:val="2"/>
      <w:sz w:val="18"/>
      <w:szCs w:val="18"/>
    </w:rPr>
  </w:style>
  <w:style w:type="paragraph" w:styleId="29">
    <w:name w:val="footer"/>
    <w:basedOn w:val="1"/>
    <w:link w:val="110"/>
    <w:qFormat/>
    <w:uiPriority w:val="99"/>
    <w:pPr>
      <w:tabs>
        <w:tab w:val="center" w:pos="4153"/>
        <w:tab w:val="right" w:pos="8306"/>
      </w:tabs>
      <w:jc w:val="left"/>
    </w:pPr>
    <w:rPr>
      <w:rFonts w:ascii="Times New Roman" w:hAnsi="Times New Roman" w:cs="Times New Roman"/>
      <w:kern w:val="2"/>
      <w:sz w:val="18"/>
      <w:szCs w:val="18"/>
    </w:rPr>
  </w:style>
  <w:style w:type="paragraph" w:styleId="30">
    <w:name w:val="header"/>
    <w:basedOn w:val="1"/>
    <w:next w:val="1"/>
    <w:link w:val="81"/>
    <w:qFormat/>
    <w:uiPriority w:val="0"/>
    <w:pPr>
      <w:pBdr>
        <w:bottom w:val="single" w:color="auto" w:sz="6" w:space="1"/>
      </w:pBdr>
      <w:tabs>
        <w:tab w:val="center" w:pos="4153"/>
        <w:tab w:val="right" w:pos="8306"/>
      </w:tabs>
      <w:jc w:val="center"/>
    </w:pPr>
    <w:rPr>
      <w:rFonts w:ascii="Times New Roman" w:hAnsi="Times New Roman" w:cs="Times New Roman"/>
      <w:kern w:val="2"/>
      <w:sz w:val="18"/>
      <w:szCs w:val="18"/>
    </w:rPr>
  </w:style>
  <w:style w:type="paragraph" w:styleId="31">
    <w:name w:val="toc 1"/>
    <w:basedOn w:val="1"/>
    <w:next w:val="1"/>
    <w:qFormat/>
    <w:uiPriority w:val="39"/>
    <w:pPr>
      <w:tabs>
        <w:tab w:val="right" w:leader="dot" w:pos="8789"/>
      </w:tabs>
      <w:adjustRightInd/>
      <w:snapToGrid/>
      <w:spacing w:before="120" w:after="120"/>
      <w:jc w:val="left"/>
    </w:pPr>
    <w:rPr>
      <w:b/>
      <w:bCs/>
      <w:caps/>
      <w:sz w:val="28"/>
    </w:rPr>
  </w:style>
  <w:style w:type="paragraph" w:styleId="32">
    <w:name w:val="toc 4"/>
    <w:basedOn w:val="1"/>
    <w:next w:val="1"/>
    <w:qFormat/>
    <w:uiPriority w:val="0"/>
    <w:pPr>
      <w:ind w:left="630"/>
      <w:jc w:val="left"/>
    </w:pPr>
    <w:rPr>
      <w:szCs w:val="21"/>
    </w:rPr>
  </w:style>
  <w:style w:type="paragraph" w:styleId="33">
    <w:name w:val="Subtitle"/>
    <w:basedOn w:val="1"/>
    <w:next w:val="1"/>
    <w:link w:val="78"/>
    <w:qFormat/>
    <w:uiPriority w:val="0"/>
    <w:pPr>
      <w:spacing w:before="240" w:after="60" w:line="312" w:lineRule="auto"/>
      <w:jc w:val="center"/>
      <w:outlineLvl w:val="1"/>
    </w:pPr>
    <w:rPr>
      <w:rFonts w:ascii="Cambria" w:hAnsi="Cambria" w:cs="Times New Roman"/>
      <w:b/>
      <w:bCs/>
      <w:kern w:val="28"/>
      <w:sz w:val="28"/>
      <w:szCs w:val="32"/>
    </w:rPr>
  </w:style>
  <w:style w:type="paragraph" w:styleId="34">
    <w:name w:val="toc 6"/>
    <w:basedOn w:val="1"/>
    <w:next w:val="1"/>
    <w:qFormat/>
    <w:uiPriority w:val="0"/>
    <w:pPr>
      <w:ind w:left="1050"/>
      <w:jc w:val="left"/>
    </w:pPr>
    <w:rPr>
      <w:szCs w:val="21"/>
    </w:rPr>
  </w:style>
  <w:style w:type="paragraph" w:styleId="35">
    <w:name w:val="Body Text Indent 3"/>
    <w:basedOn w:val="1"/>
    <w:link w:val="269"/>
    <w:qFormat/>
    <w:uiPriority w:val="0"/>
    <w:pPr>
      <w:ind w:firstLine="482" w:firstLineChars="200"/>
    </w:pPr>
    <w:rPr>
      <w:rFonts w:hAnsi="Times New Roman" w:cs="Times New Roman"/>
      <w:b/>
      <w:bCs/>
      <w:kern w:val="2"/>
      <w:sz w:val="24"/>
    </w:rPr>
  </w:style>
  <w:style w:type="paragraph" w:styleId="36">
    <w:name w:val="toc 2"/>
    <w:basedOn w:val="1"/>
    <w:next w:val="1"/>
    <w:qFormat/>
    <w:uiPriority w:val="39"/>
    <w:pPr>
      <w:tabs>
        <w:tab w:val="right" w:leader="dot" w:pos="8789"/>
        <w:tab w:val="clear" w:pos="426"/>
      </w:tabs>
      <w:adjustRightInd/>
      <w:snapToGrid/>
      <w:spacing w:line="300" w:lineRule="auto"/>
      <w:ind w:left="50" w:leftChars="50"/>
    </w:pPr>
    <w:rPr>
      <w:smallCaps/>
      <w:sz w:val="28"/>
    </w:rPr>
  </w:style>
  <w:style w:type="paragraph" w:styleId="37">
    <w:name w:val="toc 9"/>
    <w:basedOn w:val="1"/>
    <w:next w:val="1"/>
    <w:qFormat/>
    <w:uiPriority w:val="0"/>
    <w:pPr>
      <w:ind w:left="1680"/>
      <w:jc w:val="left"/>
    </w:pPr>
    <w:rPr>
      <w:szCs w:val="21"/>
    </w:rPr>
  </w:style>
  <w:style w:type="paragraph" w:styleId="38">
    <w:name w:val="Body Text 2"/>
    <w:basedOn w:val="1"/>
    <w:link w:val="273"/>
    <w:qFormat/>
    <w:uiPriority w:val="0"/>
    <w:rPr>
      <w:rFonts w:ascii="Times New Roman" w:hAnsi="Times New Roman" w:cs="Times New Roman"/>
      <w:kern w:val="2"/>
      <w:sz w:val="24"/>
    </w:rPr>
  </w:style>
  <w:style w:type="paragraph" w:styleId="39">
    <w:name w:val="HTML Preformatted"/>
    <w:basedOn w:val="1"/>
    <w:link w:val="272"/>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s="Times New Roman"/>
      <w:color w:val="000000"/>
      <w:sz w:val="20"/>
      <w:szCs w:val="20"/>
    </w:rPr>
  </w:style>
  <w:style w:type="paragraph" w:styleId="40">
    <w:name w:val="Normal (Web)"/>
    <w:basedOn w:val="1"/>
    <w:qFormat/>
    <w:uiPriority w:val="0"/>
    <w:rPr>
      <w:sz w:val="24"/>
    </w:rPr>
  </w:style>
  <w:style w:type="paragraph" w:styleId="41">
    <w:name w:val="index 1"/>
    <w:basedOn w:val="1"/>
    <w:next w:val="1"/>
    <w:qFormat/>
    <w:uiPriority w:val="99"/>
    <w:rPr>
      <w:b/>
      <w:color w:val="0000FF"/>
      <w:sz w:val="24"/>
    </w:rPr>
  </w:style>
  <w:style w:type="paragraph" w:styleId="42">
    <w:name w:val="Title"/>
    <w:basedOn w:val="1"/>
    <w:link w:val="137"/>
    <w:qFormat/>
    <w:uiPriority w:val="0"/>
    <w:pPr>
      <w:spacing w:before="240" w:after="60"/>
      <w:jc w:val="center"/>
      <w:outlineLvl w:val="0"/>
    </w:pPr>
    <w:rPr>
      <w:rFonts w:ascii="Arial" w:hAnsi="Arial" w:cs="Times New Roman"/>
      <w:b/>
      <w:bCs/>
      <w:kern w:val="2"/>
      <w:sz w:val="36"/>
      <w:szCs w:val="32"/>
    </w:rPr>
  </w:style>
  <w:style w:type="paragraph" w:styleId="43">
    <w:name w:val="annotation subject"/>
    <w:basedOn w:val="19"/>
    <w:next w:val="19"/>
    <w:link w:val="252"/>
    <w:qFormat/>
    <w:uiPriority w:val="0"/>
    <w:pPr>
      <w:autoSpaceDE/>
      <w:autoSpaceDN/>
      <w:adjustRightInd/>
      <w:textAlignment w:val="auto"/>
    </w:pPr>
    <w:rPr>
      <w:rFonts w:ascii="Times New Roman"/>
      <w:b/>
      <w:bCs/>
      <w:kern w:val="2"/>
      <w:sz w:val="21"/>
      <w:szCs w:val="24"/>
    </w:rPr>
  </w:style>
  <w:style w:type="table" w:styleId="45">
    <w:name w:val="Table Grid"/>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6">
    <w:name w:val="Table Theme"/>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qFormat/>
    <w:uiPriority w:val="0"/>
    <w:rPr>
      <w:b/>
      <w:bCs/>
    </w:rPr>
  </w:style>
  <w:style w:type="character" w:styleId="49">
    <w:name w:val="page number"/>
    <w:basedOn w:val="47"/>
    <w:qFormat/>
    <w:uiPriority w:val="0"/>
  </w:style>
  <w:style w:type="character" w:styleId="50">
    <w:name w:val="FollowedHyperlink"/>
    <w:qFormat/>
    <w:uiPriority w:val="0"/>
    <w:rPr>
      <w:color w:val="800080"/>
      <w:u w:val="single"/>
    </w:rPr>
  </w:style>
  <w:style w:type="character" w:styleId="51">
    <w:name w:val="Emphasis"/>
    <w:qFormat/>
    <w:uiPriority w:val="0"/>
    <w:rPr>
      <w:i/>
      <w:iCs/>
    </w:rPr>
  </w:style>
  <w:style w:type="character" w:styleId="52">
    <w:name w:val="Hyperlink"/>
    <w:qFormat/>
    <w:uiPriority w:val="0"/>
    <w:rPr>
      <w:color w:val="0000FF"/>
      <w:u w:val="single"/>
    </w:rPr>
  </w:style>
  <w:style w:type="character" w:styleId="53">
    <w:name w:val="annotation reference"/>
    <w:unhideWhenUsed/>
    <w:qFormat/>
    <w:uiPriority w:val="0"/>
    <w:rPr>
      <w:sz w:val="21"/>
      <w:szCs w:val="21"/>
    </w:rPr>
  </w:style>
  <w:style w:type="paragraph" w:styleId="54">
    <w:name w:val="Quote"/>
    <w:basedOn w:val="1"/>
    <w:next w:val="1"/>
    <w:link w:val="257"/>
    <w:qFormat/>
    <w:uiPriority w:val="29"/>
    <w:pPr>
      <w:jc w:val="center"/>
    </w:pPr>
    <w:rPr>
      <w:rFonts w:ascii="Times New Roman" w:hAnsi="Times New Roman" w:cs="Times New Roman"/>
      <w:iCs/>
      <w:color w:val="000000"/>
      <w:kern w:val="2"/>
      <w:sz w:val="24"/>
    </w:rPr>
  </w:style>
  <w:style w:type="paragraph" w:customStyle="1" w:styleId="55">
    <w:name w:val="Default"/>
    <w:link w:val="218"/>
    <w:qFormat/>
    <w:uiPriority w:val="0"/>
    <w:pPr>
      <w:widowControl w:val="0"/>
      <w:autoSpaceDE w:val="0"/>
      <w:autoSpaceDN w:val="0"/>
      <w:adjustRightInd w:val="0"/>
      <w:spacing w:line="360" w:lineRule="auto"/>
      <w:jc w:val="both"/>
    </w:pPr>
    <w:rPr>
      <w:rFonts w:ascii="宋体" w:hAnsi="Calibri" w:eastAsia="宋体" w:cs="Times New Roman"/>
      <w:color w:val="000000"/>
      <w:sz w:val="24"/>
      <w:szCs w:val="24"/>
      <w:lang w:val="en-US" w:eastAsia="zh-CN" w:bidi="ar-SA"/>
    </w:rPr>
  </w:style>
  <w:style w:type="character" w:customStyle="1" w:styleId="56">
    <w:name w:val="标题 3 Char"/>
    <w:qFormat/>
    <w:uiPriority w:val="0"/>
    <w:rPr>
      <w:rFonts w:ascii="黑体" w:eastAsia="黑体"/>
      <w:bCs/>
      <w:sz w:val="30"/>
    </w:rPr>
  </w:style>
  <w:style w:type="character" w:customStyle="1" w:styleId="57">
    <w:name w:val="标题 4 字符"/>
    <w:link w:val="4"/>
    <w:qFormat/>
    <w:uiPriority w:val="0"/>
    <w:rPr>
      <w:rFonts w:ascii="Arial" w:hAnsi="Arial" w:eastAsia="黑体"/>
      <w:b/>
      <w:bCs/>
      <w:kern w:val="2"/>
      <w:sz w:val="28"/>
      <w:szCs w:val="28"/>
      <w:lang w:val="en-US" w:eastAsia="zh-CN" w:bidi="ar-SA"/>
    </w:rPr>
  </w:style>
  <w:style w:type="paragraph" w:customStyle="1" w:styleId="58">
    <w:name w:val="Char"/>
    <w:basedOn w:val="1"/>
    <w:qFormat/>
    <w:uiPriority w:val="0"/>
    <w:pPr>
      <w:spacing w:after="160" w:line="240" w:lineRule="exact"/>
      <w:jc w:val="left"/>
    </w:pPr>
    <w:rPr>
      <w:rFonts w:ascii="Verdana" w:hAnsi="Verdana" w:eastAsia="仿宋_GB2312"/>
      <w:sz w:val="24"/>
      <w:szCs w:val="20"/>
      <w:lang w:eastAsia="en-US"/>
    </w:rPr>
  </w:style>
  <w:style w:type="character" w:customStyle="1" w:styleId="59">
    <w:name w:val="标题 3 字符"/>
    <w:link w:val="3"/>
    <w:qFormat/>
    <w:uiPriority w:val="0"/>
    <w:rPr>
      <w:rFonts w:ascii="宋体" w:hAnsi="宋体"/>
      <w:b/>
      <w:bCs/>
      <w:kern w:val="2"/>
      <w:sz w:val="24"/>
      <w:szCs w:val="32"/>
      <w:shd w:val="clear" w:color="auto" w:fill="FFFFFF"/>
    </w:rPr>
  </w:style>
  <w:style w:type="character" w:customStyle="1" w:styleId="60">
    <w:name w:val="标题 1 字符"/>
    <w:link w:val="2"/>
    <w:qFormat/>
    <w:uiPriority w:val="0"/>
    <w:rPr>
      <w:rFonts w:ascii="宋体" w:hAnsi="宋体" w:eastAsia="黑体"/>
      <w:b/>
      <w:bCs/>
      <w:kern w:val="44"/>
      <w:sz w:val="32"/>
      <w:szCs w:val="32"/>
      <w:shd w:val="clear" w:color="auto" w:fill="FFFFFF"/>
    </w:rPr>
  </w:style>
  <w:style w:type="character" w:customStyle="1" w:styleId="61">
    <w:name w:val="正文缩进 字符"/>
    <w:link w:val="7"/>
    <w:qFormat/>
    <w:uiPriority w:val="0"/>
    <w:rPr>
      <w:rFonts w:eastAsia="宋体"/>
      <w:kern w:val="2"/>
      <w:sz w:val="21"/>
      <w:lang w:val="en-US" w:eastAsia="zh-CN" w:bidi="ar-SA"/>
    </w:rPr>
  </w:style>
  <w:style w:type="paragraph" w:customStyle="1" w:styleId="62">
    <w:name w:val="样式41"/>
    <w:basedOn w:val="1"/>
    <w:qFormat/>
    <w:uiPriority w:val="0"/>
    <w:pPr>
      <w:tabs>
        <w:tab w:val="left" w:pos="945"/>
        <w:tab w:val="left" w:pos="2040"/>
      </w:tabs>
      <w:ind w:left="2040" w:leftChars="800" w:hanging="360" w:hangingChars="200"/>
    </w:pPr>
    <w:rPr>
      <w:b/>
      <w:color w:val="000000"/>
      <w:sz w:val="24"/>
      <w:szCs w:val="20"/>
    </w:rPr>
  </w:style>
  <w:style w:type="paragraph" w:customStyle="1" w:styleId="63">
    <w:name w:val="图"/>
    <w:basedOn w:val="1"/>
    <w:qFormat/>
    <w:uiPriority w:val="0"/>
    <w:pPr>
      <w:keepNext/>
      <w:spacing w:before="60" w:after="60" w:line="300" w:lineRule="auto"/>
      <w:jc w:val="center"/>
    </w:pPr>
    <w:rPr>
      <w:spacing w:val="20"/>
      <w:sz w:val="24"/>
      <w:szCs w:val="20"/>
    </w:rPr>
  </w:style>
  <w:style w:type="paragraph" w:customStyle="1" w:styleId="64">
    <w:name w:val="文档正文"/>
    <w:basedOn w:val="1"/>
    <w:qFormat/>
    <w:uiPriority w:val="0"/>
    <w:pPr>
      <w:spacing w:line="480" w:lineRule="atLeast"/>
      <w:ind w:firstLine="567" w:firstLineChars="200"/>
      <w:textAlignment w:val="baseline"/>
    </w:pPr>
    <w:rPr>
      <w:rFonts w:ascii="长城仿宋"/>
      <w:szCs w:val="20"/>
    </w:rPr>
  </w:style>
  <w:style w:type="paragraph" w:customStyle="1" w:styleId="65">
    <w:name w:val="Char Char Char Char"/>
    <w:basedOn w:val="1"/>
    <w:qFormat/>
    <w:uiPriority w:val="0"/>
    <w:pPr>
      <w:spacing w:after="160" w:line="240" w:lineRule="exact"/>
      <w:jc w:val="left"/>
    </w:pPr>
    <w:rPr>
      <w:rFonts w:ascii="Verdana" w:hAnsi="Verdana" w:eastAsia="仿宋_GB2312"/>
      <w:sz w:val="24"/>
      <w:szCs w:val="20"/>
      <w:lang w:eastAsia="en-US"/>
    </w:rPr>
  </w:style>
  <w:style w:type="paragraph" w:customStyle="1" w:styleId="66">
    <w:name w:val="Char1"/>
    <w:basedOn w:val="1"/>
    <w:qFormat/>
    <w:uiPriority w:val="0"/>
    <w:pPr>
      <w:spacing w:after="160" w:line="240" w:lineRule="exact"/>
      <w:jc w:val="left"/>
    </w:pPr>
    <w:rPr>
      <w:rFonts w:ascii="Verdana" w:hAnsi="Verdana" w:eastAsia="仿宋_GB2312"/>
      <w:sz w:val="24"/>
      <w:szCs w:val="20"/>
      <w:lang w:eastAsia="en-US"/>
    </w:rPr>
  </w:style>
  <w:style w:type="paragraph" w:customStyle="1" w:styleId="67">
    <w:name w:val="Char Char Char Char1"/>
    <w:basedOn w:val="1"/>
    <w:qFormat/>
    <w:uiPriority w:val="0"/>
    <w:pPr>
      <w:spacing w:after="160" w:line="240" w:lineRule="exact"/>
      <w:jc w:val="left"/>
    </w:pPr>
    <w:rPr>
      <w:rFonts w:ascii="Verdana" w:hAnsi="Verdana" w:eastAsia="仿宋_GB2312"/>
      <w:sz w:val="24"/>
      <w:szCs w:val="20"/>
      <w:lang w:eastAsia="en-US"/>
    </w:rPr>
  </w:style>
  <w:style w:type="paragraph" w:customStyle="1" w:styleId="6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69">
    <w:name w:val="自定义正文"/>
    <w:basedOn w:val="1"/>
    <w:qFormat/>
    <w:uiPriority w:val="0"/>
    <w:pPr>
      <w:spacing w:afterLines="50"/>
      <w:ind w:left="600" w:leftChars="600"/>
    </w:pPr>
  </w:style>
  <w:style w:type="paragraph" w:customStyle="1" w:styleId="70">
    <w:name w:val="Char Char Char Char Char"/>
    <w:basedOn w:val="1"/>
    <w:qFormat/>
    <w:uiPriority w:val="0"/>
    <w:rPr>
      <w:rFonts w:ascii="Tahoma" w:hAnsi="Tahoma"/>
      <w:sz w:val="24"/>
      <w:szCs w:val="20"/>
    </w:rPr>
  </w:style>
  <w:style w:type="paragraph" w:customStyle="1" w:styleId="71">
    <w:name w:val="小标题 1"/>
    <w:basedOn w:val="1"/>
    <w:qFormat/>
    <w:uiPriority w:val="0"/>
    <w:pPr>
      <w:autoSpaceDE w:val="0"/>
      <w:autoSpaceDN w:val="0"/>
      <w:spacing w:line="360" w:lineRule="atLeast"/>
    </w:pPr>
    <w:rPr>
      <w:rFonts w:ascii="文鼎粗黑" w:eastAsia="文鼎粗黑"/>
      <w:sz w:val="22"/>
      <w:szCs w:val="20"/>
    </w:rPr>
  </w:style>
  <w:style w:type="paragraph" w:customStyle="1" w:styleId="72">
    <w:name w:val="Char Char"/>
    <w:basedOn w:val="1"/>
    <w:qFormat/>
    <w:uiPriority w:val="0"/>
    <w:rPr>
      <w:rFonts w:ascii="Tahoma" w:hAnsi="Tahoma"/>
      <w:sz w:val="24"/>
      <w:szCs w:val="20"/>
    </w:rPr>
  </w:style>
  <w:style w:type="paragraph" w:customStyle="1" w:styleId="73">
    <w:name w:val="È±Ê¡ÎÄ±¾"/>
    <w:basedOn w:val="1"/>
    <w:qFormat/>
    <w:uiPriority w:val="0"/>
    <w:pPr>
      <w:overflowPunct w:val="0"/>
      <w:autoSpaceDE w:val="0"/>
      <w:autoSpaceDN w:val="0"/>
      <w:jc w:val="left"/>
      <w:textAlignment w:val="baseline"/>
    </w:pPr>
    <w:rPr>
      <w:sz w:val="24"/>
      <w:szCs w:val="20"/>
    </w:rPr>
  </w:style>
  <w:style w:type="character" w:customStyle="1" w:styleId="74">
    <w:name w:val="批注文字 字符"/>
    <w:link w:val="19"/>
    <w:qFormat/>
    <w:uiPriority w:val="0"/>
    <w:rPr>
      <w:rFonts w:ascii="宋体" w:eastAsia="宋体"/>
      <w:sz w:val="34"/>
      <w:lang w:val="en-US" w:eastAsia="zh-CN" w:bidi="ar-SA"/>
    </w:rPr>
  </w:style>
  <w:style w:type="character" w:customStyle="1" w:styleId="75">
    <w:name w:val="纯文本 字符"/>
    <w:link w:val="24"/>
    <w:qFormat/>
    <w:uiPriority w:val="0"/>
    <w:rPr>
      <w:rFonts w:ascii="宋体" w:hAnsi="Courier New"/>
      <w:kern w:val="2"/>
      <w:sz w:val="21"/>
    </w:rPr>
  </w:style>
  <w:style w:type="character" w:customStyle="1" w:styleId="76">
    <w:name w:val="apple-converted-space"/>
    <w:basedOn w:val="47"/>
    <w:qFormat/>
    <w:uiPriority w:val="0"/>
  </w:style>
  <w:style w:type="paragraph" w:customStyle="1" w:styleId="77">
    <w:name w:val="TOC 标题1"/>
    <w:basedOn w:val="2"/>
    <w:next w:val="1"/>
    <w:qFormat/>
    <w:uiPriority w:val="39"/>
    <w:pPr>
      <w:spacing w:before="480" w:after="0" w:line="276" w:lineRule="auto"/>
      <w:jc w:val="left"/>
      <w:outlineLvl w:val="9"/>
    </w:pPr>
    <w:rPr>
      <w:rFonts w:ascii="Cambria" w:hAnsi="Cambria" w:eastAsia="宋体"/>
      <w:color w:val="365F91"/>
      <w:kern w:val="0"/>
    </w:rPr>
  </w:style>
  <w:style w:type="character" w:customStyle="1" w:styleId="78">
    <w:name w:val="副标题 字符"/>
    <w:link w:val="33"/>
    <w:qFormat/>
    <w:uiPriority w:val="0"/>
    <w:rPr>
      <w:rFonts w:ascii="Cambria" w:hAnsi="Cambria" w:cs="Times New Roman"/>
      <w:b/>
      <w:bCs/>
      <w:kern w:val="28"/>
      <w:sz w:val="28"/>
      <w:szCs w:val="32"/>
    </w:rPr>
  </w:style>
  <w:style w:type="paragraph" w:customStyle="1" w:styleId="79">
    <w:name w:val="Char Char Char"/>
    <w:basedOn w:val="1"/>
    <w:qFormat/>
    <w:uiPriority w:val="0"/>
    <w:rPr>
      <w:rFonts w:ascii="Tahoma" w:hAnsi="Tahoma"/>
      <w:sz w:val="24"/>
      <w:szCs w:val="20"/>
    </w:rPr>
  </w:style>
  <w:style w:type="paragraph" w:customStyle="1" w:styleId="80">
    <w:name w:val="列出段落1"/>
    <w:basedOn w:val="1"/>
    <w:link w:val="90"/>
    <w:qFormat/>
    <w:uiPriority w:val="0"/>
    <w:pPr>
      <w:ind w:firstLine="420" w:firstLineChars="200"/>
    </w:pPr>
    <w:rPr>
      <w:rFonts w:ascii="Times New Roman" w:hAnsi="Times New Roman" w:cs="Times New Roman"/>
      <w:kern w:val="2"/>
    </w:rPr>
  </w:style>
  <w:style w:type="character" w:customStyle="1" w:styleId="81">
    <w:name w:val="页眉 字符"/>
    <w:link w:val="30"/>
    <w:qFormat/>
    <w:uiPriority w:val="0"/>
    <w:rPr>
      <w:kern w:val="2"/>
      <w:sz w:val="18"/>
      <w:szCs w:val="18"/>
    </w:rPr>
  </w:style>
  <w:style w:type="paragraph" w:customStyle="1" w:styleId="82">
    <w:name w:val="主题"/>
    <w:basedOn w:val="1"/>
    <w:qFormat/>
    <w:uiPriority w:val="0"/>
  </w:style>
  <w:style w:type="paragraph" w:customStyle="1" w:styleId="83">
    <w:name w:val="默认段落字体 Para Char Char Char Char Char Char Char Char Char3 Char Char Char Char"/>
    <w:basedOn w:val="17"/>
    <w:qFormat/>
    <w:uiPriority w:val="0"/>
    <w:pPr>
      <w:spacing w:line="436" w:lineRule="exact"/>
      <w:ind w:left="357"/>
      <w:jc w:val="left"/>
      <w:outlineLvl w:val="3"/>
    </w:pPr>
    <w:rPr>
      <w:rFonts w:ascii="Tahoma" w:hAnsi="Tahoma"/>
      <w:b/>
      <w:sz w:val="24"/>
    </w:rPr>
  </w:style>
  <w:style w:type="paragraph" w:customStyle="1" w:styleId="84">
    <w:name w:val="目次、标准名称标题"/>
    <w:basedOn w:val="1"/>
    <w:next w:val="1"/>
    <w:qFormat/>
    <w:uiPriority w:val="0"/>
    <w:pPr>
      <w:shd w:val="clear" w:color="FFFFFF" w:fill="FFFFFF"/>
      <w:spacing w:before="640" w:after="560" w:line="460" w:lineRule="exact"/>
      <w:jc w:val="center"/>
      <w:outlineLvl w:val="0"/>
    </w:pPr>
    <w:rPr>
      <w:rFonts w:ascii="黑体" w:eastAsia="黑体"/>
      <w:sz w:val="32"/>
      <w:szCs w:val="20"/>
    </w:rPr>
  </w:style>
  <w:style w:type="character" w:customStyle="1" w:styleId="85">
    <w:name w:val="日期 字符"/>
    <w:link w:val="26"/>
    <w:qFormat/>
    <w:uiPriority w:val="0"/>
    <w:rPr>
      <w:rFonts w:ascii="宋体" w:hAnsi="Courier New"/>
      <w:kern w:val="2"/>
      <w:sz w:val="32"/>
    </w:rPr>
  </w:style>
  <w:style w:type="paragraph" w:customStyle="1" w:styleId="86">
    <w:name w:val="表1黑体居中"/>
    <w:basedOn w:val="1"/>
    <w:qFormat/>
    <w:uiPriority w:val="0"/>
    <w:pPr>
      <w:ind w:firstLine="435"/>
      <w:jc w:val="center"/>
      <w:textAlignment w:val="baseline"/>
    </w:pPr>
    <w:rPr>
      <w:rFonts w:ascii="黑体" w:eastAsia="黑体"/>
      <w:szCs w:val="21"/>
    </w:rPr>
  </w:style>
  <w:style w:type="paragraph" w:customStyle="1" w:styleId="87">
    <w:name w:val="MaoC2"/>
    <w:basedOn w:val="1"/>
    <w:qFormat/>
    <w:uiPriority w:val="0"/>
    <w:pPr>
      <w:numPr>
        <w:ilvl w:val="1"/>
        <w:numId w:val="2"/>
      </w:numPr>
      <w:spacing w:line="480" w:lineRule="auto"/>
      <w:outlineLvl w:val="1"/>
    </w:pPr>
    <w:rPr>
      <w:rFonts w:ascii="黑体" w:eastAsia="黑体"/>
      <w:szCs w:val="20"/>
    </w:rPr>
  </w:style>
  <w:style w:type="paragraph" w:customStyle="1" w:styleId="88">
    <w:name w:val="图目录4"/>
    <w:basedOn w:val="1"/>
    <w:next w:val="1"/>
    <w:qFormat/>
    <w:uiPriority w:val="0"/>
    <w:pPr>
      <w:numPr>
        <w:ilvl w:val="0"/>
        <w:numId w:val="3"/>
      </w:numPr>
      <w:ind w:hanging="448"/>
      <w:jc w:val="center"/>
      <w:textAlignment w:val="baseline"/>
    </w:pPr>
    <w:rPr>
      <w:szCs w:val="20"/>
    </w:rPr>
  </w:style>
  <w:style w:type="paragraph" w:customStyle="1" w:styleId="89">
    <w:name w:val="段"/>
    <w:qFormat/>
    <w:uiPriority w:val="0"/>
    <w:pPr>
      <w:autoSpaceDE w:val="0"/>
      <w:autoSpaceDN w:val="0"/>
      <w:spacing w:line="360" w:lineRule="auto"/>
      <w:ind w:firstLine="200" w:firstLineChars="200"/>
      <w:jc w:val="both"/>
    </w:pPr>
    <w:rPr>
      <w:rFonts w:ascii="宋体" w:hAnsi="Times New Roman" w:eastAsia="宋体" w:cs="Times New Roman"/>
      <w:sz w:val="21"/>
      <w:lang w:val="en-US" w:eastAsia="zh-CN" w:bidi="ar-SA"/>
    </w:rPr>
  </w:style>
  <w:style w:type="character" w:customStyle="1" w:styleId="90">
    <w:name w:val="列出段落 Char"/>
    <w:link w:val="80"/>
    <w:qFormat/>
    <w:uiPriority w:val="0"/>
    <w:rPr>
      <w:kern w:val="2"/>
      <w:sz w:val="21"/>
      <w:szCs w:val="24"/>
    </w:rPr>
  </w:style>
  <w:style w:type="table" w:customStyle="1" w:styleId="91">
    <w:name w:val="Table Normal"/>
    <w:qFormat/>
    <w:uiPriority w:val="0"/>
    <w:pPr>
      <w:spacing w:line="360" w:lineRule="auto"/>
      <w:jc w:val="both"/>
    </w:pPr>
    <w:tblPr>
      <w:tblCellMar>
        <w:top w:w="0" w:type="dxa"/>
        <w:left w:w="0" w:type="dxa"/>
        <w:bottom w:w="0" w:type="dxa"/>
        <w:right w:w="0" w:type="dxa"/>
      </w:tblCellMar>
    </w:tblPr>
  </w:style>
  <w:style w:type="paragraph" w:customStyle="1" w:styleId="92">
    <w:name w:val="样式1"/>
    <w:basedOn w:val="1"/>
    <w:qFormat/>
    <w:uiPriority w:val="0"/>
    <w:pPr>
      <w:keepNext/>
      <w:keepLines/>
      <w:numPr>
        <w:ilvl w:val="0"/>
        <w:numId w:val="4"/>
      </w:numPr>
      <w:spacing w:before="340" w:after="330"/>
      <w:outlineLvl w:val="0"/>
    </w:pPr>
    <w:rPr>
      <w:b/>
      <w:kern w:val="44"/>
      <w:sz w:val="44"/>
      <w:szCs w:val="20"/>
    </w:rPr>
  </w:style>
  <w:style w:type="paragraph" w:customStyle="1" w:styleId="93">
    <w:name w:val="参数内容"/>
    <w:basedOn w:val="80"/>
    <w:qFormat/>
    <w:uiPriority w:val="0"/>
    <w:pPr>
      <w:numPr>
        <w:ilvl w:val="0"/>
        <w:numId w:val="5"/>
      </w:numPr>
      <w:ind w:firstLine="0" w:firstLineChars="0"/>
    </w:pPr>
    <w:rPr>
      <w:szCs w:val="18"/>
    </w:rPr>
  </w:style>
  <w:style w:type="paragraph" w:customStyle="1" w:styleId="94">
    <w:name w:val="标准正文"/>
    <w:basedOn w:val="21"/>
    <w:link w:val="95"/>
    <w:qFormat/>
    <w:uiPriority w:val="0"/>
    <w:pPr>
      <w:spacing w:before="60" w:after="60"/>
      <w:ind w:firstLine="482" w:firstLineChars="0"/>
      <w:jc w:val="left"/>
    </w:pPr>
    <w:rPr>
      <w:rFonts w:ascii="宋体" w:hAnsi="宋体"/>
      <w:kern w:val="0"/>
      <w:sz w:val="24"/>
      <w:szCs w:val="20"/>
    </w:rPr>
  </w:style>
  <w:style w:type="character" w:customStyle="1" w:styleId="95">
    <w:name w:val="标准正文 Char"/>
    <w:link w:val="94"/>
    <w:qFormat/>
    <w:uiPriority w:val="0"/>
    <w:rPr>
      <w:rFonts w:ascii="宋体" w:hAnsi="宋体" w:cs="宋体"/>
      <w:sz w:val="24"/>
    </w:rPr>
  </w:style>
  <w:style w:type="paragraph" w:customStyle="1" w:styleId="96">
    <w:name w:val="下级参数内容"/>
    <w:basedOn w:val="80"/>
    <w:qFormat/>
    <w:uiPriority w:val="0"/>
    <w:pPr>
      <w:numPr>
        <w:ilvl w:val="0"/>
        <w:numId w:val="6"/>
      </w:numPr>
      <w:ind w:left="1134" w:firstLine="0" w:firstLineChars="0"/>
    </w:pPr>
    <w:rPr>
      <w:rFonts w:ascii="仿宋" w:hAnsi="仿宋"/>
    </w:rPr>
  </w:style>
  <w:style w:type="paragraph" w:customStyle="1" w:styleId="97">
    <w:name w:val="Char Char Char1"/>
    <w:basedOn w:val="1"/>
    <w:qFormat/>
    <w:uiPriority w:val="0"/>
    <w:rPr>
      <w:rFonts w:ascii="Tahoma" w:hAnsi="Tahoma"/>
      <w:sz w:val="24"/>
      <w:szCs w:val="20"/>
    </w:rPr>
  </w:style>
  <w:style w:type="paragraph" w:customStyle="1" w:styleId="98">
    <w:name w:val="Char Char10 Char Char"/>
    <w:basedOn w:val="17"/>
    <w:qFormat/>
    <w:uiPriority w:val="0"/>
    <w:rPr>
      <w:rFonts w:ascii="Tahoma" w:hAnsi="Tahoma"/>
      <w:sz w:val="24"/>
    </w:rPr>
  </w:style>
  <w:style w:type="paragraph" w:customStyle="1" w:styleId="99">
    <w:name w:val="_Style 95"/>
    <w:unhideWhenUsed/>
    <w:qFormat/>
    <w:uiPriority w:val="99"/>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100">
    <w:name w:val="font5"/>
    <w:basedOn w:val="1"/>
    <w:qFormat/>
    <w:uiPriority w:val="0"/>
    <w:pPr>
      <w:spacing w:before="100" w:beforeAutospacing="1" w:after="100" w:afterAutospacing="1"/>
      <w:jc w:val="left"/>
    </w:pPr>
    <w:rPr>
      <w:sz w:val="18"/>
      <w:szCs w:val="18"/>
    </w:rPr>
  </w:style>
  <w:style w:type="paragraph" w:customStyle="1" w:styleId="101">
    <w:name w:val="xl65"/>
    <w:basedOn w:val="1"/>
    <w:qFormat/>
    <w:uiPriority w:val="0"/>
    <w:pPr>
      <w:pBdr>
        <w:top w:val="single" w:color="auto" w:sz="8" w:space="0"/>
        <w:bottom w:val="single" w:color="auto" w:sz="8" w:space="0"/>
        <w:right w:val="single" w:color="auto" w:sz="8" w:space="0"/>
      </w:pBdr>
      <w:shd w:val="clear" w:color="000000" w:fill="FFFFFF"/>
      <w:spacing w:before="100" w:beforeAutospacing="1" w:after="100" w:afterAutospacing="1"/>
      <w:jc w:val="center"/>
      <w:textAlignment w:val="center"/>
    </w:pPr>
    <w:rPr>
      <w:b/>
      <w:bCs/>
      <w:sz w:val="24"/>
    </w:rPr>
  </w:style>
  <w:style w:type="paragraph" w:customStyle="1" w:styleId="102">
    <w:name w:val="xl66"/>
    <w:basedOn w:val="1"/>
    <w:qFormat/>
    <w:uiPriority w:val="0"/>
    <w:pPr>
      <w:pBdr>
        <w:bottom w:val="single" w:color="auto" w:sz="8" w:space="0"/>
        <w:right w:val="single" w:color="auto" w:sz="8" w:space="0"/>
      </w:pBdr>
      <w:shd w:val="clear" w:color="000000" w:fill="FFFFFF"/>
      <w:spacing w:before="100" w:beforeAutospacing="1" w:after="100" w:afterAutospacing="1"/>
      <w:jc w:val="center"/>
      <w:textAlignment w:val="center"/>
    </w:pPr>
    <w:rPr>
      <w:sz w:val="24"/>
    </w:rPr>
  </w:style>
  <w:style w:type="paragraph" w:customStyle="1" w:styleId="103">
    <w:name w:val="xl67"/>
    <w:basedOn w:val="1"/>
    <w:qFormat/>
    <w:uiPriority w:val="0"/>
    <w:pPr>
      <w:pBdr>
        <w:bottom w:val="single" w:color="auto" w:sz="8" w:space="0"/>
        <w:right w:val="single" w:color="auto" w:sz="8" w:space="0"/>
      </w:pBdr>
      <w:shd w:val="clear" w:color="000000" w:fill="FFFFFF"/>
      <w:spacing w:before="100" w:beforeAutospacing="1" w:after="100" w:afterAutospacing="1"/>
      <w:jc w:val="center"/>
      <w:textAlignment w:val="center"/>
    </w:pPr>
    <w:rPr>
      <w:color w:val="000000"/>
      <w:sz w:val="24"/>
    </w:rPr>
  </w:style>
  <w:style w:type="paragraph" w:customStyle="1" w:styleId="104">
    <w:name w:val="xl68"/>
    <w:basedOn w:val="1"/>
    <w:qFormat/>
    <w:uiPriority w:val="0"/>
    <w:pPr>
      <w:pBdr>
        <w:top w:val="single" w:color="auto" w:sz="8" w:space="0"/>
        <w:left w:val="single" w:color="auto" w:sz="8" w:space="0"/>
        <w:bottom w:val="single" w:color="auto" w:sz="8" w:space="0"/>
        <w:right w:val="single" w:color="auto" w:sz="8" w:space="0"/>
      </w:pBdr>
      <w:shd w:val="clear" w:color="000000" w:fill="FFFFFF"/>
      <w:spacing w:before="100" w:beforeAutospacing="1" w:after="100" w:afterAutospacing="1"/>
      <w:jc w:val="left"/>
      <w:textAlignment w:val="center"/>
    </w:pPr>
    <w:rPr>
      <w:b/>
      <w:bCs/>
      <w:sz w:val="24"/>
    </w:rPr>
  </w:style>
  <w:style w:type="paragraph" w:customStyle="1" w:styleId="105">
    <w:name w:val="xl69"/>
    <w:basedOn w:val="1"/>
    <w:qFormat/>
    <w:uiPriority w:val="0"/>
    <w:pPr>
      <w:pBdr>
        <w:left w:val="single" w:color="auto" w:sz="8" w:space="0"/>
        <w:bottom w:val="single" w:color="auto" w:sz="8" w:space="0"/>
        <w:right w:val="single" w:color="auto" w:sz="8" w:space="0"/>
      </w:pBdr>
      <w:shd w:val="clear" w:color="000000" w:fill="FFFFFF"/>
      <w:spacing w:before="100" w:beforeAutospacing="1" w:after="100" w:afterAutospacing="1"/>
      <w:jc w:val="center"/>
      <w:textAlignment w:val="center"/>
    </w:pPr>
    <w:rPr>
      <w:sz w:val="24"/>
    </w:rPr>
  </w:style>
  <w:style w:type="paragraph" w:customStyle="1" w:styleId="106">
    <w:name w:val="样式 标题 3style3H3h33rd levelLevel 3 Headlevel_3PIM 33l3C..."/>
    <w:basedOn w:val="3"/>
    <w:qFormat/>
    <w:uiPriority w:val="0"/>
    <w:pPr>
      <w:tabs>
        <w:tab w:val="left" w:pos="851"/>
      </w:tabs>
      <w:spacing w:beforeLines="50" w:afterLines="50" w:line="415" w:lineRule="auto"/>
      <w:ind w:left="-4" w:leftChars="-2" w:right="220" w:firstLine="571" w:firstLineChars="203"/>
      <w:jc w:val="left"/>
    </w:pPr>
    <w:rPr>
      <w:rFonts w:ascii="Times New Roman" w:hAnsi="Times New Roman" w:cs="宋体"/>
      <w:bCs w:val="0"/>
      <w:color w:val="000000"/>
      <w:szCs w:val="20"/>
    </w:rPr>
  </w:style>
  <w:style w:type="paragraph" w:customStyle="1" w:styleId="107">
    <w:name w:val="样式2"/>
    <w:basedOn w:val="2"/>
    <w:qFormat/>
    <w:uiPriority w:val="0"/>
    <w:pPr>
      <w:keepNext/>
      <w:keepLines/>
      <w:spacing w:before="0" w:after="0" w:line="578" w:lineRule="auto"/>
      <w:ind w:left="1200" w:hanging="420"/>
      <w:jc w:val="both"/>
    </w:pPr>
    <w:rPr>
      <w:rFonts w:eastAsia="宋体"/>
      <w:szCs w:val="44"/>
    </w:rPr>
  </w:style>
  <w:style w:type="paragraph" w:customStyle="1" w:styleId="108">
    <w:name w:val="样式3"/>
    <w:basedOn w:val="1"/>
    <w:qFormat/>
    <w:uiPriority w:val="0"/>
    <w:pPr>
      <w:ind w:left="1620" w:hanging="420"/>
      <w:outlineLvl w:val="2"/>
    </w:pPr>
    <w:rPr>
      <w:b/>
    </w:rPr>
  </w:style>
  <w:style w:type="paragraph" w:customStyle="1" w:styleId="109">
    <w:name w:val="样式4"/>
    <w:basedOn w:val="80"/>
    <w:qFormat/>
    <w:uiPriority w:val="0"/>
    <w:pPr>
      <w:ind w:left="2040" w:firstLine="0" w:firstLineChars="0"/>
      <w:jc w:val="left"/>
      <w:outlineLvl w:val="3"/>
    </w:pPr>
    <w:rPr>
      <w:rFonts w:ascii="宋体" w:hAnsi="宋体"/>
    </w:rPr>
  </w:style>
  <w:style w:type="character" w:customStyle="1" w:styleId="110">
    <w:name w:val="页脚 字符"/>
    <w:link w:val="29"/>
    <w:qFormat/>
    <w:uiPriority w:val="99"/>
    <w:rPr>
      <w:kern w:val="2"/>
      <w:sz w:val="18"/>
      <w:szCs w:val="18"/>
    </w:rPr>
  </w:style>
  <w:style w:type="character" w:customStyle="1" w:styleId="111">
    <w:name w:val="批注框文本 字符"/>
    <w:link w:val="28"/>
    <w:qFormat/>
    <w:uiPriority w:val="0"/>
    <w:rPr>
      <w:kern w:val="2"/>
      <w:sz w:val="18"/>
      <w:szCs w:val="18"/>
    </w:rPr>
  </w:style>
  <w:style w:type="character" w:customStyle="1" w:styleId="112">
    <w:name w:val="文档结构图 字符"/>
    <w:link w:val="17"/>
    <w:semiHidden/>
    <w:qFormat/>
    <w:uiPriority w:val="0"/>
    <w:rPr>
      <w:kern w:val="2"/>
      <w:sz w:val="21"/>
      <w:szCs w:val="24"/>
      <w:shd w:val="clear" w:color="auto" w:fill="000080"/>
    </w:rPr>
  </w:style>
  <w:style w:type="paragraph" w:customStyle="1" w:styleId="113">
    <w:name w:val="p0"/>
    <w:basedOn w:val="1"/>
    <w:qFormat/>
    <w:uiPriority w:val="0"/>
    <w:rPr>
      <w:rFonts w:ascii="Calibri" w:hAnsi="Calibri"/>
      <w:szCs w:val="21"/>
    </w:rPr>
  </w:style>
  <w:style w:type="paragraph" w:customStyle="1" w:styleId="114">
    <w:name w:val="图标题"/>
    <w:basedOn w:val="1"/>
    <w:link w:val="118"/>
    <w:qFormat/>
    <w:uiPriority w:val="0"/>
    <w:pPr>
      <w:jc w:val="center"/>
    </w:pPr>
    <w:rPr>
      <w:rFonts w:cs="Times New Roman"/>
      <w:kern w:val="2"/>
    </w:rPr>
  </w:style>
  <w:style w:type="paragraph" w:customStyle="1" w:styleId="115">
    <w:name w:val="表标题"/>
    <w:basedOn w:val="1"/>
    <w:qFormat/>
    <w:uiPriority w:val="0"/>
    <w:pPr>
      <w:jc w:val="center"/>
    </w:pPr>
    <w:rPr>
      <w:rFonts w:eastAsia="黑体"/>
      <w:b/>
    </w:rPr>
  </w:style>
  <w:style w:type="paragraph" w:customStyle="1" w:styleId="116">
    <w:name w:val="正文-1级标题-1"/>
    <w:basedOn w:val="1"/>
    <w:next w:val="1"/>
    <w:qFormat/>
    <w:uiPriority w:val="0"/>
    <w:pPr>
      <w:keepNext/>
      <w:numPr>
        <w:ilvl w:val="0"/>
        <w:numId w:val="7"/>
      </w:numPr>
      <w:spacing w:beforeLines="30" w:afterLines="30"/>
      <w:ind w:firstLine="0"/>
    </w:pPr>
    <w:rPr>
      <w:b/>
      <w:sz w:val="24"/>
      <w:szCs w:val="28"/>
      <w:lang w:val="en-GB"/>
    </w:rPr>
  </w:style>
  <w:style w:type="paragraph" w:customStyle="1" w:styleId="117">
    <w:name w:val="正文-1级列表-(1)"/>
    <w:basedOn w:val="1"/>
    <w:qFormat/>
    <w:uiPriority w:val="0"/>
    <w:pPr>
      <w:numPr>
        <w:ilvl w:val="1"/>
        <w:numId w:val="7"/>
      </w:numPr>
      <w:ind w:firstLine="0"/>
    </w:pPr>
    <w:rPr>
      <w:sz w:val="24"/>
      <w:lang w:val="en-GB"/>
    </w:rPr>
  </w:style>
  <w:style w:type="character" w:customStyle="1" w:styleId="118">
    <w:name w:val="图标题 Char"/>
    <w:link w:val="114"/>
    <w:qFormat/>
    <w:uiPriority w:val="0"/>
    <w:rPr>
      <w:rFonts w:ascii="宋体" w:hAnsi="宋体"/>
      <w:kern w:val="2"/>
      <w:sz w:val="21"/>
      <w:szCs w:val="24"/>
    </w:rPr>
  </w:style>
  <w:style w:type="character" w:customStyle="1" w:styleId="119">
    <w:name w:val="标题 5 字符"/>
    <w:link w:val="6"/>
    <w:qFormat/>
    <w:uiPriority w:val="0"/>
    <w:rPr>
      <w:b/>
      <w:kern w:val="2"/>
      <w:sz w:val="24"/>
    </w:rPr>
  </w:style>
  <w:style w:type="character" w:customStyle="1" w:styleId="120">
    <w:name w:val="标题 6 字符"/>
    <w:link w:val="9"/>
    <w:qFormat/>
    <w:uiPriority w:val="0"/>
    <w:rPr>
      <w:rFonts w:ascii="Arial" w:hAnsi="Arial" w:eastAsia="黑体"/>
      <w:b/>
      <w:kern w:val="2"/>
      <w:sz w:val="24"/>
    </w:rPr>
  </w:style>
  <w:style w:type="character" w:customStyle="1" w:styleId="121">
    <w:name w:val="标题 7 字符"/>
    <w:link w:val="10"/>
    <w:qFormat/>
    <w:uiPriority w:val="0"/>
    <w:rPr>
      <w:b/>
      <w:kern w:val="2"/>
      <w:sz w:val="24"/>
    </w:rPr>
  </w:style>
  <w:style w:type="character" w:customStyle="1" w:styleId="122">
    <w:name w:val="标题 8 字符"/>
    <w:link w:val="11"/>
    <w:qFormat/>
    <w:uiPriority w:val="0"/>
    <w:rPr>
      <w:rFonts w:ascii="Arial" w:hAnsi="Arial" w:eastAsia="黑体"/>
      <w:kern w:val="2"/>
      <w:sz w:val="24"/>
    </w:rPr>
  </w:style>
  <w:style w:type="character" w:customStyle="1" w:styleId="123">
    <w:name w:val="标题 9 字符"/>
    <w:link w:val="12"/>
    <w:qFormat/>
    <w:uiPriority w:val="0"/>
    <w:rPr>
      <w:rFonts w:ascii="Arial" w:hAnsi="Arial" w:eastAsia="黑体"/>
      <w:kern w:val="2"/>
      <w:sz w:val="21"/>
    </w:rPr>
  </w:style>
  <w:style w:type="paragraph" w:customStyle="1" w:styleId="124">
    <w:name w:val="样式 标题 1 + 段前: 0.5 行 段后: 0.5 行"/>
    <w:basedOn w:val="2"/>
    <w:qFormat/>
    <w:uiPriority w:val="0"/>
    <w:pPr>
      <w:keepNext/>
      <w:keepLines/>
      <w:numPr>
        <w:ilvl w:val="0"/>
        <w:numId w:val="8"/>
      </w:numPr>
      <w:spacing w:beforeLines="50" w:afterLines="50" w:line="578" w:lineRule="auto"/>
      <w:ind w:left="0" w:firstLine="0"/>
      <w:jc w:val="both"/>
    </w:pPr>
    <w:rPr>
      <w:rFonts w:ascii="Times New Roman" w:hAnsi="Times New Roman" w:eastAsia="宋体" w:cs="宋体"/>
      <w:sz w:val="44"/>
      <w:szCs w:val="20"/>
    </w:rPr>
  </w:style>
  <w:style w:type="paragraph" w:customStyle="1" w:styleId="125">
    <w:name w:val="样式 标题 4 + 段前: 0.5 行 段后: 0.5 行"/>
    <w:basedOn w:val="4"/>
    <w:qFormat/>
    <w:uiPriority w:val="0"/>
    <w:pPr>
      <w:spacing w:beforeLines="50" w:afterLines="50" w:line="377" w:lineRule="auto"/>
      <w:ind w:left="2240"/>
      <w:jc w:val="left"/>
    </w:pPr>
    <w:rPr>
      <w:rFonts w:ascii="Cambria" w:hAnsi="Cambria" w:eastAsia="宋体" w:cs="宋体"/>
      <w:sz w:val="24"/>
      <w:szCs w:val="20"/>
    </w:rPr>
  </w:style>
  <w:style w:type="paragraph" w:customStyle="1" w:styleId="126">
    <w:name w:val="样式 标题 4 + 段前: 0.5 行 段后: 0.5 行1"/>
    <w:basedOn w:val="4"/>
    <w:qFormat/>
    <w:uiPriority w:val="0"/>
    <w:pPr>
      <w:spacing w:beforeLines="50" w:afterLines="50" w:line="377" w:lineRule="auto"/>
      <w:ind w:left="-2" w:leftChars="-1" w:firstLine="569" w:firstLineChars="236"/>
      <w:jc w:val="left"/>
    </w:pPr>
    <w:rPr>
      <w:rFonts w:ascii="Cambria" w:hAnsi="Cambria" w:eastAsia="宋体" w:cs="宋体"/>
      <w:sz w:val="24"/>
      <w:szCs w:val="20"/>
    </w:rPr>
  </w:style>
  <w:style w:type="paragraph" w:customStyle="1" w:styleId="127">
    <w:name w:val="￥正文"/>
    <w:basedOn w:val="1"/>
    <w:link w:val="128"/>
    <w:qFormat/>
    <w:uiPriority w:val="0"/>
    <w:pPr>
      <w:ind w:firstLine="200" w:firstLineChars="200"/>
    </w:pPr>
    <w:rPr>
      <w:rFonts w:ascii="Calibri" w:hAnsi="Calibri" w:cs="Times New Roman"/>
      <w:kern w:val="2"/>
      <w:sz w:val="24"/>
      <w:szCs w:val="20"/>
    </w:rPr>
  </w:style>
  <w:style w:type="character" w:customStyle="1" w:styleId="128">
    <w:name w:val="￥正文 Char"/>
    <w:link w:val="127"/>
    <w:qFormat/>
    <w:uiPriority w:val="0"/>
    <w:rPr>
      <w:rFonts w:ascii="Calibri" w:hAnsi="Calibri"/>
      <w:kern w:val="2"/>
      <w:sz w:val="24"/>
    </w:rPr>
  </w:style>
  <w:style w:type="paragraph" w:customStyle="1" w:styleId="129">
    <w:name w:val="样式 标题 4h4heading 4h41heading 41h42heading 42h411heading ..."/>
    <w:basedOn w:val="4"/>
    <w:qFormat/>
    <w:uiPriority w:val="0"/>
    <w:pPr>
      <w:spacing w:beforeLines="50" w:afterLines="50" w:line="377" w:lineRule="auto"/>
      <w:ind w:left="2240" w:right="220"/>
      <w:jc w:val="left"/>
    </w:pPr>
    <w:rPr>
      <w:rFonts w:ascii="Cambria" w:hAnsi="Cambria" w:eastAsia="宋体" w:cs="宋体"/>
      <w:sz w:val="24"/>
      <w:szCs w:val="20"/>
    </w:rPr>
  </w:style>
  <w:style w:type="paragraph" w:customStyle="1" w:styleId="130">
    <w:name w:val="!项目ALT+P"/>
    <w:basedOn w:val="1"/>
    <w:qFormat/>
    <w:uiPriority w:val="0"/>
    <w:pPr>
      <w:numPr>
        <w:ilvl w:val="0"/>
        <w:numId w:val="9"/>
      </w:numPr>
      <w:spacing w:line="320" w:lineRule="atLeast"/>
      <w:ind w:firstLine="0"/>
      <w:textAlignment w:val="baseline"/>
    </w:pPr>
    <w:rPr>
      <w:szCs w:val="21"/>
    </w:rPr>
  </w:style>
  <w:style w:type="paragraph" w:customStyle="1" w:styleId="131">
    <w:name w:val="样式 样式 (符号) 宋体 小四 行距: 1.5 倍行距 首行缩进:  1.5 字符 + 宋体 首行缩进:  2 字符"/>
    <w:basedOn w:val="1"/>
    <w:qFormat/>
    <w:uiPriority w:val="0"/>
    <w:pPr>
      <w:ind w:firstLine="480" w:firstLineChars="200"/>
    </w:pPr>
    <w:rPr>
      <w:sz w:val="24"/>
      <w:szCs w:val="20"/>
    </w:rPr>
  </w:style>
  <w:style w:type="paragraph" w:customStyle="1" w:styleId="132">
    <w:name w:val="正文内容"/>
    <w:basedOn w:val="1"/>
    <w:next w:val="17"/>
    <w:link w:val="133"/>
    <w:qFormat/>
    <w:uiPriority w:val="0"/>
    <w:rPr>
      <w:rFonts w:ascii="Times New Roman" w:hAnsi="Times New Roman" w:cs="Times New Roman"/>
      <w:sz w:val="20"/>
    </w:rPr>
  </w:style>
  <w:style w:type="character" w:customStyle="1" w:styleId="133">
    <w:name w:val="正文内容 Char"/>
    <w:link w:val="132"/>
    <w:qFormat/>
    <w:uiPriority w:val="0"/>
    <w:rPr>
      <w:szCs w:val="24"/>
    </w:rPr>
  </w:style>
  <w:style w:type="paragraph" w:customStyle="1" w:styleId="134">
    <w:name w:val="方案标题1"/>
    <w:basedOn w:val="42"/>
    <w:qFormat/>
    <w:uiPriority w:val="0"/>
    <w:pPr>
      <w:numPr>
        <w:ilvl w:val="0"/>
        <w:numId w:val="10"/>
      </w:numPr>
      <w:spacing w:beforeLines="50" w:afterLines="50"/>
      <w:ind w:firstLine="200" w:firstLineChars="200"/>
      <w:jc w:val="both"/>
    </w:pPr>
    <w:rPr>
      <w:color w:val="000000"/>
    </w:rPr>
  </w:style>
  <w:style w:type="paragraph" w:customStyle="1" w:styleId="135">
    <w:name w:val="方案标题2"/>
    <w:basedOn w:val="42"/>
    <w:qFormat/>
    <w:uiPriority w:val="0"/>
    <w:pPr>
      <w:numPr>
        <w:ilvl w:val="1"/>
        <w:numId w:val="10"/>
      </w:numPr>
      <w:spacing w:beforeLines="50" w:afterLines="50"/>
      <w:ind w:firstLine="200" w:firstLineChars="200"/>
      <w:jc w:val="left"/>
      <w:outlineLvl w:val="1"/>
    </w:pPr>
    <w:rPr>
      <w:rFonts w:eastAsia="仿宋_GB2312"/>
      <w:color w:val="000000"/>
      <w:sz w:val="30"/>
      <w:szCs w:val="30"/>
    </w:rPr>
  </w:style>
  <w:style w:type="paragraph" w:customStyle="1" w:styleId="136">
    <w:name w:val="方案标题3"/>
    <w:basedOn w:val="42"/>
    <w:qFormat/>
    <w:uiPriority w:val="0"/>
    <w:pPr>
      <w:numPr>
        <w:ilvl w:val="2"/>
        <w:numId w:val="10"/>
      </w:numPr>
      <w:spacing w:beforeLines="50" w:afterLines="50" w:line="440" w:lineRule="exact"/>
      <w:ind w:firstLine="200" w:firstLineChars="200"/>
      <w:jc w:val="left"/>
      <w:outlineLvl w:val="2"/>
    </w:pPr>
    <w:rPr>
      <w:rFonts w:ascii="黑体" w:eastAsia="黑体"/>
      <w:color w:val="000000"/>
      <w:sz w:val="28"/>
      <w:szCs w:val="24"/>
    </w:rPr>
  </w:style>
  <w:style w:type="character" w:customStyle="1" w:styleId="137">
    <w:name w:val="标题 字符"/>
    <w:link w:val="42"/>
    <w:qFormat/>
    <w:uiPriority w:val="0"/>
    <w:rPr>
      <w:rFonts w:ascii="Arial" w:hAnsi="Arial" w:cs="Arial"/>
      <w:b/>
      <w:bCs/>
      <w:kern w:val="2"/>
      <w:sz w:val="36"/>
      <w:szCs w:val="32"/>
    </w:rPr>
  </w:style>
  <w:style w:type="paragraph" w:customStyle="1" w:styleId="138">
    <w:name w:val="正文Land"/>
    <w:basedOn w:val="1"/>
    <w:qFormat/>
    <w:uiPriority w:val="0"/>
    <w:pPr>
      <w:spacing w:beforeLines="20" w:afterLines="50"/>
      <w:ind w:firstLine="200" w:firstLineChars="200"/>
    </w:pPr>
    <w:rPr>
      <w:color w:val="000000"/>
      <w:sz w:val="24"/>
    </w:rPr>
  </w:style>
  <w:style w:type="paragraph" w:customStyle="1" w:styleId="139">
    <w:name w:val="样式5"/>
    <w:basedOn w:val="1"/>
    <w:qFormat/>
    <w:uiPriority w:val="0"/>
    <w:pPr>
      <w:numPr>
        <w:ilvl w:val="0"/>
        <w:numId w:val="11"/>
      </w:numPr>
      <w:spacing w:beforeLines="50" w:afterLines="50"/>
      <w:ind w:firstLine="0"/>
    </w:pPr>
    <w:rPr>
      <w:rFonts w:eastAsia="仿宋_GB2312"/>
      <w:color w:val="000000"/>
      <w:sz w:val="24"/>
    </w:rPr>
  </w:style>
  <w:style w:type="paragraph" w:customStyle="1" w:styleId="140">
    <w:name w:val="font6"/>
    <w:basedOn w:val="1"/>
    <w:qFormat/>
    <w:uiPriority w:val="0"/>
    <w:pPr>
      <w:spacing w:beforeAutospacing="1" w:afterAutospacing="1"/>
      <w:jc w:val="left"/>
    </w:pPr>
    <w:rPr>
      <w:sz w:val="18"/>
      <w:szCs w:val="18"/>
    </w:rPr>
  </w:style>
  <w:style w:type="paragraph" w:customStyle="1" w:styleId="141">
    <w:name w:val="xl64"/>
    <w:basedOn w:val="1"/>
    <w:qFormat/>
    <w:uiPriority w:val="0"/>
    <w:pPr>
      <w:pBdr>
        <w:top w:val="single" w:color="auto" w:sz="4" w:space="0"/>
        <w:left w:val="single" w:color="auto" w:sz="4" w:space="0"/>
        <w:bottom w:val="single" w:color="auto" w:sz="4" w:space="0"/>
        <w:right w:val="single" w:color="auto" w:sz="4" w:space="0"/>
      </w:pBdr>
      <w:shd w:val="clear" w:color="000000" w:fill="CCFFFF"/>
      <w:spacing w:beforeAutospacing="1" w:afterAutospacing="1"/>
      <w:jc w:val="center"/>
      <w:textAlignment w:val="center"/>
    </w:pPr>
    <w:rPr>
      <w:b/>
      <w:bCs/>
      <w:color w:val="000000"/>
      <w:sz w:val="24"/>
    </w:rPr>
  </w:style>
  <w:style w:type="paragraph" w:customStyle="1" w:styleId="142">
    <w:name w:val="xl70"/>
    <w:basedOn w:val="1"/>
    <w:qFormat/>
    <w:uiPriority w:val="0"/>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center"/>
      <w:textAlignment w:val="center"/>
    </w:pPr>
    <w:rPr>
      <w:b/>
      <w:bCs/>
      <w:color w:val="000000"/>
      <w:sz w:val="24"/>
    </w:rPr>
  </w:style>
  <w:style w:type="paragraph" w:customStyle="1" w:styleId="143">
    <w:name w:val="xl71"/>
    <w:basedOn w:val="1"/>
    <w:qFormat/>
    <w:uiPriority w:val="0"/>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center"/>
      <w:textAlignment w:val="center"/>
    </w:pPr>
    <w:rPr>
      <w:color w:val="000000"/>
      <w:sz w:val="24"/>
    </w:rPr>
  </w:style>
  <w:style w:type="paragraph" w:customStyle="1" w:styleId="144">
    <w:name w:val="xl72"/>
    <w:basedOn w:val="1"/>
    <w:qFormat/>
    <w:uiPriority w:val="0"/>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left"/>
      <w:textAlignment w:val="center"/>
    </w:pPr>
    <w:rPr>
      <w:color w:val="000000"/>
      <w:sz w:val="24"/>
    </w:rPr>
  </w:style>
  <w:style w:type="paragraph" w:customStyle="1" w:styleId="145">
    <w:name w:val="xl73"/>
    <w:basedOn w:val="1"/>
    <w:qFormat/>
    <w:uiPriority w:val="0"/>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center"/>
      <w:textAlignment w:val="center"/>
    </w:pPr>
    <w:rPr>
      <w:color w:val="000000"/>
      <w:sz w:val="24"/>
    </w:rPr>
  </w:style>
  <w:style w:type="paragraph" w:customStyle="1" w:styleId="146">
    <w:name w:val="xl74"/>
    <w:basedOn w:val="1"/>
    <w:qFormat/>
    <w:uiPriority w:val="0"/>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center"/>
    </w:pPr>
    <w:rPr>
      <w:color w:val="000000"/>
      <w:sz w:val="24"/>
    </w:rPr>
  </w:style>
  <w:style w:type="paragraph" w:customStyle="1" w:styleId="147">
    <w:name w:val="xl75"/>
    <w:basedOn w:val="1"/>
    <w:qFormat/>
    <w:uiPriority w:val="0"/>
    <w:pPr>
      <w:pBdr>
        <w:top w:val="single" w:color="auto" w:sz="4" w:space="0"/>
        <w:left w:val="single" w:color="auto" w:sz="4" w:space="0"/>
        <w:bottom w:val="single" w:color="auto" w:sz="4" w:space="0"/>
        <w:right w:val="single" w:color="auto" w:sz="4" w:space="0"/>
      </w:pBdr>
      <w:shd w:val="clear" w:color="000000" w:fill="F2F2F2"/>
      <w:spacing w:beforeAutospacing="1" w:afterAutospacing="1"/>
      <w:jc w:val="center"/>
      <w:textAlignment w:val="center"/>
    </w:pPr>
    <w:rPr>
      <w:b/>
      <w:bCs/>
      <w:color w:val="000000"/>
      <w:sz w:val="24"/>
    </w:rPr>
  </w:style>
  <w:style w:type="paragraph" w:customStyle="1" w:styleId="148">
    <w:name w:val="xl76"/>
    <w:basedOn w:val="1"/>
    <w:qFormat/>
    <w:uiPriority w:val="0"/>
    <w:pPr>
      <w:pBdr>
        <w:top w:val="single" w:color="auto" w:sz="4" w:space="0"/>
        <w:left w:val="single" w:color="auto" w:sz="4" w:space="0"/>
        <w:bottom w:val="single" w:color="auto" w:sz="4" w:space="0"/>
        <w:right w:val="single" w:color="auto" w:sz="4" w:space="0"/>
      </w:pBdr>
      <w:shd w:val="clear" w:color="000000" w:fill="F2F2F2"/>
      <w:spacing w:beforeAutospacing="1" w:afterAutospacing="1"/>
      <w:jc w:val="center"/>
      <w:textAlignment w:val="center"/>
    </w:pPr>
    <w:rPr>
      <w:color w:val="000000"/>
      <w:sz w:val="24"/>
    </w:rPr>
  </w:style>
  <w:style w:type="paragraph" w:customStyle="1" w:styleId="149">
    <w:name w:val="xl77"/>
    <w:basedOn w:val="1"/>
    <w:qFormat/>
    <w:uiPriority w:val="0"/>
    <w:pPr>
      <w:pBdr>
        <w:top w:val="single" w:color="auto" w:sz="4" w:space="0"/>
        <w:left w:val="single" w:color="auto" w:sz="4" w:space="0"/>
        <w:bottom w:val="single" w:color="auto" w:sz="4" w:space="0"/>
        <w:right w:val="single" w:color="auto" w:sz="4" w:space="0"/>
      </w:pBdr>
      <w:shd w:val="clear" w:color="000000" w:fill="F2F2F2"/>
      <w:spacing w:beforeAutospacing="1" w:afterAutospacing="1"/>
      <w:jc w:val="left"/>
      <w:textAlignment w:val="center"/>
    </w:pPr>
    <w:rPr>
      <w:color w:val="000000"/>
      <w:sz w:val="24"/>
    </w:rPr>
  </w:style>
  <w:style w:type="paragraph" w:customStyle="1" w:styleId="150">
    <w:name w:val="xl78"/>
    <w:basedOn w:val="1"/>
    <w:qFormat/>
    <w:uiPriority w:val="0"/>
    <w:pPr>
      <w:pBdr>
        <w:top w:val="single" w:color="auto" w:sz="4" w:space="0"/>
        <w:left w:val="single" w:color="auto" w:sz="4" w:space="0"/>
        <w:bottom w:val="single" w:color="auto" w:sz="4" w:space="0"/>
        <w:right w:val="single" w:color="auto" w:sz="4" w:space="0"/>
      </w:pBdr>
      <w:shd w:val="clear" w:color="000000" w:fill="E4DFEC"/>
      <w:spacing w:beforeAutospacing="1" w:afterAutospacing="1"/>
      <w:jc w:val="center"/>
      <w:textAlignment w:val="center"/>
    </w:pPr>
    <w:rPr>
      <w:b/>
      <w:bCs/>
      <w:color w:val="000000"/>
      <w:sz w:val="24"/>
    </w:rPr>
  </w:style>
  <w:style w:type="paragraph" w:customStyle="1" w:styleId="151">
    <w:name w:val="xl79"/>
    <w:basedOn w:val="1"/>
    <w:qFormat/>
    <w:uiPriority w:val="0"/>
    <w:pPr>
      <w:pBdr>
        <w:top w:val="single" w:color="auto" w:sz="4" w:space="0"/>
        <w:left w:val="single" w:color="auto" w:sz="4" w:space="0"/>
        <w:bottom w:val="single" w:color="auto" w:sz="4" w:space="0"/>
        <w:right w:val="single" w:color="auto" w:sz="4" w:space="0"/>
      </w:pBdr>
      <w:shd w:val="clear" w:color="000000" w:fill="E4DFEC"/>
      <w:spacing w:beforeAutospacing="1" w:afterAutospacing="1"/>
      <w:jc w:val="center"/>
      <w:textAlignment w:val="center"/>
    </w:pPr>
    <w:rPr>
      <w:color w:val="000000"/>
      <w:sz w:val="24"/>
    </w:rPr>
  </w:style>
  <w:style w:type="paragraph" w:customStyle="1" w:styleId="152">
    <w:name w:val="xl80"/>
    <w:basedOn w:val="1"/>
    <w:qFormat/>
    <w:uiPriority w:val="0"/>
    <w:pPr>
      <w:pBdr>
        <w:top w:val="single" w:color="auto" w:sz="4" w:space="0"/>
        <w:left w:val="single" w:color="auto" w:sz="4" w:space="0"/>
        <w:bottom w:val="single" w:color="auto" w:sz="4" w:space="0"/>
        <w:right w:val="single" w:color="auto" w:sz="4" w:space="0"/>
      </w:pBdr>
      <w:shd w:val="clear" w:color="000000" w:fill="E4DFEC"/>
      <w:spacing w:beforeAutospacing="1" w:afterAutospacing="1"/>
      <w:jc w:val="left"/>
      <w:textAlignment w:val="center"/>
    </w:pPr>
    <w:rPr>
      <w:color w:val="000000"/>
      <w:sz w:val="24"/>
    </w:rPr>
  </w:style>
  <w:style w:type="paragraph" w:customStyle="1" w:styleId="153">
    <w:name w:val="xl81"/>
    <w:basedOn w:val="1"/>
    <w:qFormat/>
    <w:uiPriority w:val="0"/>
    <w:pPr>
      <w:pBdr>
        <w:top w:val="single" w:color="auto" w:sz="4" w:space="0"/>
        <w:left w:val="single" w:color="auto" w:sz="4" w:space="0"/>
        <w:bottom w:val="single" w:color="auto" w:sz="4" w:space="0"/>
        <w:right w:val="single" w:color="auto" w:sz="4" w:space="0"/>
      </w:pBdr>
      <w:shd w:val="clear" w:color="000000" w:fill="E4DFEC"/>
      <w:spacing w:beforeAutospacing="1" w:afterAutospacing="1"/>
      <w:jc w:val="center"/>
      <w:textAlignment w:val="center"/>
    </w:pPr>
    <w:rPr>
      <w:color w:val="000000"/>
      <w:sz w:val="24"/>
    </w:rPr>
  </w:style>
  <w:style w:type="paragraph" w:customStyle="1" w:styleId="154">
    <w:name w:val="xl82"/>
    <w:basedOn w:val="1"/>
    <w:qFormat/>
    <w:uiPriority w:val="0"/>
    <w:pPr>
      <w:pBdr>
        <w:top w:val="single" w:color="auto" w:sz="4" w:space="0"/>
        <w:left w:val="single" w:color="auto" w:sz="4" w:space="0"/>
        <w:bottom w:val="single" w:color="auto" w:sz="4" w:space="0"/>
        <w:right w:val="single" w:color="auto" w:sz="4" w:space="0"/>
      </w:pBdr>
      <w:shd w:val="clear" w:color="000000" w:fill="E4DFEC"/>
      <w:spacing w:beforeAutospacing="1" w:afterAutospacing="1"/>
      <w:jc w:val="center"/>
    </w:pPr>
    <w:rPr>
      <w:color w:val="000000"/>
      <w:sz w:val="24"/>
    </w:rPr>
  </w:style>
  <w:style w:type="paragraph" w:customStyle="1" w:styleId="155">
    <w:name w:val="xl83"/>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Autospacing="1" w:afterAutospacing="1"/>
      <w:jc w:val="center"/>
      <w:textAlignment w:val="center"/>
    </w:pPr>
    <w:rPr>
      <w:b/>
      <w:bCs/>
      <w:color w:val="000000"/>
      <w:sz w:val="24"/>
    </w:rPr>
  </w:style>
  <w:style w:type="paragraph" w:customStyle="1" w:styleId="156">
    <w:name w:val="xl84"/>
    <w:basedOn w:val="1"/>
    <w:qFormat/>
    <w:uiPriority w:val="0"/>
    <w:pPr>
      <w:pBdr>
        <w:top w:val="single" w:color="auto" w:sz="4" w:space="0"/>
        <w:left w:val="single" w:color="auto" w:sz="4" w:space="0"/>
        <w:bottom w:val="single" w:color="auto" w:sz="4" w:space="0"/>
        <w:right w:val="single" w:color="auto" w:sz="4" w:space="0"/>
      </w:pBdr>
      <w:shd w:val="clear" w:color="000000" w:fill="D9D9D9"/>
      <w:spacing w:beforeAutospacing="1" w:afterAutospacing="1"/>
      <w:jc w:val="left"/>
    </w:pPr>
    <w:rPr>
      <w:color w:val="000000"/>
      <w:sz w:val="24"/>
    </w:rPr>
  </w:style>
  <w:style w:type="paragraph" w:customStyle="1" w:styleId="157">
    <w:name w:val="xl85"/>
    <w:basedOn w:val="1"/>
    <w:qFormat/>
    <w:uiPriority w:val="0"/>
    <w:pPr>
      <w:pBdr>
        <w:top w:val="single" w:color="auto" w:sz="4" w:space="0"/>
        <w:left w:val="single" w:color="auto" w:sz="4" w:space="0"/>
        <w:bottom w:val="single" w:color="auto" w:sz="4" w:space="0"/>
        <w:right w:val="single" w:color="auto" w:sz="4" w:space="0"/>
      </w:pBdr>
      <w:shd w:val="clear" w:color="000000" w:fill="D9D9D9"/>
      <w:spacing w:beforeAutospacing="1" w:afterAutospacing="1"/>
      <w:jc w:val="left"/>
    </w:pPr>
    <w:rPr>
      <w:color w:val="000000"/>
      <w:sz w:val="24"/>
    </w:rPr>
  </w:style>
  <w:style w:type="paragraph" w:customStyle="1" w:styleId="158">
    <w:name w:val="xl86"/>
    <w:basedOn w:val="1"/>
    <w:qFormat/>
    <w:uiPriority w:val="0"/>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left"/>
    </w:pPr>
    <w:rPr>
      <w:color w:val="000000"/>
      <w:sz w:val="24"/>
    </w:rPr>
  </w:style>
  <w:style w:type="paragraph" w:customStyle="1" w:styleId="159">
    <w:name w:val="xl87"/>
    <w:basedOn w:val="1"/>
    <w:qFormat/>
    <w:uiPriority w:val="0"/>
    <w:pPr>
      <w:spacing w:beforeAutospacing="1" w:afterAutospacing="1"/>
      <w:jc w:val="left"/>
    </w:pPr>
    <w:rPr>
      <w:sz w:val="24"/>
    </w:rPr>
  </w:style>
  <w:style w:type="paragraph" w:customStyle="1" w:styleId="160">
    <w:name w:val="xl88"/>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b/>
      <w:bCs/>
      <w:color w:val="000000"/>
      <w:sz w:val="24"/>
    </w:rPr>
  </w:style>
  <w:style w:type="paragraph" w:customStyle="1" w:styleId="161">
    <w:name w:val="xl89"/>
    <w:basedOn w:val="1"/>
    <w:qFormat/>
    <w:uiPriority w:val="0"/>
    <w:pPr>
      <w:pBdr>
        <w:top w:val="single" w:color="auto" w:sz="4" w:space="0"/>
        <w:left w:val="single" w:color="auto" w:sz="4" w:space="0"/>
        <w:bottom w:val="single" w:color="auto" w:sz="4" w:space="0"/>
        <w:right w:val="single" w:color="auto" w:sz="4" w:space="0"/>
      </w:pBdr>
      <w:shd w:val="clear" w:color="000000" w:fill="CCFFFF"/>
      <w:spacing w:beforeAutospacing="1" w:afterAutospacing="1"/>
      <w:jc w:val="center"/>
      <w:textAlignment w:val="center"/>
    </w:pPr>
    <w:rPr>
      <w:b/>
      <w:bCs/>
      <w:color w:val="000000"/>
      <w:sz w:val="24"/>
    </w:rPr>
  </w:style>
  <w:style w:type="paragraph" w:customStyle="1" w:styleId="162">
    <w:name w:val="Bulleted Items--Level 2"/>
    <w:basedOn w:val="1"/>
    <w:qFormat/>
    <w:uiPriority w:val="0"/>
    <w:pPr>
      <w:numPr>
        <w:ilvl w:val="0"/>
        <w:numId w:val="12"/>
      </w:numPr>
      <w:tabs>
        <w:tab w:val="left" w:pos="1771"/>
        <w:tab w:val="left" w:pos="2520"/>
        <w:tab w:val="clear" w:pos="360"/>
      </w:tabs>
      <w:spacing w:line="280" w:lineRule="exact"/>
      <w:ind w:left="2520" w:firstLine="0"/>
    </w:pPr>
    <w:rPr>
      <w:color w:val="000000"/>
      <w:sz w:val="22"/>
      <w:szCs w:val="20"/>
      <w:lang w:eastAsia="en-US"/>
    </w:rPr>
  </w:style>
  <w:style w:type="paragraph" w:customStyle="1" w:styleId="163">
    <w:name w:val="xl90"/>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仿宋_GB2312" w:eastAsia="仿宋_GB2312"/>
      <w:sz w:val="22"/>
      <w:szCs w:val="22"/>
    </w:rPr>
  </w:style>
  <w:style w:type="paragraph" w:customStyle="1" w:styleId="164">
    <w:name w:val="xl91"/>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仿宋_GB2312" w:eastAsia="仿宋_GB2312"/>
      <w:color w:val="000000"/>
      <w:sz w:val="22"/>
      <w:szCs w:val="22"/>
    </w:rPr>
  </w:style>
  <w:style w:type="paragraph" w:customStyle="1" w:styleId="165">
    <w:name w:val="xl92"/>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仿宋_GB2312" w:eastAsia="仿宋_GB2312"/>
      <w:sz w:val="20"/>
      <w:szCs w:val="20"/>
    </w:rPr>
  </w:style>
  <w:style w:type="paragraph" w:customStyle="1" w:styleId="166">
    <w:name w:val="xl93"/>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sz w:val="22"/>
      <w:szCs w:val="22"/>
    </w:rPr>
  </w:style>
  <w:style w:type="paragraph" w:customStyle="1" w:styleId="167">
    <w:name w:val="xl94"/>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sz w:val="22"/>
      <w:szCs w:val="22"/>
    </w:rPr>
  </w:style>
  <w:style w:type="paragraph" w:customStyle="1" w:styleId="168">
    <w:name w:val="xl95"/>
    <w:basedOn w:val="1"/>
    <w:qFormat/>
    <w:uiPriority w:val="0"/>
    <w:pPr>
      <w:pBdr>
        <w:top w:val="single" w:color="auto" w:sz="4" w:space="0"/>
        <w:left w:val="single" w:color="auto" w:sz="4" w:space="0"/>
        <w:bottom w:val="single" w:color="auto" w:sz="4" w:space="0"/>
        <w:right w:val="single" w:color="auto" w:sz="4" w:space="0"/>
      </w:pBdr>
      <w:shd w:val="clear" w:color="000000" w:fill="99CC00"/>
      <w:spacing w:beforeAutospacing="1" w:afterAutospacing="1"/>
      <w:jc w:val="center"/>
      <w:textAlignment w:val="center"/>
    </w:pPr>
    <w:rPr>
      <w:sz w:val="22"/>
      <w:szCs w:val="22"/>
    </w:rPr>
  </w:style>
  <w:style w:type="paragraph" w:customStyle="1" w:styleId="169">
    <w:name w:val="xl96"/>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Autospacing="1" w:afterAutospacing="1"/>
      <w:jc w:val="center"/>
      <w:textAlignment w:val="center"/>
    </w:pPr>
    <w:rPr>
      <w:sz w:val="22"/>
      <w:szCs w:val="22"/>
    </w:rPr>
  </w:style>
  <w:style w:type="paragraph" w:customStyle="1" w:styleId="170">
    <w:name w:val="xl97"/>
    <w:basedOn w:val="1"/>
    <w:qFormat/>
    <w:uiPriority w:val="0"/>
    <w:pPr>
      <w:pBdr>
        <w:top w:val="single" w:color="auto" w:sz="4" w:space="0"/>
        <w:left w:val="single" w:color="auto" w:sz="4" w:space="0"/>
        <w:bottom w:val="single" w:color="auto" w:sz="4" w:space="0"/>
        <w:right w:val="single" w:color="auto" w:sz="4" w:space="0"/>
      </w:pBdr>
      <w:shd w:val="clear" w:color="000000" w:fill="FF99CC"/>
      <w:spacing w:beforeAutospacing="1" w:afterAutospacing="1"/>
      <w:jc w:val="center"/>
      <w:textAlignment w:val="center"/>
    </w:pPr>
    <w:rPr>
      <w:sz w:val="22"/>
      <w:szCs w:val="22"/>
    </w:rPr>
  </w:style>
  <w:style w:type="paragraph" w:customStyle="1" w:styleId="171">
    <w:name w:val="xl98"/>
    <w:basedOn w:val="1"/>
    <w:qFormat/>
    <w:uiPriority w:val="0"/>
    <w:pPr>
      <w:pBdr>
        <w:top w:val="single" w:color="auto" w:sz="4" w:space="0"/>
        <w:left w:val="single" w:color="auto" w:sz="4" w:space="0"/>
        <w:bottom w:val="single" w:color="auto" w:sz="4" w:space="0"/>
        <w:right w:val="single" w:color="auto" w:sz="4" w:space="0"/>
      </w:pBdr>
      <w:shd w:val="clear" w:color="000000" w:fill="FF6600"/>
      <w:spacing w:beforeAutospacing="1" w:afterAutospacing="1"/>
      <w:jc w:val="center"/>
      <w:textAlignment w:val="center"/>
    </w:pPr>
    <w:rPr>
      <w:sz w:val="22"/>
      <w:szCs w:val="22"/>
    </w:rPr>
  </w:style>
  <w:style w:type="paragraph" w:customStyle="1" w:styleId="172">
    <w:name w:val="xl99"/>
    <w:basedOn w:val="1"/>
    <w:qFormat/>
    <w:uiPriority w:val="0"/>
    <w:pPr>
      <w:pBdr>
        <w:top w:val="single" w:color="auto" w:sz="4" w:space="0"/>
        <w:left w:val="single" w:color="auto" w:sz="4" w:space="0"/>
        <w:bottom w:val="single" w:color="auto" w:sz="4" w:space="0"/>
        <w:right w:val="single" w:color="auto" w:sz="4" w:space="0"/>
      </w:pBdr>
      <w:shd w:val="clear" w:color="000000" w:fill="3366FF"/>
      <w:spacing w:beforeAutospacing="1" w:afterAutospacing="1"/>
      <w:jc w:val="center"/>
      <w:textAlignment w:val="center"/>
    </w:pPr>
    <w:rPr>
      <w:sz w:val="22"/>
      <w:szCs w:val="22"/>
    </w:rPr>
  </w:style>
  <w:style w:type="paragraph" w:customStyle="1" w:styleId="173">
    <w:name w:val="xl100"/>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仿宋_GB2312" w:eastAsia="仿宋_GB2312"/>
      <w:color w:val="FF0000"/>
      <w:sz w:val="22"/>
      <w:szCs w:val="22"/>
    </w:rPr>
  </w:style>
  <w:style w:type="paragraph" w:customStyle="1" w:styleId="174">
    <w:name w:val="xl101"/>
    <w:basedOn w:val="1"/>
    <w:qFormat/>
    <w:uiPriority w:val="0"/>
    <w:pPr>
      <w:spacing w:beforeAutospacing="1" w:afterAutospacing="1"/>
      <w:jc w:val="left"/>
      <w:textAlignment w:val="center"/>
    </w:pPr>
    <w:rPr>
      <w:color w:val="FF0000"/>
      <w:sz w:val="20"/>
      <w:szCs w:val="20"/>
    </w:rPr>
  </w:style>
  <w:style w:type="paragraph" w:customStyle="1" w:styleId="175">
    <w:name w:val="xl102"/>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Autospacing="1" w:afterAutospacing="1"/>
      <w:jc w:val="left"/>
      <w:textAlignment w:val="center"/>
    </w:pPr>
    <w:rPr>
      <w:rFonts w:ascii="仿宋_GB2312" w:eastAsia="仿宋_GB2312"/>
      <w:color w:val="FF0000"/>
      <w:sz w:val="22"/>
      <w:szCs w:val="22"/>
    </w:rPr>
  </w:style>
  <w:style w:type="paragraph" w:customStyle="1" w:styleId="176">
    <w:name w:val="xl103"/>
    <w:basedOn w:val="1"/>
    <w:qFormat/>
    <w:uiPriority w:val="0"/>
    <w:pPr>
      <w:spacing w:beforeAutospacing="1" w:afterAutospacing="1"/>
      <w:jc w:val="left"/>
      <w:textAlignment w:val="center"/>
    </w:pPr>
    <w:rPr>
      <w:color w:val="FF0000"/>
      <w:sz w:val="22"/>
      <w:szCs w:val="22"/>
    </w:rPr>
  </w:style>
  <w:style w:type="paragraph" w:customStyle="1" w:styleId="177">
    <w:name w:val="xl104"/>
    <w:basedOn w:val="1"/>
    <w:qFormat/>
    <w:uiPriority w:val="0"/>
    <w:pPr>
      <w:spacing w:beforeAutospacing="1" w:afterAutospacing="1"/>
      <w:jc w:val="center"/>
    </w:pPr>
    <w:rPr>
      <w:sz w:val="24"/>
    </w:rPr>
  </w:style>
  <w:style w:type="paragraph" w:customStyle="1" w:styleId="178">
    <w:name w:val="xl105"/>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b/>
      <w:bCs/>
      <w:sz w:val="18"/>
      <w:szCs w:val="18"/>
    </w:rPr>
  </w:style>
  <w:style w:type="paragraph" w:customStyle="1" w:styleId="179">
    <w:name w:val="xl106"/>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Courier New" w:hAnsi="Courier New" w:cs="Courier New"/>
      <w:sz w:val="22"/>
      <w:szCs w:val="22"/>
    </w:rPr>
  </w:style>
  <w:style w:type="paragraph" w:customStyle="1" w:styleId="180">
    <w:name w:val="xl107"/>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Autospacing="1" w:afterAutospacing="1"/>
      <w:jc w:val="center"/>
      <w:textAlignment w:val="center"/>
    </w:pPr>
    <w:rPr>
      <w:rFonts w:ascii="Courier New" w:hAnsi="Courier New" w:cs="Courier New"/>
      <w:sz w:val="22"/>
      <w:szCs w:val="22"/>
    </w:rPr>
  </w:style>
  <w:style w:type="paragraph" w:customStyle="1" w:styleId="181">
    <w:name w:val="xl108"/>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pPr>
    <w:rPr>
      <w:rFonts w:ascii="Courier New" w:hAnsi="Courier New" w:cs="Courier New"/>
      <w:sz w:val="22"/>
      <w:szCs w:val="22"/>
    </w:rPr>
  </w:style>
  <w:style w:type="paragraph" w:customStyle="1" w:styleId="182">
    <w:name w:val="xl109"/>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Courier New" w:hAnsi="Courier New" w:cs="Courier New"/>
      <w:color w:val="FF0000"/>
      <w:sz w:val="22"/>
      <w:szCs w:val="22"/>
    </w:rPr>
  </w:style>
  <w:style w:type="paragraph" w:customStyle="1" w:styleId="183">
    <w:name w:val="xl110"/>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color w:val="000000"/>
      <w:sz w:val="22"/>
      <w:szCs w:val="22"/>
    </w:rPr>
  </w:style>
  <w:style w:type="paragraph" w:customStyle="1" w:styleId="184">
    <w:name w:val="xl111"/>
    <w:basedOn w:val="1"/>
    <w:qFormat/>
    <w:uiPriority w:val="0"/>
    <w:pPr>
      <w:pBdr>
        <w:top w:val="single" w:color="auto" w:sz="4" w:space="0"/>
        <w:left w:val="single" w:color="auto" w:sz="4" w:space="0"/>
        <w:bottom w:val="single" w:color="auto" w:sz="4" w:space="0"/>
        <w:right w:val="single" w:color="auto" w:sz="4" w:space="0"/>
      </w:pBdr>
      <w:shd w:val="clear" w:color="000000" w:fill="99CC00"/>
      <w:spacing w:beforeAutospacing="1" w:afterAutospacing="1"/>
      <w:jc w:val="center"/>
      <w:textAlignment w:val="center"/>
    </w:pPr>
    <w:rPr>
      <w:rFonts w:ascii="仿宋_GB2312" w:eastAsia="仿宋_GB2312"/>
      <w:sz w:val="22"/>
      <w:szCs w:val="22"/>
    </w:rPr>
  </w:style>
  <w:style w:type="paragraph" w:customStyle="1" w:styleId="185">
    <w:name w:val="xl112"/>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color w:val="FF0000"/>
      <w:sz w:val="20"/>
      <w:szCs w:val="20"/>
    </w:rPr>
  </w:style>
  <w:style w:type="paragraph" w:customStyle="1" w:styleId="186">
    <w:name w:val="xl113"/>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sz w:val="20"/>
      <w:szCs w:val="20"/>
    </w:rPr>
  </w:style>
  <w:style w:type="paragraph" w:customStyle="1" w:styleId="187">
    <w:name w:val="xl114"/>
    <w:basedOn w:val="1"/>
    <w:qFormat/>
    <w:uiPriority w:val="0"/>
    <w:pPr>
      <w:pBdr>
        <w:top w:val="single" w:color="auto" w:sz="4" w:space="0"/>
        <w:left w:val="single" w:color="auto" w:sz="4" w:space="0"/>
        <w:bottom w:val="single" w:color="auto" w:sz="4" w:space="0"/>
        <w:right w:val="single" w:color="auto" w:sz="4" w:space="0"/>
      </w:pBdr>
      <w:shd w:val="clear" w:color="000000" w:fill="FF99CC"/>
      <w:spacing w:beforeAutospacing="1" w:afterAutospacing="1"/>
      <w:jc w:val="center"/>
      <w:textAlignment w:val="center"/>
    </w:pPr>
    <w:rPr>
      <w:rFonts w:ascii="仿宋_GB2312" w:eastAsia="仿宋_GB2312"/>
      <w:sz w:val="22"/>
      <w:szCs w:val="22"/>
    </w:rPr>
  </w:style>
  <w:style w:type="paragraph" w:customStyle="1" w:styleId="188">
    <w:name w:val="xl115"/>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color w:val="FF0000"/>
      <w:sz w:val="22"/>
      <w:szCs w:val="22"/>
    </w:rPr>
  </w:style>
  <w:style w:type="paragraph" w:customStyle="1" w:styleId="189">
    <w:name w:val="xl116"/>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color w:val="FF0000"/>
      <w:sz w:val="22"/>
      <w:szCs w:val="22"/>
    </w:rPr>
  </w:style>
  <w:style w:type="paragraph" w:customStyle="1" w:styleId="190">
    <w:name w:val="xl117"/>
    <w:basedOn w:val="1"/>
    <w:qFormat/>
    <w:uiPriority w:val="0"/>
    <w:pPr>
      <w:pBdr>
        <w:top w:val="single" w:color="auto" w:sz="4" w:space="0"/>
        <w:left w:val="single" w:color="auto" w:sz="4" w:space="0"/>
        <w:bottom w:val="single" w:color="auto" w:sz="4" w:space="0"/>
        <w:right w:val="single" w:color="auto" w:sz="4" w:space="0"/>
      </w:pBdr>
      <w:shd w:val="clear" w:color="000000" w:fill="FF99CC"/>
      <w:spacing w:beforeAutospacing="1" w:afterAutospacing="1"/>
      <w:jc w:val="center"/>
      <w:textAlignment w:val="center"/>
    </w:pPr>
    <w:rPr>
      <w:rFonts w:ascii="仿宋_GB2312" w:eastAsia="仿宋_GB2312"/>
      <w:color w:val="FF0000"/>
      <w:sz w:val="22"/>
      <w:szCs w:val="22"/>
    </w:rPr>
  </w:style>
  <w:style w:type="paragraph" w:customStyle="1" w:styleId="191">
    <w:name w:val="xl118"/>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color w:val="FF0000"/>
      <w:sz w:val="20"/>
      <w:szCs w:val="20"/>
    </w:rPr>
  </w:style>
  <w:style w:type="paragraph" w:customStyle="1" w:styleId="192">
    <w:name w:val="xl119"/>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sz w:val="22"/>
      <w:szCs w:val="22"/>
    </w:rPr>
  </w:style>
  <w:style w:type="paragraph" w:customStyle="1" w:styleId="193">
    <w:name w:val="xl120"/>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pPr>
    <w:rPr>
      <w:rFonts w:ascii="仿宋_GB2312" w:eastAsia="仿宋_GB2312"/>
      <w:sz w:val="22"/>
      <w:szCs w:val="22"/>
    </w:rPr>
  </w:style>
  <w:style w:type="paragraph" w:customStyle="1" w:styleId="194">
    <w:name w:val="xl121"/>
    <w:basedOn w:val="1"/>
    <w:qFormat/>
    <w:uiPriority w:val="0"/>
    <w:pPr>
      <w:pBdr>
        <w:top w:val="single" w:color="auto" w:sz="4" w:space="0"/>
        <w:left w:val="single" w:color="auto" w:sz="4" w:space="0"/>
        <w:bottom w:val="single" w:color="auto" w:sz="4" w:space="0"/>
        <w:right w:val="single" w:color="auto" w:sz="4" w:space="0"/>
      </w:pBdr>
      <w:shd w:val="clear" w:color="000000" w:fill="FF99CC"/>
      <w:spacing w:beforeAutospacing="1" w:afterAutospacing="1"/>
      <w:jc w:val="center"/>
      <w:textAlignment w:val="center"/>
    </w:pPr>
    <w:rPr>
      <w:rFonts w:ascii="Courier New" w:hAnsi="Courier New" w:cs="Courier New"/>
      <w:sz w:val="22"/>
      <w:szCs w:val="22"/>
    </w:rPr>
  </w:style>
  <w:style w:type="paragraph" w:customStyle="1" w:styleId="195">
    <w:name w:val="xl122"/>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sz w:val="22"/>
      <w:szCs w:val="22"/>
    </w:rPr>
  </w:style>
  <w:style w:type="paragraph" w:customStyle="1" w:styleId="196">
    <w:name w:val="xl123"/>
    <w:basedOn w:val="1"/>
    <w:qFormat/>
    <w:uiPriority w:val="0"/>
    <w:pPr>
      <w:pBdr>
        <w:top w:val="single" w:color="auto" w:sz="4" w:space="0"/>
        <w:left w:val="single" w:color="auto" w:sz="4" w:space="0"/>
        <w:bottom w:val="single" w:color="auto" w:sz="4" w:space="0"/>
        <w:right w:val="single" w:color="auto" w:sz="4" w:space="0"/>
      </w:pBdr>
      <w:shd w:val="clear" w:color="000000" w:fill="FF6600"/>
      <w:spacing w:beforeAutospacing="1" w:afterAutospacing="1"/>
      <w:jc w:val="center"/>
      <w:textAlignment w:val="center"/>
    </w:pPr>
    <w:rPr>
      <w:rFonts w:ascii="仿宋_GB2312" w:eastAsia="仿宋_GB2312"/>
      <w:sz w:val="22"/>
      <w:szCs w:val="22"/>
    </w:rPr>
  </w:style>
  <w:style w:type="paragraph" w:customStyle="1" w:styleId="197">
    <w:name w:val="xl124"/>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pPr>
    <w:rPr>
      <w:rFonts w:ascii="仿宋_GB2312" w:eastAsia="仿宋_GB2312"/>
      <w:sz w:val="24"/>
    </w:rPr>
  </w:style>
  <w:style w:type="paragraph" w:customStyle="1" w:styleId="198">
    <w:name w:val="xl125"/>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sz w:val="22"/>
      <w:szCs w:val="22"/>
    </w:rPr>
  </w:style>
  <w:style w:type="paragraph" w:customStyle="1" w:styleId="199">
    <w:name w:val="xl126"/>
    <w:basedOn w:val="1"/>
    <w:qFormat/>
    <w:uiPriority w:val="0"/>
    <w:pPr>
      <w:pBdr>
        <w:top w:val="single" w:color="auto" w:sz="4" w:space="0"/>
        <w:left w:val="single" w:color="auto" w:sz="4" w:space="0"/>
        <w:bottom w:val="single" w:color="auto" w:sz="4" w:space="0"/>
        <w:right w:val="single" w:color="auto" w:sz="4" w:space="0"/>
      </w:pBdr>
      <w:shd w:val="clear" w:color="000000" w:fill="FF6600"/>
      <w:spacing w:beforeAutospacing="1" w:afterAutospacing="1"/>
      <w:jc w:val="center"/>
      <w:textAlignment w:val="center"/>
    </w:pPr>
    <w:rPr>
      <w:rFonts w:ascii="仿宋_GB2312" w:eastAsia="仿宋_GB2312"/>
      <w:sz w:val="22"/>
      <w:szCs w:val="22"/>
    </w:rPr>
  </w:style>
  <w:style w:type="paragraph" w:customStyle="1" w:styleId="200">
    <w:name w:val="xl127"/>
    <w:basedOn w:val="1"/>
    <w:qFormat/>
    <w:uiPriority w:val="0"/>
    <w:pPr>
      <w:pBdr>
        <w:top w:val="single" w:color="auto" w:sz="4" w:space="0"/>
        <w:left w:val="single" w:color="auto" w:sz="4" w:space="0"/>
        <w:bottom w:val="single" w:color="auto" w:sz="4" w:space="0"/>
        <w:right w:val="single" w:color="auto" w:sz="4" w:space="0"/>
      </w:pBdr>
      <w:shd w:val="clear" w:color="000000" w:fill="3366FF"/>
      <w:spacing w:beforeAutospacing="1" w:afterAutospacing="1"/>
      <w:jc w:val="center"/>
      <w:textAlignment w:val="center"/>
    </w:pPr>
    <w:rPr>
      <w:rFonts w:ascii="仿宋_GB2312" w:eastAsia="仿宋_GB2312"/>
      <w:sz w:val="22"/>
      <w:szCs w:val="22"/>
    </w:rPr>
  </w:style>
  <w:style w:type="paragraph" w:customStyle="1" w:styleId="201">
    <w:name w:val="xl128"/>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sz w:val="22"/>
      <w:szCs w:val="22"/>
    </w:rPr>
  </w:style>
  <w:style w:type="paragraph" w:customStyle="1" w:styleId="202">
    <w:name w:val="xl129"/>
    <w:basedOn w:val="1"/>
    <w:qFormat/>
    <w:uiPriority w:val="0"/>
    <w:pPr>
      <w:pBdr>
        <w:top w:val="single" w:color="auto" w:sz="4" w:space="0"/>
        <w:left w:val="single" w:color="auto" w:sz="4" w:space="0"/>
        <w:bottom w:val="single" w:color="auto" w:sz="4" w:space="0"/>
        <w:right w:val="single" w:color="auto" w:sz="4" w:space="0"/>
      </w:pBdr>
      <w:shd w:val="clear" w:color="000000" w:fill="3366FF"/>
      <w:spacing w:beforeAutospacing="1" w:afterAutospacing="1"/>
      <w:jc w:val="center"/>
      <w:textAlignment w:val="center"/>
    </w:pPr>
    <w:rPr>
      <w:rFonts w:ascii="仿宋_GB2312" w:eastAsia="仿宋_GB2312"/>
      <w:color w:val="FF0000"/>
      <w:sz w:val="22"/>
      <w:szCs w:val="22"/>
    </w:rPr>
  </w:style>
  <w:style w:type="paragraph" w:customStyle="1" w:styleId="203">
    <w:name w:val="xl130"/>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color w:val="FF0000"/>
      <w:sz w:val="22"/>
      <w:szCs w:val="22"/>
    </w:rPr>
  </w:style>
  <w:style w:type="paragraph" w:customStyle="1" w:styleId="204">
    <w:name w:val="xl131"/>
    <w:basedOn w:val="1"/>
    <w:qFormat/>
    <w:uiPriority w:val="0"/>
    <w:pPr>
      <w:pBdr>
        <w:top w:val="single" w:color="auto" w:sz="4" w:space="0"/>
        <w:left w:val="single" w:color="auto" w:sz="4" w:space="0"/>
        <w:bottom w:val="single" w:color="auto" w:sz="4" w:space="0"/>
      </w:pBdr>
      <w:spacing w:beforeAutospacing="1" w:afterAutospacing="1"/>
      <w:jc w:val="center"/>
      <w:textAlignment w:val="center"/>
    </w:pPr>
    <w:rPr>
      <w:rFonts w:ascii="黑体" w:hAnsi="黑体" w:eastAsia="黑体"/>
      <w:b/>
      <w:bCs/>
      <w:sz w:val="28"/>
      <w:szCs w:val="28"/>
    </w:rPr>
  </w:style>
  <w:style w:type="paragraph" w:customStyle="1" w:styleId="205">
    <w:name w:val="xl132"/>
    <w:basedOn w:val="1"/>
    <w:qFormat/>
    <w:uiPriority w:val="0"/>
    <w:pPr>
      <w:pBdr>
        <w:top w:val="single" w:color="auto" w:sz="4" w:space="0"/>
        <w:bottom w:val="single" w:color="auto" w:sz="4" w:space="0"/>
      </w:pBdr>
      <w:spacing w:beforeAutospacing="1" w:afterAutospacing="1"/>
      <w:jc w:val="center"/>
      <w:textAlignment w:val="center"/>
    </w:pPr>
    <w:rPr>
      <w:rFonts w:ascii="黑体" w:hAnsi="黑体" w:eastAsia="黑体"/>
      <w:b/>
      <w:bCs/>
      <w:sz w:val="28"/>
      <w:szCs w:val="28"/>
    </w:rPr>
  </w:style>
  <w:style w:type="paragraph" w:customStyle="1" w:styleId="206">
    <w:name w:val="xl133"/>
    <w:basedOn w:val="1"/>
    <w:qFormat/>
    <w:uiPriority w:val="0"/>
    <w:pPr>
      <w:pBdr>
        <w:top w:val="single" w:color="auto" w:sz="4" w:space="0"/>
        <w:bottom w:val="single" w:color="auto" w:sz="4" w:space="0"/>
        <w:right w:val="single" w:color="auto" w:sz="4" w:space="0"/>
      </w:pBdr>
      <w:spacing w:beforeAutospacing="1" w:afterAutospacing="1"/>
      <w:jc w:val="center"/>
      <w:textAlignment w:val="center"/>
    </w:pPr>
    <w:rPr>
      <w:rFonts w:ascii="黑体" w:hAnsi="黑体" w:eastAsia="黑体"/>
      <w:b/>
      <w:bCs/>
      <w:sz w:val="28"/>
      <w:szCs w:val="28"/>
    </w:rPr>
  </w:style>
  <w:style w:type="paragraph" w:customStyle="1" w:styleId="207">
    <w:name w:val="样式 首行缩进:  0 字符"/>
    <w:basedOn w:val="1"/>
    <w:qFormat/>
    <w:uiPriority w:val="0"/>
    <w:pPr>
      <w:ind w:firstLine="200" w:firstLineChars="200"/>
    </w:pPr>
    <w:rPr>
      <w:sz w:val="24"/>
      <w:szCs w:val="20"/>
    </w:rPr>
  </w:style>
  <w:style w:type="paragraph" w:customStyle="1" w:styleId="208">
    <w:name w:val="5"/>
    <w:basedOn w:val="1"/>
    <w:qFormat/>
    <w:uiPriority w:val="0"/>
    <w:pPr>
      <w:ind w:firstLine="200" w:firstLineChars="200"/>
      <w:jc w:val="left"/>
    </w:pPr>
    <w:rPr>
      <w:sz w:val="24"/>
    </w:rPr>
  </w:style>
  <w:style w:type="paragraph" w:customStyle="1" w:styleId="209">
    <w:name w:val="正文1"/>
    <w:qFormat/>
    <w:uiPriority w:val="0"/>
    <w:pPr>
      <w:widowControl w:val="0"/>
      <w:adjustRightInd w:val="0"/>
      <w:spacing w:line="312" w:lineRule="atLeast"/>
      <w:jc w:val="both"/>
      <w:textAlignment w:val="baseline"/>
    </w:pPr>
    <w:rPr>
      <w:rFonts w:ascii="宋体" w:hAnsi="Times New Roman" w:eastAsia="宋体" w:cs="Times New Roman"/>
      <w:sz w:val="28"/>
      <w:lang w:val="en-US" w:eastAsia="zh-CN" w:bidi="ar-SA"/>
    </w:rPr>
  </w:style>
  <w:style w:type="paragraph" w:customStyle="1" w:styleId="210">
    <w:name w:val="附件标题"/>
    <w:basedOn w:val="1"/>
    <w:qFormat/>
    <w:uiPriority w:val="0"/>
    <w:pPr>
      <w:ind w:firstLine="200" w:firstLineChars="200"/>
      <w:jc w:val="center"/>
    </w:pPr>
    <w:rPr>
      <w:rFonts w:ascii="Arial" w:hAnsi="Arial" w:eastAsia="黑体"/>
      <w:sz w:val="24"/>
    </w:rPr>
  </w:style>
  <w:style w:type="paragraph" w:customStyle="1" w:styleId="211">
    <w:name w:val="附件(1)"/>
    <w:basedOn w:val="1"/>
    <w:qFormat/>
    <w:uiPriority w:val="0"/>
    <w:pPr>
      <w:numPr>
        <w:ilvl w:val="0"/>
        <w:numId w:val="13"/>
      </w:numPr>
      <w:ind w:firstLine="200" w:firstLineChars="200"/>
    </w:pPr>
    <w:rPr>
      <w:sz w:val="24"/>
    </w:rPr>
  </w:style>
  <w:style w:type="paragraph" w:customStyle="1" w:styleId="212">
    <w:name w:val="附件1."/>
    <w:basedOn w:val="2"/>
    <w:qFormat/>
    <w:uiPriority w:val="0"/>
    <w:pPr>
      <w:tabs>
        <w:tab w:val="left" w:pos="360"/>
        <w:tab w:val="left" w:pos="420"/>
        <w:tab w:val="clear" w:pos="426"/>
      </w:tabs>
      <w:spacing w:before="0" w:after="0" w:line="360" w:lineRule="auto"/>
      <w:ind w:left="567" w:hanging="567"/>
      <w:jc w:val="both"/>
    </w:pPr>
    <w:rPr>
      <w:rFonts w:ascii="Times New Roman" w:hAnsi="Times New Roman" w:eastAsia="宋体"/>
      <w:b w:val="0"/>
      <w:sz w:val="24"/>
      <w:szCs w:val="44"/>
    </w:rPr>
  </w:style>
  <w:style w:type="paragraph" w:customStyle="1" w:styleId="213">
    <w:name w:val="附件圈"/>
    <w:basedOn w:val="211"/>
    <w:qFormat/>
    <w:uiPriority w:val="0"/>
    <w:pPr>
      <w:numPr>
        <w:numId w:val="0"/>
      </w:numPr>
      <w:tabs>
        <w:tab w:val="left" w:pos="420"/>
        <w:tab w:val="clear" w:pos="426"/>
      </w:tabs>
      <w:ind w:firstLine="420" w:firstLineChars="200"/>
    </w:pPr>
  </w:style>
  <w:style w:type="character" w:customStyle="1" w:styleId="214">
    <w:name w:val="正文文本缩进 2 字符"/>
    <w:link w:val="27"/>
    <w:qFormat/>
    <w:uiPriority w:val="0"/>
    <w:rPr>
      <w:rFonts w:ascii="宋体" w:hAnsi="宋体"/>
      <w:kern w:val="2"/>
      <w:sz w:val="21"/>
      <w:szCs w:val="24"/>
    </w:rPr>
  </w:style>
  <w:style w:type="character" w:customStyle="1" w:styleId="215">
    <w:name w:val="正文文本缩进 字符"/>
    <w:link w:val="21"/>
    <w:qFormat/>
    <w:uiPriority w:val="0"/>
    <w:rPr>
      <w:kern w:val="2"/>
      <w:sz w:val="21"/>
      <w:szCs w:val="24"/>
    </w:rPr>
  </w:style>
  <w:style w:type="paragraph" w:customStyle="1" w:styleId="216">
    <w:name w:val="样式 标题 2H2Heading 2 HiddenHeading 2 CCBSheading 22nd levelh..."/>
    <w:basedOn w:val="5"/>
    <w:qFormat/>
    <w:uiPriority w:val="0"/>
    <w:pPr>
      <w:adjustRightInd/>
      <w:spacing w:before="120" w:after="120"/>
      <w:ind w:left="576" w:hanging="576"/>
      <w:jc w:val="left"/>
      <w:textAlignment w:val="auto"/>
    </w:pPr>
    <w:rPr>
      <w:rFonts w:ascii="Arial" w:hAnsi="Arial" w:eastAsia="黑体" w:cs="宋体"/>
      <w:bCs/>
      <w:kern w:val="2"/>
      <w:sz w:val="28"/>
      <w:szCs w:val="28"/>
    </w:rPr>
  </w:style>
  <w:style w:type="paragraph" w:customStyle="1" w:styleId="217">
    <w:name w:val="样式 标题 2H2Heading 2 HiddenHeading 2 CCBSheading 22nd levelh...1"/>
    <w:basedOn w:val="5"/>
    <w:qFormat/>
    <w:uiPriority w:val="0"/>
    <w:pPr>
      <w:adjustRightInd/>
      <w:spacing w:before="240" w:after="240"/>
      <w:ind w:left="576" w:hanging="576"/>
      <w:jc w:val="left"/>
      <w:textAlignment w:val="auto"/>
    </w:pPr>
    <w:rPr>
      <w:bCs/>
      <w:kern w:val="2"/>
      <w:sz w:val="28"/>
      <w:szCs w:val="28"/>
    </w:rPr>
  </w:style>
  <w:style w:type="character" w:customStyle="1" w:styleId="218">
    <w:name w:val="Default Char"/>
    <w:link w:val="55"/>
    <w:qFormat/>
    <w:uiPriority w:val="0"/>
    <w:rPr>
      <w:rFonts w:ascii="宋体" w:hAnsi="Calibri"/>
      <w:color w:val="000000"/>
      <w:sz w:val="24"/>
      <w:szCs w:val="24"/>
      <w:lang w:bidi="ar-SA"/>
    </w:rPr>
  </w:style>
  <w:style w:type="paragraph" w:customStyle="1" w:styleId="219">
    <w:name w:val="CM51"/>
    <w:basedOn w:val="55"/>
    <w:next w:val="55"/>
    <w:qFormat/>
    <w:uiPriority w:val="0"/>
    <w:pPr>
      <w:spacing w:after="103"/>
    </w:pPr>
    <w:rPr>
      <w:rFonts w:ascii="黑体" w:eastAsia="黑体"/>
      <w:color w:val="auto"/>
    </w:rPr>
  </w:style>
  <w:style w:type="paragraph" w:customStyle="1" w:styleId="220">
    <w:name w:val="pan"/>
    <w:basedOn w:val="80"/>
    <w:link w:val="221"/>
    <w:qFormat/>
    <w:uiPriority w:val="0"/>
    <w:pPr>
      <w:numPr>
        <w:ilvl w:val="0"/>
        <w:numId w:val="14"/>
      </w:numPr>
      <w:tabs>
        <w:tab w:val="left" w:pos="840"/>
      </w:tabs>
      <w:ind w:left="840" w:hanging="420" w:firstLineChars="0"/>
      <w:outlineLvl w:val="0"/>
    </w:pPr>
    <w:rPr>
      <w:rFonts w:ascii="黑体" w:hAnsi="黑体" w:eastAsia="黑体"/>
      <w:sz w:val="32"/>
      <w:szCs w:val="32"/>
    </w:rPr>
  </w:style>
  <w:style w:type="character" w:customStyle="1" w:styleId="221">
    <w:name w:val="pan Char"/>
    <w:link w:val="220"/>
    <w:qFormat/>
    <w:uiPriority w:val="0"/>
    <w:rPr>
      <w:rFonts w:ascii="黑体" w:hAnsi="黑体" w:eastAsia="黑体"/>
      <w:kern w:val="2"/>
      <w:sz w:val="32"/>
      <w:szCs w:val="32"/>
      <w:shd w:val="clear" w:color="auto" w:fill="FFFFFF"/>
    </w:rPr>
  </w:style>
  <w:style w:type="paragraph" w:customStyle="1" w:styleId="222">
    <w:name w:val="pan2"/>
    <w:basedOn w:val="80"/>
    <w:link w:val="223"/>
    <w:qFormat/>
    <w:uiPriority w:val="0"/>
    <w:pPr>
      <w:numPr>
        <w:ilvl w:val="1"/>
        <w:numId w:val="14"/>
      </w:numPr>
      <w:tabs>
        <w:tab w:val="left" w:pos="840"/>
      </w:tabs>
      <w:ind w:left="840" w:hanging="420" w:firstLineChars="0"/>
      <w:outlineLvl w:val="1"/>
    </w:pPr>
    <w:rPr>
      <w:rFonts w:ascii="黑体" w:hAnsi="黑体" w:eastAsia="黑体"/>
      <w:sz w:val="30"/>
      <w:szCs w:val="30"/>
    </w:rPr>
  </w:style>
  <w:style w:type="character" w:customStyle="1" w:styleId="223">
    <w:name w:val="pan2 Char"/>
    <w:link w:val="222"/>
    <w:qFormat/>
    <w:uiPriority w:val="0"/>
    <w:rPr>
      <w:rFonts w:ascii="黑体" w:hAnsi="黑体" w:eastAsia="黑体"/>
      <w:kern w:val="2"/>
      <w:sz w:val="30"/>
      <w:szCs w:val="30"/>
      <w:shd w:val="clear" w:color="auto" w:fill="FFFFFF"/>
    </w:rPr>
  </w:style>
  <w:style w:type="paragraph" w:customStyle="1" w:styleId="224">
    <w:name w:val="pan3"/>
    <w:basedOn w:val="80"/>
    <w:link w:val="225"/>
    <w:qFormat/>
    <w:uiPriority w:val="0"/>
    <w:pPr>
      <w:numPr>
        <w:ilvl w:val="2"/>
        <w:numId w:val="14"/>
      </w:numPr>
      <w:tabs>
        <w:tab w:val="left" w:pos="1260"/>
      </w:tabs>
      <w:ind w:left="1260" w:hanging="420" w:firstLineChars="0"/>
      <w:outlineLvl w:val="2"/>
    </w:pPr>
    <w:rPr>
      <w:rFonts w:ascii="黑体" w:hAnsi="黑体" w:eastAsia="黑体"/>
      <w:sz w:val="28"/>
      <w:szCs w:val="28"/>
    </w:rPr>
  </w:style>
  <w:style w:type="character" w:customStyle="1" w:styleId="225">
    <w:name w:val="pan3 Char"/>
    <w:link w:val="224"/>
    <w:qFormat/>
    <w:uiPriority w:val="0"/>
    <w:rPr>
      <w:rFonts w:ascii="黑体" w:hAnsi="黑体" w:eastAsia="黑体"/>
      <w:kern w:val="2"/>
      <w:sz w:val="28"/>
      <w:szCs w:val="28"/>
      <w:shd w:val="clear" w:color="auto" w:fill="FFFFFF"/>
    </w:rPr>
  </w:style>
  <w:style w:type="paragraph" w:customStyle="1" w:styleId="226">
    <w:name w:val="pan4"/>
    <w:basedOn w:val="80"/>
    <w:link w:val="227"/>
    <w:qFormat/>
    <w:uiPriority w:val="0"/>
    <w:pPr>
      <w:numPr>
        <w:ilvl w:val="3"/>
        <w:numId w:val="14"/>
      </w:numPr>
      <w:tabs>
        <w:tab w:val="left" w:pos="1680"/>
      </w:tabs>
      <w:ind w:left="1680" w:hanging="420" w:firstLineChars="0"/>
      <w:outlineLvl w:val="3"/>
    </w:pPr>
    <w:rPr>
      <w:rFonts w:ascii="黑体" w:hAnsi="黑体" w:eastAsia="黑体"/>
      <w:sz w:val="28"/>
      <w:szCs w:val="28"/>
    </w:rPr>
  </w:style>
  <w:style w:type="character" w:customStyle="1" w:styleId="227">
    <w:name w:val="pan4 Char"/>
    <w:link w:val="226"/>
    <w:qFormat/>
    <w:uiPriority w:val="0"/>
    <w:rPr>
      <w:rFonts w:ascii="黑体" w:hAnsi="黑体" w:eastAsia="黑体"/>
      <w:kern w:val="2"/>
      <w:sz w:val="28"/>
      <w:szCs w:val="28"/>
      <w:shd w:val="clear" w:color="auto" w:fill="FFFFFF"/>
    </w:rPr>
  </w:style>
  <w:style w:type="paragraph" w:customStyle="1" w:styleId="228">
    <w:name w:val="pan5"/>
    <w:basedOn w:val="80"/>
    <w:link w:val="229"/>
    <w:qFormat/>
    <w:uiPriority w:val="0"/>
    <w:pPr>
      <w:numPr>
        <w:ilvl w:val="4"/>
        <w:numId w:val="14"/>
      </w:numPr>
      <w:tabs>
        <w:tab w:val="left" w:pos="1008"/>
      </w:tabs>
      <w:ind w:left="1008" w:hanging="1008" w:firstLineChars="0"/>
      <w:outlineLvl w:val="4"/>
    </w:pPr>
    <w:rPr>
      <w:rFonts w:ascii="黑体" w:hAnsi="黑体" w:eastAsia="黑体"/>
      <w:sz w:val="24"/>
    </w:rPr>
  </w:style>
  <w:style w:type="character" w:customStyle="1" w:styleId="229">
    <w:name w:val="pan5 Char"/>
    <w:link w:val="228"/>
    <w:qFormat/>
    <w:uiPriority w:val="0"/>
    <w:rPr>
      <w:rFonts w:ascii="黑体" w:hAnsi="黑体" w:eastAsia="黑体"/>
      <w:kern w:val="2"/>
      <w:sz w:val="24"/>
      <w:szCs w:val="24"/>
      <w:shd w:val="clear" w:color="auto" w:fill="FFFFFF"/>
    </w:rPr>
  </w:style>
  <w:style w:type="paragraph" w:customStyle="1" w:styleId="230">
    <w:name w:val="一级标题"/>
    <w:basedOn w:val="80"/>
    <w:link w:val="232"/>
    <w:qFormat/>
    <w:uiPriority w:val="0"/>
    <w:pPr>
      <w:numPr>
        <w:ilvl w:val="0"/>
        <w:numId w:val="15"/>
      </w:numPr>
      <w:spacing w:line="720" w:lineRule="auto"/>
      <w:ind w:firstLineChars="0"/>
      <w:jc w:val="center"/>
      <w:outlineLvl w:val="0"/>
    </w:pPr>
    <w:rPr>
      <w:rFonts w:ascii="黑体" w:hAnsi="黑体" w:eastAsia="黑体"/>
      <w:sz w:val="44"/>
      <w:szCs w:val="44"/>
    </w:rPr>
  </w:style>
  <w:style w:type="paragraph" w:customStyle="1" w:styleId="231">
    <w:name w:val="二级标题"/>
    <w:basedOn w:val="80"/>
    <w:link w:val="234"/>
    <w:qFormat/>
    <w:uiPriority w:val="0"/>
    <w:pPr>
      <w:numPr>
        <w:ilvl w:val="1"/>
        <w:numId w:val="15"/>
      </w:numPr>
      <w:spacing w:line="720" w:lineRule="auto"/>
      <w:ind w:firstLineChars="0"/>
      <w:outlineLvl w:val="1"/>
    </w:pPr>
    <w:rPr>
      <w:rFonts w:ascii="黑体" w:hAnsi="黑体" w:eastAsia="黑体"/>
      <w:sz w:val="36"/>
      <w:szCs w:val="36"/>
    </w:rPr>
  </w:style>
  <w:style w:type="character" w:customStyle="1" w:styleId="232">
    <w:name w:val="一级标题 Char"/>
    <w:link w:val="230"/>
    <w:qFormat/>
    <w:uiPriority w:val="0"/>
    <w:rPr>
      <w:rFonts w:ascii="黑体" w:hAnsi="黑体" w:eastAsia="黑体"/>
      <w:kern w:val="2"/>
      <w:sz w:val="44"/>
      <w:szCs w:val="44"/>
      <w:shd w:val="clear" w:color="auto" w:fill="FFFFFF"/>
    </w:rPr>
  </w:style>
  <w:style w:type="paragraph" w:customStyle="1" w:styleId="233">
    <w:name w:val="三级标题"/>
    <w:basedOn w:val="80"/>
    <w:link w:val="236"/>
    <w:qFormat/>
    <w:uiPriority w:val="0"/>
    <w:pPr>
      <w:numPr>
        <w:ilvl w:val="2"/>
        <w:numId w:val="15"/>
      </w:numPr>
      <w:spacing w:line="720" w:lineRule="auto"/>
      <w:ind w:firstLineChars="0"/>
      <w:outlineLvl w:val="2"/>
    </w:pPr>
    <w:rPr>
      <w:rFonts w:ascii="黑体" w:hAnsi="黑体" w:eastAsia="黑体"/>
      <w:sz w:val="32"/>
      <w:szCs w:val="32"/>
    </w:rPr>
  </w:style>
  <w:style w:type="character" w:customStyle="1" w:styleId="234">
    <w:name w:val="二级标题 Char"/>
    <w:link w:val="231"/>
    <w:qFormat/>
    <w:uiPriority w:val="0"/>
    <w:rPr>
      <w:rFonts w:ascii="黑体" w:hAnsi="黑体" w:eastAsia="黑体"/>
      <w:kern w:val="2"/>
      <w:sz w:val="36"/>
      <w:szCs w:val="36"/>
      <w:shd w:val="clear" w:color="auto" w:fill="FFFFFF"/>
    </w:rPr>
  </w:style>
  <w:style w:type="paragraph" w:customStyle="1" w:styleId="235">
    <w:name w:val="四级标题"/>
    <w:basedOn w:val="80"/>
    <w:link w:val="238"/>
    <w:qFormat/>
    <w:uiPriority w:val="0"/>
    <w:pPr>
      <w:numPr>
        <w:ilvl w:val="3"/>
        <w:numId w:val="15"/>
      </w:numPr>
      <w:spacing w:line="720" w:lineRule="auto"/>
      <w:ind w:firstLineChars="0"/>
      <w:outlineLvl w:val="3"/>
    </w:pPr>
    <w:rPr>
      <w:rFonts w:ascii="黑体" w:hAnsi="黑体" w:eastAsia="黑体"/>
      <w:sz w:val="30"/>
      <w:szCs w:val="30"/>
    </w:rPr>
  </w:style>
  <w:style w:type="character" w:customStyle="1" w:styleId="236">
    <w:name w:val="三级标题 Char"/>
    <w:link w:val="233"/>
    <w:qFormat/>
    <w:uiPriority w:val="0"/>
    <w:rPr>
      <w:rFonts w:ascii="黑体" w:hAnsi="黑体" w:eastAsia="黑体"/>
      <w:kern w:val="2"/>
      <w:sz w:val="32"/>
      <w:szCs w:val="32"/>
      <w:shd w:val="clear" w:color="auto" w:fill="FFFFFF"/>
    </w:rPr>
  </w:style>
  <w:style w:type="paragraph" w:customStyle="1" w:styleId="237">
    <w:name w:val="五级标题"/>
    <w:basedOn w:val="80"/>
    <w:link w:val="239"/>
    <w:qFormat/>
    <w:uiPriority w:val="0"/>
    <w:pPr>
      <w:numPr>
        <w:ilvl w:val="4"/>
        <w:numId w:val="15"/>
      </w:numPr>
      <w:spacing w:line="720" w:lineRule="auto"/>
      <w:ind w:firstLineChars="0"/>
      <w:outlineLvl w:val="4"/>
    </w:pPr>
    <w:rPr>
      <w:rFonts w:ascii="黑体" w:hAnsi="黑体" w:eastAsia="黑体"/>
      <w:sz w:val="28"/>
      <w:szCs w:val="28"/>
    </w:rPr>
  </w:style>
  <w:style w:type="character" w:customStyle="1" w:styleId="238">
    <w:name w:val="四级标题 Char"/>
    <w:link w:val="235"/>
    <w:qFormat/>
    <w:uiPriority w:val="0"/>
    <w:rPr>
      <w:rFonts w:ascii="黑体" w:hAnsi="黑体" w:eastAsia="黑体"/>
      <w:kern w:val="2"/>
      <w:sz w:val="30"/>
      <w:szCs w:val="30"/>
      <w:shd w:val="clear" w:color="auto" w:fill="FFFFFF"/>
    </w:rPr>
  </w:style>
  <w:style w:type="character" w:customStyle="1" w:styleId="239">
    <w:name w:val="五级标题 Char"/>
    <w:link w:val="237"/>
    <w:qFormat/>
    <w:uiPriority w:val="0"/>
    <w:rPr>
      <w:rFonts w:ascii="黑体" w:hAnsi="黑体" w:eastAsia="黑体"/>
      <w:kern w:val="2"/>
      <w:sz w:val="28"/>
      <w:szCs w:val="28"/>
      <w:shd w:val="clear" w:color="auto" w:fill="FFFFFF"/>
    </w:rPr>
  </w:style>
  <w:style w:type="paragraph" w:customStyle="1" w:styleId="240">
    <w:name w:val="图片"/>
    <w:basedOn w:val="1"/>
    <w:link w:val="242"/>
    <w:qFormat/>
    <w:uiPriority w:val="0"/>
    <w:pPr>
      <w:ind w:firstLine="200" w:firstLineChars="200"/>
      <w:jc w:val="center"/>
    </w:pPr>
    <w:rPr>
      <w:rFonts w:cs="Times New Roman"/>
      <w:kern w:val="2"/>
      <w:sz w:val="24"/>
    </w:rPr>
  </w:style>
  <w:style w:type="paragraph" w:customStyle="1" w:styleId="241">
    <w:name w:val="图片注释"/>
    <w:basedOn w:val="1"/>
    <w:link w:val="243"/>
    <w:qFormat/>
    <w:uiPriority w:val="0"/>
    <w:pPr>
      <w:spacing w:afterLines="25"/>
      <w:ind w:firstLine="200" w:firstLineChars="200"/>
      <w:jc w:val="center"/>
    </w:pPr>
    <w:rPr>
      <w:rFonts w:cs="Times New Roman"/>
      <w:kern w:val="2"/>
      <w:sz w:val="24"/>
      <w:u w:val="single"/>
    </w:rPr>
  </w:style>
  <w:style w:type="character" w:customStyle="1" w:styleId="242">
    <w:name w:val="图片 Char"/>
    <w:link w:val="240"/>
    <w:qFormat/>
    <w:uiPriority w:val="0"/>
    <w:rPr>
      <w:rFonts w:ascii="宋体" w:hAnsi="宋体"/>
      <w:kern w:val="2"/>
      <w:sz w:val="24"/>
      <w:szCs w:val="24"/>
    </w:rPr>
  </w:style>
  <w:style w:type="character" w:customStyle="1" w:styleId="243">
    <w:name w:val="图片注释 Char"/>
    <w:link w:val="241"/>
    <w:qFormat/>
    <w:uiPriority w:val="0"/>
    <w:rPr>
      <w:rFonts w:ascii="宋体" w:hAnsi="宋体"/>
      <w:kern w:val="2"/>
      <w:sz w:val="24"/>
      <w:szCs w:val="24"/>
      <w:u w:val="single"/>
    </w:rPr>
  </w:style>
  <w:style w:type="paragraph" w:customStyle="1" w:styleId="244">
    <w:name w:val="段内层标"/>
    <w:basedOn w:val="132"/>
    <w:link w:val="245"/>
    <w:qFormat/>
    <w:uiPriority w:val="0"/>
    <w:pPr>
      <w:numPr>
        <w:ilvl w:val="0"/>
        <w:numId w:val="16"/>
      </w:numPr>
      <w:spacing w:beforeLines="25" w:afterLines="25"/>
      <w:ind w:firstLine="200" w:firstLineChars="200"/>
    </w:pPr>
    <w:rPr>
      <w:rFonts w:ascii="宋体" w:hAnsi="宋体"/>
      <w:b/>
      <w:kern w:val="2"/>
      <w:sz w:val="28"/>
      <w:szCs w:val="28"/>
    </w:rPr>
  </w:style>
  <w:style w:type="character" w:customStyle="1" w:styleId="245">
    <w:name w:val="段内层标 Char"/>
    <w:link w:val="244"/>
    <w:qFormat/>
    <w:uiPriority w:val="0"/>
    <w:rPr>
      <w:rFonts w:ascii="宋体" w:hAnsi="宋体"/>
      <w:b/>
      <w:kern w:val="2"/>
      <w:sz w:val="28"/>
      <w:szCs w:val="28"/>
      <w:shd w:val="clear" w:color="auto" w:fill="FFFFFF"/>
    </w:rPr>
  </w:style>
  <w:style w:type="paragraph" w:customStyle="1" w:styleId="246">
    <w:name w:val="方案设计1级标题"/>
    <w:basedOn w:val="80"/>
    <w:qFormat/>
    <w:uiPriority w:val="0"/>
    <w:pPr>
      <w:tabs>
        <w:tab w:val="left" w:pos="840"/>
      </w:tabs>
      <w:ind w:left="840" w:firstLine="0" w:firstLineChars="0"/>
      <w:jc w:val="center"/>
      <w:outlineLvl w:val="0"/>
    </w:pPr>
    <w:rPr>
      <w:rFonts w:ascii="黑体" w:hAnsi="黑体" w:eastAsia="黑体"/>
      <w:sz w:val="44"/>
      <w:szCs w:val="44"/>
    </w:rPr>
  </w:style>
  <w:style w:type="paragraph" w:customStyle="1" w:styleId="247">
    <w:name w:val="方案设计2级标题"/>
    <w:basedOn w:val="80"/>
    <w:qFormat/>
    <w:uiPriority w:val="0"/>
    <w:pPr>
      <w:numPr>
        <w:ilvl w:val="1"/>
        <w:numId w:val="17"/>
      </w:numPr>
      <w:ind w:firstLine="0" w:firstLineChars="0"/>
      <w:outlineLvl w:val="1"/>
    </w:pPr>
    <w:rPr>
      <w:rFonts w:ascii="黑体" w:hAnsi="黑体" w:eastAsia="黑体"/>
      <w:sz w:val="32"/>
      <w:szCs w:val="32"/>
    </w:rPr>
  </w:style>
  <w:style w:type="paragraph" w:customStyle="1" w:styleId="248">
    <w:name w:val="标题3"/>
    <w:basedOn w:val="80"/>
    <w:link w:val="253"/>
    <w:qFormat/>
    <w:uiPriority w:val="0"/>
    <w:pPr>
      <w:numPr>
        <w:ilvl w:val="2"/>
        <w:numId w:val="17"/>
      </w:numPr>
      <w:ind w:firstLine="0" w:firstLineChars="0"/>
      <w:outlineLvl w:val="2"/>
    </w:pPr>
    <w:rPr>
      <w:rFonts w:ascii="黑体" w:hAnsi="黑体" w:eastAsia="黑体"/>
      <w:sz w:val="28"/>
      <w:szCs w:val="28"/>
    </w:rPr>
  </w:style>
  <w:style w:type="paragraph" w:customStyle="1" w:styleId="249">
    <w:name w:val="标题5"/>
    <w:basedOn w:val="80"/>
    <w:qFormat/>
    <w:uiPriority w:val="0"/>
    <w:pPr>
      <w:tabs>
        <w:tab w:val="left" w:pos="2038"/>
      </w:tabs>
      <w:ind w:left="2038" w:hanging="420" w:firstLineChars="0"/>
      <w:jc w:val="left"/>
      <w:outlineLvl w:val="4"/>
    </w:pPr>
    <w:rPr>
      <w:rFonts w:ascii="黑体" w:hAnsi="黑体" w:eastAsia="黑体"/>
      <w:sz w:val="28"/>
      <w:szCs w:val="28"/>
    </w:rPr>
  </w:style>
  <w:style w:type="paragraph" w:customStyle="1" w:styleId="250">
    <w:name w:val="正文标题"/>
    <w:basedOn w:val="1"/>
    <w:link w:val="251"/>
    <w:qFormat/>
    <w:uiPriority w:val="0"/>
    <w:pPr>
      <w:numPr>
        <w:ilvl w:val="0"/>
        <w:numId w:val="17"/>
      </w:numPr>
      <w:ind w:firstLine="200" w:firstLineChars="200"/>
    </w:pPr>
    <w:rPr>
      <w:rFonts w:ascii="Calibri" w:hAnsi="Calibri" w:cs="Times New Roman"/>
      <w:b/>
      <w:kern w:val="2"/>
      <w:sz w:val="28"/>
      <w:szCs w:val="28"/>
    </w:rPr>
  </w:style>
  <w:style w:type="character" w:customStyle="1" w:styleId="251">
    <w:name w:val="正文标题 Char"/>
    <w:link w:val="250"/>
    <w:qFormat/>
    <w:uiPriority w:val="0"/>
    <w:rPr>
      <w:rFonts w:ascii="Calibri" w:hAnsi="Calibri"/>
      <w:b/>
      <w:kern w:val="2"/>
      <w:sz w:val="28"/>
      <w:szCs w:val="28"/>
      <w:shd w:val="clear" w:color="auto" w:fill="FFFFFF"/>
    </w:rPr>
  </w:style>
  <w:style w:type="character" w:customStyle="1" w:styleId="252">
    <w:name w:val="批注主题 字符"/>
    <w:link w:val="43"/>
    <w:qFormat/>
    <w:uiPriority w:val="0"/>
    <w:rPr>
      <w:b/>
      <w:bCs/>
      <w:kern w:val="2"/>
      <w:sz w:val="21"/>
      <w:szCs w:val="24"/>
    </w:rPr>
  </w:style>
  <w:style w:type="character" w:customStyle="1" w:styleId="253">
    <w:name w:val="标题3 Char"/>
    <w:link w:val="248"/>
    <w:qFormat/>
    <w:uiPriority w:val="0"/>
    <w:rPr>
      <w:rFonts w:ascii="黑体" w:hAnsi="黑体" w:eastAsia="黑体"/>
      <w:kern w:val="2"/>
      <w:sz w:val="28"/>
      <w:szCs w:val="28"/>
      <w:shd w:val="clear" w:color="auto" w:fill="FFFFFF"/>
    </w:rPr>
  </w:style>
  <w:style w:type="paragraph" w:customStyle="1" w:styleId="254">
    <w:name w:val="样式 Verdana 四号 首行缩进:  2 字符"/>
    <w:basedOn w:val="1"/>
    <w:qFormat/>
    <w:uiPriority w:val="0"/>
    <w:pPr>
      <w:ind w:firstLine="560" w:firstLineChars="200"/>
      <w:jc w:val="left"/>
    </w:pPr>
    <w:rPr>
      <w:rFonts w:ascii="Verdana" w:hAnsi="Verdana"/>
      <w:sz w:val="24"/>
      <w:szCs w:val="20"/>
    </w:rPr>
  </w:style>
  <w:style w:type="paragraph" w:customStyle="1" w:styleId="255">
    <w:name w:val="层标"/>
    <w:basedOn w:val="132"/>
    <w:link w:val="256"/>
    <w:qFormat/>
    <w:uiPriority w:val="0"/>
    <w:pPr>
      <w:numPr>
        <w:ilvl w:val="0"/>
        <w:numId w:val="18"/>
      </w:numPr>
      <w:spacing w:beforeLines="25" w:afterLines="25"/>
      <w:ind w:firstLine="0"/>
    </w:pPr>
    <w:rPr>
      <w:rFonts w:ascii="宋体" w:hAnsi="宋体"/>
      <w:b/>
      <w:kern w:val="2"/>
      <w:sz w:val="28"/>
      <w:szCs w:val="28"/>
    </w:rPr>
  </w:style>
  <w:style w:type="character" w:customStyle="1" w:styleId="256">
    <w:name w:val="层标 Char"/>
    <w:link w:val="255"/>
    <w:qFormat/>
    <w:uiPriority w:val="0"/>
    <w:rPr>
      <w:rFonts w:ascii="宋体" w:hAnsi="宋体"/>
      <w:b/>
      <w:kern w:val="2"/>
      <w:sz w:val="28"/>
      <w:szCs w:val="28"/>
      <w:shd w:val="clear" w:color="auto" w:fill="FFFFFF"/>
    </w:rPr>
  </w:style>
  <w:style w:type="character" w:customStyle="1" w:styleId="257">
    <w:name w:val="引用 字符"/>
    <w:link w:val="54"/>
    <w:qFormat/>
    <w:uiPriority w:val="29"/>
    <w:rPr>
      <w:iCs/>
      <w:color w:val="000000"/>
      <w:kern w:val="2"/>
      <w:sz w:val="24"/>
      <w:szCs w:val="24"/>
    </w:rPr>
  </w:style>
  <w:style w:type="character" w:customStyle="1" w:styleId="258">
    <w:name w:val="明显参考1"/>
    <w:qFormat/>
    <w:uiPriority w:val="32"/>
    <w:rPr>
      <w:rFonts w:eastAsia="宋体"/>
      <w:bCs/>
      <w:smallCaps/>
      <w:color w:val="000000"/>
      <w:spacing w:val="5"/>
      <w:sz w:val="24"/>
      <w:u w:val="single"/>
    </w:rPr>
  </w:style>
  <w:style w:type="paragraph" w:customStyle="1" w:styleId="259">
    <w:name w:val="段落强调"/>
    <w:basedOn w:val="1"/>
    <w:link w:val="261"/>
    <w:qFormat/>
    <w:uiPriority w:val="0"/>
    <w:pPr>
      <w:numPr>
        <w:ilvl w:val="0"/>
        <w:numId w:val="19"/>
      </w:numPr>
      <w:ind w:left="0" w:firstLine="420"/>
    </w:pPr>
    <w:rPr>
      <w:rFonts w:ascii="Times New Roman" w:hAnsi="Times New Roman" w:cs="Times New Roman"/>
      <w:b/>
      <w:kern w:val="2"/>
      <w:sz w:val="24"/>
    </w:rPr>
  </w:style>
  <w:style w:type="character" w:customStyle="1" w:styleId="260">
    <w:name w:val="书籍标题1"/>
    <w:qFormat/>
    <w:uiPriority w:val="33"/>
    <w:rPr>
      <w:b/>
      <w:bCs/>
      <w:smallCaps/>
      <w:spacing w:val="5"/>
    </w:rPr>
  </w:style>
  <w:style w:type="character" w:customStyle="1" w:styleId="261">
    <w:name w:val="段落强调 Char"/>
    <w:link w:val="259"/>
    <w:qFormat/>
    <w:uiPriority w:val="0"/>
    <w:rPr>
      <w:b/>
      <w:kern w:val="2"/>
      <w:sz w:val="24"/>
      <w:szCs w:val="24"/>
      <w:shd w:val="clear" w:color="auto" w:fill="FFFFFF"/>
    </w:rPr>
  </w:style>
  <w:style w:type="paragraph" w:customStyle="1" w:styleId="262">
    <w:name w:val="段内主题"/>
    <w:basedOn w:val="1"/>
    <w:link w:val="264"/>
    <w:qFormat/>
    <w:uiPriority w:val="0"/>
    <w:pPr>
      <w:numPr>
        <w:ilvl w:val="1"/>
        <w:numId w:val="20"/>
      </w:numPr>
      <w:ind w:firstLine="0"/>
    </w:pPr>
    <w:rPr>
      <w:rFonts w:cs="Times New Roman"/>
      <w:b/>
      <w:kern w:val="2"/>
      <w:sz w:val="24"/>
    </w:rPr>
  </w:style>
  <w:style w:type="paragraph" w:customStyle="1" w:styleId="263">
    <w:name w:val="图片注释新"/>
    <w:basedOn w:val="241"/>
    <w:link w:val="265"/>
    <w:qFormat/>
    <w:uiPriority w:val="0"/>
    <w:pPr>
      <w:spacing w:after="81"/>
      <w:ind w:firstLine="0" w:firstLineChars="0"/>
    </w:pPr>
  </w:style>
  <w:style w:type="character" w:customStyle="1" w:styleId="264">
    <w:name w:val="段内主题 Char"/>
    <w:link w:val="262"/>
    <w:qFormat/>
    <w:uiPriority w:val="0"/>
    <w:rPr>
      <w:rFonts w:ascii="宋体" w:hAnsi="宋体"/>
      <w:b/>
      <w:kern w:val="2"/>
      <w:sz w:val="24"/>
      <w:szCs w:val="24"/>
      <w:shd w:val="clear" w:color="auto" w:fill="FFFFFF"/>
    </w:rPr>
  </w:style>
  <w:style w:type="character" w:customStyle="1" w:styleId="265">
    <w:name w:val="图片注释新 Char"/>
    <w:link w:val="263"/>
    <w:qFormat/>
    <w:uiPriority w:val="0"/>
    <w:rPr>
      <w:rFonts w:ascii="宋体" w:hAnsi="宋体"/>
      <w:kern w:val="2"/>
      <w:sz w:val="24"/>
      <w:szCs w:val="24"/>
      <w:u w:val="single"/>
    </w:rPr>
  </w:style>
  <w:style w:type="paragraph" w:customStyle="1" w:styleId="266">
    <w:name w:val="正文（缩进）"/>
    <w:basedOn w:val="1"/>
    <w:link w:val="267"/>
    <w:qFormat/>
    <w:uiPriority w:val="0"/>
    <w:pPr>
      <w:spacing w:beforeLines="50" w:afterLines="50"/>
      <w:ind w:firstLine="480" w:firstLineChars="200"/>
    </w:pPr>
    <w:rPr>
      <w:rFonts w:ascii="Times New Roman" w:hAnsi="Times New Roman" w:cs="Times New Roman"/>
      <w:sz w:val="24"/>
    </w:rPr>
  </w:style>
  <w:style w:type="character" w:customStyle="1" w:styleId="267">
    <w:name w:val="正文（缩进） Char"/>
    <w:link w:val="266"/>
    <w:qFormat/>
    <w:uiPriority w:val="0"/>
    <w:rPr>
      <w:sz w:val="24"/>
      <w:szCs w:val="24"/>
    </w:rPr>
  </w:style>
  <w:style w:type="character" w:customStyle="1" w:styleId="268">
    <w:name w:val="Char Char4"/>
    <w:qFormat/>
    <w:uiPriority w:val="0"/>
    <w:rPr>
      <w:rFonts w:eastAsia="宋体"/>
      <w:b/>
      <w:kern w:val="2"/>
      <w:sz w:val="24"/>
      <w:lang w:val="en-US" w:eastAsia="zh-CN" w:bidi="ar-SA"/>
    </w:rPr>
  </w:style>
  <w:style w:type="character" w:customStyle="1" w:styleId="269">
    <w:name w:val="正文文本缩进 3 字符"/>
    <w:link w:val="35"/>
    <w:qFormat/>
    <w:uiPriority w:val="0"/>
    <w:rPr>
      <w:rFonts w:ascii="宋体"/>
      <w:b/>
      <w:bCs/>
      <w:kern w:val="2"/>
      <w:sz w:val="24"/>
      <w:szCs w:val="24"/>
    </w:rPr>
  </w:style>
  <w:style w:type="paragraph" w:customStyle="1" w:styleId="270">
    <w:name w:val="Char5 Char Char Char Char Char Char"/>
    <w:basedOn w:val="1"/>
    <w:qFormat/>
    <w:uiPriority w:val="0"/>
    <w:pPr>
      <w:spacing w:after="160" w:line="240" w:lineRule="exact"/>
      <w:jc w:val="left"/>
    </w:pPr>
    <w:rPr>
      <w:rFonts w:ascii="Verdana" w:hAnsi="Verdana" w:eastAsia="仿宋_GB2312"/>
      <w:sz w:val="24"/>
      <w:szCs w:val="20"/>
      <w:lang w:eastAsia="en-US"/>
    </w:rPr>
  </w:style>
  <w:style w:type="paragraph" w:customStyle="1" w:styleId="271">
    <w:name w:val="pa-2"/>
    <w:basedOn w:val="1"/>
    <w:qFormat/>
    <w:uiPriority w:val="0"/>
    <w:pPr>
      <w:spacing w:before="100" w:beforeAutospacing="1" w:after="100" w:afterAutospacing="1"/>
      <w:jc w:val="left"/>
    </w:pPr>
    <w:rPr>
      <w:sz w:val="24"/>
    </w:rPr>
  </w:style>
  <w:style w:type="character" w:customStyle="1" w:styleId="272">
    <w:name w:val="HTML 预设格式 字符"/>
    <w:link w:val="39"/>
    <w:qFormat/>
    <w:uiPriority w:val="0"/>
    <w:rPr>
      <w:rFonts w:ascii="Arial Unicode MS" w:hAnsi="Arial Unicode MS" w:eastAsia="Arial Unicode MS"/>
      <w:color w:val="000000"/>
    </w:rPr>
  </w:style>
  <w:style w:type="character" w:customStyle="1" w:styleId="273">
    <w:name w:val="正文文本 2 字符"/>
    <w:link w:val="38"/>
    <w:qFormat/>
    <w:uiPriority w:val="0"/>
    <w:rPr>
      <w:kern w:val="2"/>
      <w:sz w:val="24"/>
      <w:szCs w:val="24"/>
    </w:rPr>
  </w:style>
  <w:style w:type="character" w:customStyle="1" w:styleId="274">
    <w:name w:val="正文文本 3 字符"/>
    <w:link w:val="20"/>
    <w:qFormat/>
    <w:uiPriority w:val="0"/>
    <w:rPr>
      <w:kern w:val="2"/>
      <w:sz w:val="16"/>
      <w:szCs w:val="16"/>
    </w:rPr>
  </w:style>
  <w:style w:type="paragraph" w:customStyle="1" w:styleId="275">
    <w:name w:val="方案正文段落"/>
    <w:basedOn w:val="1"/>
    <w:link w:val="276"/>
    <w:qFormat/>
    <w:uiPriority w:val="0"/>
    <w:pPr>
      <w:ind w:firstLine="420" w:firstLineChars="200"/>
    </w:pPr>
    <w:rPr>
      <w:rFonts w:ascii="Times New Roman" w:hAnsi="Times New Roman" w:cs="Times New Roman"/>
      <w:kern w:val="2"/>
      <w:szCs w:val="20"/>
    </w:rPr>
  </w:style>
  <w:style w:type="character" w:customStyle="1" w:styleId="276">
    <w:name w:val="方案正文段落 Char"/>
    <w:link w:val="275"/>
    <w:qFormat/>
    <w:uiPriority w:val="0"/>
    <w:rPr>
      <w:kern w:val="2"/>
      <w:sz w:val="21"/>
    </w:rPr>
  </w:style>
  <w:style w:type="paragraph" w:customStyle="1" w:styleId="277">
    <w:name w:val="修订1"/>
    <w:hidden/>
    <w:semiHidden/>
    <w:qFormat/>
    <w:uiPriority w:val="99"/>
    <w:pPr>
      <w:spacing w:line="360" w:lineRule="auto"/>
      <w:jc w:val="both"/>
    </w:pPr>
    <w:rPr>
      <w:rFonts w:ascii="Times New Roman" w:hAnsi="Times New Roman" w:eastAsia="宋体" w:cs="Times New Roman"/>
      <w:kern w:val="2"/>
      <w:sz w:val="21"/>
      <w:szCs w:val="24"/>
      <w:lang w:val="en-US" w:eastAsia="zh-CN" w:bidi="ar-SA"/>
    </w:rPr>
  </w:style>
  <w:style w:type="paragraph" w:customStyle="1" w:styleId="278">
    <w:name w:val="模板正文"/>
    <w:basedOn w:val="1"/>
    <w:link w:val="279"/>
    <w:qFormat/>
    <w:uiPriority w:val="0"/>
    <w:pPr>
      <w:widowControl w:val="0"/>
      <w:shd w:val="clear" w:color="auto" w:fill="auto"/>
      <w:tabs>
        <w:tab w:val="clear" w:pos="426"/>
      </w:tabs>
      <w:wordWrap w:val="0"/>
      <w:adjustRightInd/>
      <w:snapToGrid/>
      <w:spacing w:beforeLines="50"/>
      <w:ind w:firstLine="200" w:firstLineChars="200"/>
    </w:pPr>
    <w:rPr>
      <w:rFonts w:ascii="Times New Roman" w:hAnsi="Times New Roman" w:eastAsia="仿宋_GB2312" w:cs="Times New Roman"/>
      <w:sz w:val="28"/>
      <w:szCs w:val="21"/>
    </w:rPr>
  </w:style>
  <w:style w:type="character" w:customStyle="1" w:styleId="279">
    <w:name w:val="模板正文 Char"/>
    <w:link w:val="278"/>
    <w:qFormat/>
    <w:locked/>
    <w:uiPriority w:val="0"/>
    <w:rPr>
      <w:rFonts w:eastAsia="仿宋_GB2312"/>
      <w:sz w:val="28"/>
      <w:szCs w:val="21"/>
    </w:rPr>
  </w:style>
  <w:style w:type="paragraph" w:styleId="280">
    <w:name w:val="List Paragraph"/>
    <w:basedOn w:val="1"/>
    <w:link w:val="333"/>
    <w:qFormat/>
    <w:uiPriority w:val="1"/>
    <w:pPr>
      <w:widowControl w:val="0"/>
      <w:shd w:val="clear" w:color="auto" w:fill="auto"/>
      <w:tabs>
        <w:tab w:val="clear" w:pos="426"/>
      </w:tabs>
      <w:adjustRightInd/>
      <w:snapToGrid/>
      <w:ind w:firstLine="420" w:firstLineChars="200"/>
    </w:pPr>
    <w:rPr>
      <w:rFonts w:ascii="Times New Roman" w:hAnsi="Times New Roman" w:cs="Times New Roman"/>
      <w:kern w:val="2"/>
      <w:sz w:val="24"/>
    </w:rPr>
  </w:style>
  <w:style w:type="paragraph" w:customStyle="1" w:styleId="281">
    <w:name w:val="普通段落"/>
    <w:qFormat/>
    <w:uiPriority w:val="0"/>
    <w:pPr>
      <w:widowControl w:val="0"/>
      <w:adjustRightInd w:val="0"/>
      <w:spacing w:line="360" w:lineRule="auto"/>
      <w:ind w:firstLine="425"/>
      <w:jc w:val="both"/>
      <w:textAlignment w:val="baseline"/>
    </w:pPr>
    <w:rPr>
      <w:rFonts w:ascii="Times New Roman" w:hAnsi="Times New Roman" w:eastAsia="宋体" w:cs="Times New Roman"/>
      <w:sz w:val="24"/>
      <w:lang w:val="en-US" w:eastAsia="zh-CN" w:bidi="ar-SA"/>
    </w:rPr>
  </w:style>
  <w:style w:type="paragraph" w:customStyle="1" w:styleId="282">
    <w:name w:val="表格正文"/>
    <w:basedOn w:val="1"/>
    <w:qFormat/>
    <w:uiPriority w:val="0"/>
    <w:pPr>
      <w:widowControl w:val="0"/>
      <w:shd w:val="clear" w:color="auto" w:fill="auto"/>
      <w:tabs>
        <w:tab w:val="clear" w:pos="426"/>
      </w:tabs>
      <w:adjustRightInd/>
      <w:snapToGrid/>
      <w:ind w:firstLine="200" w:firstLineChars="200"/>
    </w:pPr>
    <w:rPr>
      <w:rFonts w:ascii="Arial" w:hAnsi="Arial" w:eastAsia="仿宋_GB2312" w:cs="Times New Roman"/>
      <w:kern w:val="2"/>
      <w:sz w:val="24"/>
      <w:szCs w:val="22"/>
    </w:rPr>
  </w:style>
  <w:style w:type="paragraph" w:customStyle="1" w:styleId="283">
    <w:name w:val="USE 1"/>
    <w:basedOn w:val="1"/>
    <w:qFormat/>
    <w:uiPriority w:val="99"/>
    <w:pPr>
      <w:widowControl w:val="0"/>
      <w:shd w:val="clear" w:color="auto" w:fill="auto"/>
      <w:tabs>
        <w:tab w:val="clear" w:pos="426"/>
      </w:tabs>
      <w:adjustRightInd/>
      <w:snapToGrid/>
      <w:spacing w:line="200" w:lineRule="atLeast"/>
    </w:pPr>
    <w:rPr>
      <w:rFonts w:cs="Times New Roman"/>
      <w:b/>
      <w:kern w:val="2"/>
      <w:sz w:val="24"/>
      <w:szCs w:val="28"/>
    </w:rPr>
  </w:style>
  <w:style w:type="character" w:customStyle="1" w:styleId="284">
    <w:name w:val="未处理的提及1"/>
    <w:basedOn w:val="47"/>
    <w:semiHidden/>
    <w:unhideWhenUsed/>
    <w:qFormat/>
    <w:uiPriority w:val="99"/>
    <w:rPr>
      <w:color w:val="605E5C"/>
      <w:shd w:val="clear" w:color="auto" w:fill="E1DFDD"/>
    </w:rPr>
  </w:style>
  <w:style w:type="character" w:customStyle="1" w:styleId="285">
    <w:name w:val="未处理的提及2"/>
    <w:basedOn w:val="47"/>
    <w:semiHidden/>
    <w:unhideWhenUsed/>
    <w:qFormat/>
    <w:uiPriority w:val="99"/>
    <w:rPr>
      <w:color w:val="605E5C"/>
      <w:shd w:val="clear" w:color="auto" w:fill="E1DFDD"/>
    </w:rPr>
  </w:style>
  <w:style w:type="character" w:customStyle="1" w:styleId="286">
    <w:name w:val="批注文字 Char1"/>
    <w:qFormat/>
    <w:uiPriority w:val="0"/>
    <w:rPr>
      <w:rFonts w:ascii="宋体" w:eastAsia="宋体"/>
      <w:sz w:val="34"/>
      <w:lang w:val="en-US" w:eastAsia="zh-CN" w:bidi="ar-SA"/>
    </w:rPr>
  </w:style>
  <w:style w:type="character" w:customStyle="1" w:styleId="287">
    <w:name w:val="未处理的提及3"/>
    <w:basedOn w:val="47"/>
    <w:semiHidden/>
    <w:unhideWhenUsed/>
    <w:qFormat/>
    <w:uiPriority w:val="99"/>
    <w:rPr>
      <w:color w:val="605E5C"/>
      <w:shd w:val="clear" w:color="auto" w:fill="E1DFDD"/>
    </w:rPr>
  </w:style>
  <w:style w:type="character" w:customStyle="1" w:styleId="288">
    <w:name w:val="标题 2 字符"/>
    <w:basedOn w:val="47"/>
    <w:link w:val="5"/>
    <w:qFormat/>
    <w:uiPriority w:val="0"/>
    <w:rPr>
      <w:rFonts w:ascii="宋体" w:hAnsi="宋体"/>
      <w:b/>
      <w:sz w:val="24"/>
      <w:shd w:val="clear" w:color="auto" w:fill="FFFFFF"/>
    </w:rPr>
  </w:style>
  <w:style w:type="character" w:customStyle="1" w:styleId="289">
    <w:name w:val="正文文本 字符"/>
    <w:basedOn w:val="47"/>
    <w:link w:val="8"/>
    <w:qFormat/>
    <w:uiPriority w:val="0"/>
    <w:rPr>
      <w:rFonts w:ascii="宋体" w:hAnsi="宋体" w:cs="宋体"/>
      <w:b/>
      <w:bCs/>
      <w:sz w:val="24"/>
      <w:szCs w:val="24"/>
      <w:shd w:val="clear" w:color="auto" w:fill="FFFFFF"/>
    </w:rPr>
  </w:style>
  <w:style w:type="paragraph" w:customStyle="1" w:styleId="290">
    <w:name w:val="Q标题1"/>
    <w:basedOn w:val="1"/>
    <w:link w:val="292"/>
    <w:qFormat/>
    <w:uiPriority w:val="0"/>
    <w:pPr>
      <w:widowControl w:val="0"/>
      <w:shd w:val="clear" w:color="auto" w:fill="auto"/>
      <w:tabs>
        <w:tab w:val="clear" w:pos="426"/>
      </w:tabs>
      <w:spacing w:line="300" w:lineRule="auto"/>
      <w:jc w:val="center"/>
    </w:pPr>
    <w:rPr>
      <w:rFonts w:cs="Times New Roman"/>
      <w:spacing w:val="26"/>
      <w:kern w:val="2"/>
      <w:sz w:val="72"/>
      <w:szCs w:val="20"/>
    </w:rPr>
  </w:style>
  <w:style w:type="paragraph" w:customStyle="1" w:styleId="291">
    <w:name w:val="Q编号1"/>
    <w:basedOn w:val="1"/>
    <w:link w:val="294"/>
    <w:qFormat/>
    <w:uiPriority w:val="0"/>
    <w:pPr>
      <w:tabs>
        <w:tab w:val="clear" w:pos="426"/>
      </w:tabs>
      <w:jc w:val="right"/>
    </w:pPr>
    <w:rPr>
      <w:rFonts w:ascii="Times New Roman" w:hAnsi="Times New Roman" w:cs="Times New Roman"/>
    </w:rPr>
  </w:style>
  <w:style w:type="character" w:customStyle="1" w:styleId="292">
    <w:name w:val="Q标题1 字符"/>
    <w:basedOn w:val="47"/>
    <w:link w:val="290"/>
    <w:qFormat/>
    <w:uiPriority w:val="0"/>
    <w:rPr>
      <w:rFonts w:ascii="宋体" w:hAnsi="宋体"/>
      <w:spacing w:val="26"/>
      <w:kern w:val="2"/>
      <w:sz w:val="72"/>
    </w:rPr>
  </w:style>
  <w:style w:type="paragraph" w:customStyle="1" w:styleId="293">
    <w:name w:val="Q采购类型1"/>
    <w:basedOn w:val="1"/>
    <w:link w:val="296"/>
    <w:qFormat/>
    <w:uiPriority w:val="0"/>
    <w:pPr>
      <w:tabs>
        <w:tab w:val="clear" w:pos="426"/>
      </w:tabs>
      <w:jc w:val="center"/>
    </w:pPr>
    <w:rPr>
      <w:rFonts w:ascii="黑体" w:hAnsi="Arial" w:eastAsia="黑体" w:cs="Arial"/>
      <w:color w:val="000000"/>
      <w:sz w:val="52"/>
      <w:szCs w:val="52"/>
    </w:rPr>
  </w:style>
  <w:style w:type="character" w:customStyle="1" w:styleId="294">
    <w:name w:val="Q编号1 字符"/>
    <w:basedOn w:val="47"/>
    <w:link w:val="291"/>
    <w:qFormat/>
    <w:uiPriority w:val="0"/>
    <w:rPr>
      <w:sz w:val="21"/>
      <w:szCs w:val="24"/>
      <w:shd w:val="clear" w:color="auto" w:fill="FFFFFF"/>
    </w:rPr>
  </w:style>
  <w:style w:type="paragraph" w:customStyle="1" w:styleId="295">
    <w:name w:val="Q正文1"/>
    <w:basedOn w:val="1"/>
    <w:link w:val="298"/>
    <w:qFormat/>
    <w:uiPriority w:val="0"/>
    <w:pPr>
      <w:widowControl w:val="0"/>
      <w:shd w:val="clear" w:color="auto" w:fill="auto"/>
      <w:tabs>
        <w:tab w:val="clear" w:pos="426"/>
      </w:tabs>
      <w:spacing w:line="300" w:lineRule="auto"/>
      <w:ind w:hanging="1"/>
    </w:pPr>
    <w:rPr>
      <w:rFonts w:cs="Times New Roman"/>
      <w:kern w:val="2"/>
      <w:sz w:val="30"/>
      <w:szCs w:val="20"/>
    </w:rPr>
  </w:style>
  <w:style w:type="character" w:customStyle="1" w:styleId="296">
    <w:name w:val="Q采购类型1 字符"/>
    <w:basedOn w:val="47"/>
    <w:link w:val="293"/>
    <w:qFormat/>
    <w:uiPriority w:val="0"/>
    <w:rPr>
      <w:rFonts w:ascii="黑体" w:hAnsi="Arial" w:eastAsia="黑体" w:cs="Arial"/>
      <w:color w:val="000000"/>
      <w:sz w:val="52"/>
      <w:szCs w:val="52"/>
      <w:shd w:val="clear" w:color="auto" w:fill="FFFFFF"/>
    </w:rPr>
  </w:style>
  <w:style w:type="paragraph" w:customStyle="1" w:styleId="297">
    <w:name w:val="0编制指引"/>
    <w:basedOn w:val="1"/>
    <w:link w:val="300"/>
    <w:qFormat/>
    <w:uiPriority w:val="0"/>
    <w:pPr>
      <w:tabs>
        <w:tab w:val="clear" w:pos="426"/>
      </w:tabs>
      <w:spacing w:line="240" w:lineRule="auto"/>
      <w:jc w:val="left"/>
      <w:outlineLvl w:val="4"/>
    </w:pPr>
    <w:rPr>
      <w:i/>
      <w:iCs/>
      <w:color w:val="00B050"/>
    </w:rPr>
  </w:style>
  <w:style w:type="character" w:customStyle="1" w:styleId="298">
    <w:name w:val="Q正文1 字符"/>
    <w:basedOn w:val="47"/>
    <w:link w:val="295"/>
    <w:qFormat/>
    <w:uiPriority w:val="0"/>
    <w:rPr>
      <w:rFonts w:ascii="宋体" w:hAnsi="宋体"/>
      <w:kern w:val="2"/>
      <w:sz w:val="30"/>
    </w:rPr>
  </w:style>
  <w:style w:type="paragraph" w:customStyle="1" w:styleId="299">
    <w:name w:val="目录标题"/>
    <w:basedOn w:val="1"/>
    <w:link w:val="302"/>
    <w:qFormat/>
    <w:uiPriority w:val="0"/>
    <w:pPr>
      <w:tabs>
        <w:tab w:val="clear" w:pos="426"/>
      </w:tabs>
      <w:jc w:val="center"/>
    </w:pPr>
    <w:rPr>
      <w:b/>
      <w:sz w:val="32"/>
      <w:szCs w:val="32"/>
    </w:rPr>
  </w:style>
  <w:style w:type="character" w:customStyle="1" w:styleId="300">
    <w:name w:val="0编制指引 字符"/>
    <w:basedOn w:val="47"/>
    <w:link w:val="297"/>
    <w:qFormat/>
    <w:uiPriority w:val="0"/>
    <w:rPr>
      <w:rFonts w:ascii="宋体" w:hAnsi="宋体" w:cs="宋体"/>
      <w:i/>
      <w:iCs/>
      <w:color w:val="00B050"/>
      <w:sz w:val="21"/>
      <w:szCs w:val="24"/>
      <w:shd w:val="clear" w:color="auto" w:fill="FFFFFF"/>
    </w:rPr>
  </w:style>
  <w:style w:type="paragraph" w:customStyle="1" w:styleId="301">
    <w:name w:val="Z1级标题"/>
    <w:basedOn w:val="42"/>
    <w:link w:val="304"/>
    <w:qFormat/>
    <w:uiPriority w:val="0"/>
    <w:pPr>
      <w:tabs>
        <w:tab w:val="clear" w:pos="426"/>
      </w:tabs>
    </w:pPr>
  </w:style>
  <w:style w:type="character" w:customStyle="1" w:styleId="302">
    <w:name w:val="目录标题 字符"/>
    <w:basedOn w:val="47"/>
    <w:link w:val="299"/>
    <w:qFormat/>
    <w:uiPriority w:val="0"/>
    <w:rPr>
      <w:rFonts w:ascii="宋体" w:hAnsi="宋体" w:cs="宋体"/>
      <w:b/>
      <w:sz w:val="32"/>
      <w:szCs w:val="32"/>
      <w:shd w:val="clear" w:color="auto" w:fill="FFFFFF"/>
    </w:rPr>
  </w:style>
  <w:style w:type="paragraph" w:customStyle="1" w:styleId="303">
    <w:name w:val="页眉文字"/>
    <w:basedOn w:val="30"/>
    <w:link w:val="306"/>
    <w:qFormat/>
    <w:uiPriority w:val="0"/>
    <w:pPr>
      <w:spacing w:line="240" w:lineRule="auto"/>
    </w:pPr>
  </w:style>
  <w:style w:type="character" w:customStyle="1" w:styleId="304">
    <w:name w:val="Z1级标题 字符"/>
    <w:basedOn w:val="137"/>
    <w:link w:val="301"/>
    <w:qFormat/>
    <w:uiPriority w:val="0"/>
    <w:rPr>
      <w:rFonts w:ascii="Arial" w:hAnsi="Arial" w:cs="Arial"/>
      <w:kern w:val="2"/>
      <w:sz w:val="36"/>
      <w:szCs w:val="32"/>
      <w:shd w:val="clear" w:color="auto" w:fill="FFFFFF"/>
    </w:rPr>
  </w:style>
  <w:style w:type="paragraph" w:customStyle="1" w:styleId="305">
    <w:name w:val="0五号正文"/>
    <w:basedOn w:val="1"/>
    <w:link w:val="308"/>
    <w:qFormat/>
    <w:uiPriority w:val="0"/>
    <w:pPr>
      <w:widowControl w:val="0"/>
      <w:shd w:val="clear" w:color="auto" w:fill="auto"/>
      <w:tabs>
        <w:tab w:val="clear" w:pos="426"/>
      </w:tabs>
      <w:spacing w:line="300" w:lineRule="auto"/>
      <w:ind w:firstLine="420" w:firstLineChars="200"/>
    </w:pPr>
    <w:rPr>
      <w:rFonts w:cs="Times New Roman"/>
      <w:kern w:val="2"/>
      <w:szCs w:val="21"/>
    </w:rPr>
  </w:style>
  <w:style w:type="character" w:customStyle="1" w:styleId="306">
    <w:name w:val="页眉文字 字符"/>
    <w:basedOn w:val="81"/>
    <w:link w:val="303"/>
    <w:qFormat/>
    <w:uiPriority w:val="0"/>
    <w:rPr>
      <w:kern w:val="2"/>
      <w:sz w:val="18"/>
      <w:szCs w:val="18"/>
      <w:shd w:val="clear" w:color="auto" w:fill="FFFFFF"/>
    </w:rPr>
  </w:style>
  <w:style w:type="paragraph" w:customStyle="1" w:styleId="307">
    <w:name w:val="0表格正文"/>
    <w:basedOn w:val="1"/>
    <w:link w:val="310"/>
    <w:qFormat/>
    <w:uiPriority w:val="0"/>
    <w:pPr>
      <w:tabs>
        <w:tab w:val="clear" w:pos="426"/>
      </w:tabs>
      <w:spacing w:line="240" w:lineRule="auto"/>
      <w:jc w:val="left"/>
    </w:pPr>
    <w:rPr>
      <w:szCs w:val="21"/>
    </w:rPr>
  </w:style>
  <w:style w:type="character" w:customStyle="1" w:styleId="308">
    <w:name w:val="0五号正文 字符"/>
    <w:basedOn w:val="47"/>
    <w:link w:val="305"/>
    <w:qFormat/>
    <w:uiPriority w:val="0"/>
    <w:rPr>
      <w:rFonts w:ascii="宋体" w:hAnsi="宋体"/>
      <w:kern w:val="2"/>
      <w:sz w:val="21"/>
      <w:szCs w:val="21"/>
    </w:rPr>
  </w:style>
  <w:style w:type="paragraph" w:customStyle="1" w:styleId="309">
    <w:name w:val="Z2级标题"/>
    <w:basedOn w:val="33"/>
    <w:link w:val="312"/>
    <w:qFormat/>
    <w:uiPriority w:val="0"/>
    <w:pPr>
      <w:tabs>
        <w:tab w:val="clear" w:pos="426"/>
      </w:tabs>
    </w:pPr>
  </w:style>
  <w:style w:type="character" w:customStyle="1" w:styleId="310">
    <w:name w:val="0表格正文 字符"/>
    <w:basedOn w:val="47"/>
    <w:link w:val="307"/>
    <w:qFormat/>
    <w:uiPriority w:val="0"/>
    <w:rPr>
      <w:rFonts w:ascii="宋体" w:hAnsi="宋体" w:cs="宋体"/>
      <w:sz w:val="21"/>
      <w:szCs w:val="21"/>
      <w:shd w:val="clear" w:color="auto" w:fill="FFFFFF"/>
    </w:rPr>
  </w:style>
  <w:style w:type="paragraph" w:customStyle="1" w:styleId="311">
    <w:name w:val="B正文文本"/>
    <w:basedOn w:val="1"/>
    <w:link w:val="314"/>
    <w:qFormat/>
    <w:uiPriority w:val="0"/>
    <w:pPr>
      <w:tabs>
        <w:tab w:val="clear" w:pos="426"/>
      </w:tabs>
      <w:ind w:firstLine="424" w:firstLineChars="202"/>
    </w:pPr>
  </w:style>
  <w:style w:type="character" w:customStyle="1" w:styleId="312">
    <w:name w:val="Z2级标题 字符"/>
    <w:basedOn w:val="78"/>
    <w:link w:val="309"/>
    <w:qFormat/>
    <w:uiPriority w:val="0"/>
    <w:rPr>
      <w:rFonts w:ascii="Cambria" w:hAnsi="Cambria" w:cs="Times New Roman"/>
      <w:kern w:val="28"/>
      <w:sz w:val="28"/>
      <w:szCs w:val="32"/>
      <w:shd w:val="clear" w:color="auto" w:fill="FFFFFF"/>
    </w:rPr>
  </w:style>
  <w:style w:type="paragraph" w:customStyle="1" w:styleId="313">
    <w:name w:val="T2级标题"/>
    <w:basedOn w:val="5"/>
    <w:link w:val="316"/>
    <w:qFormat/>
    <w:uiPriority w:val="0"/>
  </w:style>
  <w:style w:type="character" w:customStyle="1" w:styleId="314">
    <w:name w:val="B正文文本 字符"/>
    <w:basedOn w:val="47"/>
    <w:link w:val="311"/>
    <w:qFormat/>
    <w:uiPriority w:val="0"/>
    <w:rPr>
      <w:rFonts w:ascii="宋体" w:hAnsi="宋体" w:cs="宋体"/>
      <w:sz w:val="21"/>
      <w:szCs w:val="24"/>
      <w:shd w:val="clear" w:color="auto" w:fill="FFFFFF"/>
    </w:rPr>
  </w:style>
  <w:style w:type="paragraph" w:customStyle="1" w:styleId="315">
    <w:name w:val="G2级标题"/>
    <w:basedOn w:val="1"/>
    <w:link w:val="318"/>
    <w:qFormat/>
    <w:uiPriority w:val="0"/>
    <w:pPr>
      <w:numPr>
        <w:ilvl w:val="0"/>
        <w:numId w:val="21"/>
      </w:numPr>
      <w:tabs>
        <w:tab w:val="clear" w:pos="426"/>
      </w:tabs>
      <w:spacing w:before="280" w:after="290" w:line="377" w:lineRule="auto"/>
      <w:ind w:left="0" w:firstLine="0"/>
      <w:jc w:val="left"/>
      <w:outlineLvl w:val="2"/>
    </w:pPr>
    <w:rPr>
      <w:b/>
      <w:sz w:val="24"/>
    </w:rPr>
  </w:style>
  <w:style w:type="character" w:customStyle="1" w:styleId="316">
    <w:name w:val="T2级标题 字符"/>
    <w:basedOn w:val="288"/>
    <w:link w:val="313"/>
    <w:qFormat/>
    <w:uiPriority w:val="0"/>
    <w:rPr>
      <w:rFonts w:ascii="宋体" w:hAnsi="宋体"/>
      <w:sz w:val="24"/>
      <w:shd w:val="clear" w:color="auto" w:fill="FFFFFF"/>
    </w:rPr>
  </w:style>
  <w:style w:type="paragraph" w:customStyle="1" w:styleId="317">
    <w:name w:val="表格备注"/>
    <w:basedOn w:val="1"/>
    <w:link w:val="320"/>
    <w:qFormat/>
    <w:uiPriority w:val="0"/>
    <w:pPr>
      <w:spacing w:line="240" w:lineRule="auto"/>
      <w:ind w:firstLine="422" w:firstLineChars="200"/>
    </w:pPr>
    <w:rPr>
      <w:b/>
    </w:rPr>
  </w:style>
  <w:style w:type="character" w:customStyle="1" w:styleId="318">
    <w:name w:val="G2级标题 字符"/>
    <w:basedOn w:val="47"/>
    <w:link w:val="315"/>
    <w:qFormat/>
    <w:uiPriority w:val="0"/>
    <w:rPr>
      <w:rFonts w:ascii="宋体" w:hAnsi="宋体" w:cs="宋体"/>
      <w:b/>
      <w:sz w:val="24"/>
      <w:szCs w:val="24"/>
      <w:shd w:val="clear" w:color="auto" w:fill="FFFFFF"/>
    </w:rPr>
  </w:style>
  <w:style w:type="paragraph" w:customStyle="1" w:styleId="319">
    <w:name w:val="Z3级左对齐标题"/>
    <w:basedOn w:val="1"/>
    <w:link w:val="322"/>
    <w:qFormat/>
    <w:uiPriority w:val="0"/>
    <w:pPr>
      <w:numPr>
        <w:ilvl w:val="0"/>
        <w:numId w:val="22"/>
      </w:numPr>
      <w:spacing w:before="280" w:after="290" w:line="377" w:lineRule="auto"/>
      <w:outlineLvl w:val="2"/>
    </w:pPr>
    <w:rPr>
      <w:b/>
      <w:sz w:val="24"/>
    </w:rPr>
  </w:style>
  <w:style w:type="character" w:customStyle="1" w:styleId="320">
    <w:name w:val="表格备注 字符"/>
    <w:basedOn w:val="47"/>
    <w:link w:val="317"/>
    <w:qFormat/>
    <w:uiPriority w:val="0"/>
    <w:rPr>
      <w:rFonts w:ascii="宋体" w:hAnsi="宋体" w:cs="宋体"/>
      <w:b/>
      <w:sz w:val="21"/>
      <w:szCs w:val="24"/>
      <w:shd w:val="clear" w:color="auto" w:fill="FFFFFF"/>
    </w:rPr>
  </w:style>
  <w:style w:type="paragraph" w:customStyle="1" w:styleId="321">
    <w:name w:val="Z3级居中标题"/>
    <w:basedOn w:val="1"/>
    <w:link w:val="324"/>
    <w:qFormat/>
    <w:uiPriority w:val="0"/>
    <w:pPr>
      <w:widowControl w:val="0"/>
      <w:tabs>
        <w:tab w:val="clear" w:pos="426"/>
      </w:tabs>
      <w:spacing w:before="280" w:after="290" w:line="377" w:lineRule="auto"/>
      <w:jc w:val="center"/>
      <w:outlineLvl w:val="2"/>
    </w:pPr>
    <w:rPr>
      <w:rFonts w:cs="Times New Roman"/>
      <w:b/>
      <w:kern w:val="2"/>
      <w:sz w:val="24"/>
    </w:rPr>
  </w:style>
  <w:style w:type="character" w:customStyle="1" w:styleId="322">
    <w:name w:val="Z3级左对齐标题 字符"/>
    <w:basedOn w:val="47"/>
    <w:link w:val="319"/>
    <w:qFormat/>
    <w:uiPriority w:val="0"/>
    <w:rPr>
      <w:rFonts w:ascii="宋体" w:hAnsi="宋体" w:cs="宋体"/>
      <w:b/>
      <w:sz w:val="24"/>
      <w:szCs w:val="24"/>
      <w:shd w:val="clear" w:color="auto" w:fill="FFFFFF"/>
    </w:rPr>
  </w:style>
  <w:style w:type="paragraph" w:customStyle="1" w:styleId="323">
    <w:name w:val="表格表头"/>
    <w:basedOn w:val="1"/>
    <w:link w:val="325"/>
    <w:qFormat/>
    <w:uiPriority w:val="0"/>
    <w:pPr>
      <w:tabs>
        <w:tab w:val="clear" w:pos="426"/>
      </w:tabs>
      <w:spacing w:line="240" w:lineRule="auto"/>
      <w:jc w:val="center"/>
    </w:pPr>
  </w:style>
  <w:style w:type="character" w:customStyle="1" w:styleId="324">
    <w:name w:val="Z3级居中标题 字符"/>
    <w:basedOn w:val="47"/>
    <w:link w:val="321"/>
    <w:qFormat/>
    <w:uiPriority w:val="0"/>
    <w:rPr>
      <w:rFonts w:ascii="宋体" w:hAnsi="宋体"/>
      <w:b/>
      <w:kern w:val="2"/>
      <w:sz w:val="24"/>
      <w:szCs w:val="24"/>
      <w:shd w:val="clear" w:color="auto" w:fill="FFFFFF"/>
    </w:rPr>
  </w:style>
  <w:style w:type="character" w:customStyle="1" w:styleId="325">
    <w:name w:val="表格表头 字符"/>
    <w:basedOn w:val="47"/>
    <w:link w:val="323"/>
    <w:qFormat/>
    <w:uiPriority w:val="0"/>
    <w:rPr>
      <w:rFonts w:ascii="宋体" w:hAnsi="宋体" w:cs="宋体"/>
      <w:sz w:val="21"/>
      <w:szCs w:val="24"/>
      <w:shd w:val="clear" w:color="auto" w:fill="FFFFFF"/>
    </w:rPr>
  </w:style>
  <w:style w:type="paragraph" w:customStyle="1" w:styleId="326">
    <w:name w:val="T3级标题"/>
    <w:basedOn w:val="319"/>
    <w:link w:val="327"/>
    <w:qFormat/>
    <w:uiPriority w:val="0"/>
    <w:pPr>
      <w:numPr>
        <w:ilvl w:val="0"/>
        <w:numId w:val="23"/>
      </w:numPr>
      <w:tabs>
        <w:tab w:val="clear" w:pos="426"/>
      </w:tabs>
      <w:ind w:firstLine="0"/>
    </w:pPr>
  </w:style>
  <w:style w:type="character" w:customStyle="1" w:styleId="327">
    <w:name w:val="T3级标题 字符"/>
    <w:basedOn w:val="322"/>
    <w:link w:val="326"/>
    <w:qFormat/>
    <w:uiPriority w:val="0"/>
    <w:rPr>
      <w:rFonts w:ascii="宋体" w:hAnsi="宋体" w:cs="宋体"/>
      <w:sz w:val="24"/>
      <w:szCs w:val="24"/>
      <w:shd w:val="clear" w:color="auto" w:fill="FFFFFF"/>
    </w:rPr>
  </w:style>
  <w:style w:type="paragraph" w:customStyle="1" w:styleId="328">
    <w:name w:val="T2级正文"/>
    <w:basedOn w:val="305"/>
    <w:link w:val="330"/>
    <w:qFormat/>
    <w:uiPriority w:val="0"/>
    <w:pPr>
      <w:numPr>
        <w:ilvl w:val="1"/>
        <w:numId w:val="23"/>
      </w:numPr>
      <w:ind w:firstLine="0" w:firstLineChars="0"/>
    </w:pPr>
  </w:style>
  <w:style w:type="paragraph" w:customStyle="1" w:styleId="329">
    <w:name w:val="T3级正文"/>
    <w:basedOn w:val="305"/>
    <w:link w:val="331"/>
    <w:qFormat/>
    <w:uiPriority w:val="0"/>
    <w:pPr>
      <w:numPr>
        <w:ilvl w:val="2"/>
        <w:numId w:val="23"/>
      </w:numPr>
      <w:ind w:firstLine="0" w:firstLineChars="0"/>
    </w:pPr>
  </w:style>
  <w:style w:type="character" w:customStyle="1" w:styleId="330">
    <w:name w:val="T2级正文 字符"/>
    <w:basedOn w:val="308"/>
    <w:link w:val="328"/>
    <w:qFormat/>
    <w:uiPriority w:val="0"/>
    <w:rPr>
      <w:rFonts w:ascii="宋体" w:hAnsi="宋体"/>
      <w:kern w:val="2"/>
      <w:sz w:val="21"/>
      <w:szCs w:val="21"/>
    </w:rPr>
  </w:style>
  <w:style w:type="character" w:customStyle="1" w:styleId="331">
    <w:name w:val="T3级正文 字符"/>
    <w:basedOn w:val="308"/>
    <w:link w:val="329"/>
    <w:qFormat/>
    <w:uiPriority w:val="0"/>
    <w:rPr>
      <w:rFonts w:ascii="宋体" w:hAnsi="宋体"/>
      <w:kern w:val="2"/>
      <w:sz w:val="21"/>
      <w:szCs w:val="21"/>
    </w:rPr>
  </w:style>
  <w:style w:type="paragraph" w:customStyle="1" w:styleId="332">
    <w:name w:val="合同标题"/>
    <w:basedOn w:val="280"/>
    <w:link w:val="334"/>
    <w:qFormat/>
    <w:uiPriority w:val="0"/>
    <w:pPr>
      <w:numPr>
        <w:ilvl w:val="0"/>
        <w:numId w:val="24"/>
      </w:numPr>
      <w:spacing w:line="240" w:lineRule="auto"/>
      <w:ind w:firstLine="0" w:firstLineChars="0"/>
    </w:pPr>
    <w:rPr>
      <w:b/>
      <w:bCs/>
      <w:sz w:val="21"/>
      <w:szCs w:val="21"/>
    </w:rPr>
  </w:style>
  <w:style w:type="character" w:customStyle="1" w:styleId="333">
    <w:name w:val="列表段落 字符"/>
    <w:basedOn w:val="47"/>
    <w:link w:val="280"/>
    <w:qFormat/>
    <w:uiPriority w:val="34"/>
    <w:rPr>
      <w:kern w:val="2"/>
      <w:sz w:val="24"/>
      <w:szCs w:val="24"/>
    </w:rPr>
  </w:style>
  <w:style w:type="character" w:customStyle="1" w:styleId="334">
    <w:name w:val="合同标题 字符"/>
    <w:basedOn w:val="333"/>
    <w:link w:val="332"/>
    <w:qFormat/>
    <w:uiPriority w:val="0"/>
    <w:rPr>
      <w:b/>
      <w:bCs/>
      <w:kern w:val="2"/>
      <w:sz w:val="21"/>
      <w:szCs w:val="21"/>
    </w:rPr>
  </w:style>
  <w:style w:type="paragraph" w:customStyle="1" w:styleId="335">
    <w:name w:val="Z4级标题"/>
    <w:basedOn w:val="1"/>
    <w:qFormat/>
    <w:uiPriority w:val="0"/>
    <w:pPr>
      <w:keepNext/>
      <w:keepLines/>
      <w:widowControl w:val="0"/>
      <w:shd w:val="clear" w:color="auto" w:fill="auto"/>
      <w:tabs>
        <w:tab w:val="clear" w:pos="426"/>
      </w:tabs>
      <w:adjustRightInd/>
      <w:snapToGrid/>
      <w:spacing w:before="260" w:after="260" w:line="240" w:lineRule="auto"/>
      <w:jc w:val="center"/>
      <w:outlineLvl w:val="3"/>
    </w:pPr>
    <w:rPr>
      <w:rFonts w:ascii="黑体" w:eastAsia="黑体" w:cs="Times New Roman"/>
      <w:bCs/>
      <w:sz w:val="24"/>
      <w:szCs w:val="32"/>
    </w:rPr>
  </w:style>
  <w:style w:type="paragraph" w:customStyle="1" w:styleId="336">
    <w:name w:val="公告正文"/>
    <w:basedOn w:val="1"/>
    <w:qFormat/>
    <w:uiPriority w:val="0"/>
    <w:pPr>
      <w:shd w:val="clear" w:color="auto" w:fill="auto"/>
      <w:tabs>
        <w:tab w:val="clear" w:pos="426"/>
      </w:tabs>
      <w:adjustRightInd/>
      <w:snapToGrid/>
      <w:spacing w:line="240" w:lineRule="auto"/>
      <w:ind w:firstLine="480" w:firstLineChars="200"/>
      <w:jc w:val="left"/>
    </w:pPr>
    <w:rPr>
      <w:sz w:val="24"/>
    </w:rPr>
  </w:style>
  <w:style w:type="paragraph" w:customStyle="1" w:styleId="337">
    <w:name w:val="font9"/>
    <w:basedOn w:val="1"/>
    <w:qFormat/>
    <w:uiPriority w:val="0"/>
    <w:pPr>
      <w:shd w:val="clear" w:color="auto" w:fill="auto"/>
      <w:tabs>
        <w:tab w:val="clear" w:pos="426"/>
      </w:tabs>
      <w:adjustRightInd/>
      <w:snapToGrid/>
      <w:spacing w:before="100" w:beforeAutospacing="1" w:after="100" w:afterAutospacing="1" w:line="240" w:lineRule="auto"/>
      <w:jc w:val="left"/>
    </w:pPr>
    <w:rPr>
      <w:color w:val="000000"/>
      <w:sz w:val="22"/>
      <w:szCs w:val="22"/>
    </w:rPr>
  </w:style>
  <w:style w:type="paragraph" w:customStyle="1" w:styleId="338">
    <w:name w:val="修订2"/>
    <w:hidden/>
    <w:semiHidden/>
    <w:qFormat/>
    <w:uiPriority w:val="99"/>
    <w:rPr>
      <w:rFonts w:ascii="宋体" w:hAnsi="宋体" w:eastAsia="宋体" w:cs="宋体"/>
      <w:sz w:val="21"/>
      <w:szCs w:val="24"/>
      <w:lang w:val="en-US" w:eastAsia="zh-CN" w:bidi="ar-SA"/>
    </w:rPr>
  </w:style>
  <w:style w:type="paragraph" w:customStyle="1" w:styleId="339">
    <w:name w:val="表格文字"/>
    <w:basedOn w:val="1"/>
    <w:qFormat/>
    <w:uiPriority w:val="0"/>
    <w:pPr>
      <w:widowControl w:val="0"/>
      <w:shd w:val="clear" w:color="auto" w:fill="auto"/>
      <w:adjustRightInd/>
      <w:snapToGrid/>
      <w:spacing w:before="25" w:after="25" w:line="240" w:lineRule="auto"/>
      <w:jc w:val="left"/>
    </w:pPr>
    <w:rPr>
      <w:rFonts w:asciiTheme="minorHAnsi" w:hAnsiTheme="minorHAnsi" w:eastAsiaTheme="minorEastAsia" w:cstheme="minorBidi"/>
      <w:bCs/>
      <w:spacing w:val="10"/>
      <w:kern w:val="2"/>
      <w:sz w:val="24"/>
      <w:szCs w:val="20"/>
    </w:rPr>
  </w:style>
  <w:style w:type="character" w:customStyle="1" w:styleId="340">
    <w:name w:val="mini-outputtext1"/>
    <w:basedOn w:val="47"/>
    <w:qFormat/>
    <w:uiPriority w:val="0"/>
  </w:style>
  <w:style w:type="paragraph" w:customStyle="1" w:styleId="341">
    <w:name w:val="Table Paragraph"/>
    <w:basedOn w:val="1"/>
    <w:qFormat/>
    <w:uiPriority w:val="0"/>
    <w:pPr>
      <w:widowControl w:val="0"/>
      <w:shd w:val="clear" w:color="auto" w:fill="auto"/>
      <w:tabs>
        <w:tab w:val="clear" w:pos="426"/>
      </w:tabs>
      <w:adjustRightInd/>
      <w:snapToGrid/>
      <w:spacing w:line="240" w:lineRule="auto"/>
    </w:pPr>
    <w:rPr>
      <w:rFonts w:ascii="Calibri" w:hAnsi="Calibri" w:cs="Times New Roman"/>
      <w:kern w:val="2"/>
    </w:rPr>
  </w:style>
  <w:style w:type="paragraph" w:customStyle="1" w:styleId="342">
    <w:name w:val="修订3"/>
    <w:hidden/>
    <w:semiHidden/>
    <w:qFormat/>
    <w:uiPriority w:val="99"/>
    <w:rPr>
      <w:rFonts w:ascii="宋体" w:hAnsi="宋体" w:eastAsia="宋体" w:cs="宋体"/>
      <w:sz w:val="21"/>
      <w:szCs w:val="24"/>
      <w:lang w:val="en-US" w:eastAsia="zh-CN" w:bidi="ar-SA"/>
    </w:rPr>
  </w:style>
  <w:style w:type="paragraph" w:customStyle="1" w:styleId="343">
    <w:name w:val="WW-Default"/>
    <w:qFormat/>
    <w:uiPriority w:val="0"/>
    <w:pPr>
      <w:widowControl w:val="0"/>
      <w:suppressAutoHyphens/>
      <w:autoSpaceDE w:val="0"/>
    </w:pPr>
    <w:rPr>
      <w:rFonts w:ascii="Times New Roman" w:hAnsi="Times New Roman" w:eastAsia="宋体" w:cs="Times New Roman"/>
      <w:color w:val="000000"/>
      <w:sz w:val="24"/>
      <w:szCs w:val="24"/>
      <w:lang w:val="en-US" w:eastAsia="zh-CN" w:bidi="ar-SA"/>
    </w:rPr>
  </w:style>
  <w:style w:type="paragraph" w:customStyle="1" w:styleId="344">
    <w:name w:val="修订4"/>
    <w:hidden/>
    <w:unhideWhenUsed/>
    <w:qFormat/>
    <w:uiPriority w:val="99"/>
    <w:rPr>
      <w:rFonts w:ascii="宋体" w:hAnsi="宋体" w:eastAsia="宋体" w:cs="宋体"/>
      <w:sz w:val="21"/>
      <w:szCs w:val="24"/>
      <w:lang w:val="en-US" w:eastAsia="zh-CN" w:bidi="ar-SA"/>
    </w:rPr>
  </w:style>
  <w:style w:type="paragraph" w:customStyle="1" w:styleId="345">
    <w:name w:val="_Style 3"/>
    <w:basedOn w:val="1"/>
    <w:qFormat/>
    <w:uiPriority w:val="0"/>
    <w:pPr>
      <w:widowControl w:val="0"/>
      <w:shd w:val="clear" w:color="auto" w:fill="auto"/>
      <w:tabs>
        <w:tab w:val="clear" w:pos="426"/>
      </w:tabs>
      <w:adjustRightInd/>
      <w:snapToGrid/>
      <w:spacing w:line="240" w:lineRule="auto"/>
      <w:ind w:firstLine="420" w:firstLineChars="200"/>
    </w:pPr>
    <w:rPr>
      <w:rFonts w:ascii="Times New Roman" w:hAnsi="Times New Roman" w:cs="Times New Roman"/>
      <w:kern w:val="2"/>
      <w:sz w:val="20"/>
    </w:rPr>
  </w:style>
  <w:style w:type="character" w:customStyle="1" w:styleId="346">
    <w:name w:val="font11"/>
    <w:basedOn w:val="47"/>
    <w:qFormat/>
    <w:uiPriority w:val="0"/>
    <w:rPr>
      <w:rFonts w:hint="eastAsia" w:ascii="宋体" w:hAnsi="宋体" w:eastAsia="宋体" w:cs="宋体"/>
      <w:color w:val="000000"/>
      <w:sz w:val="24"/>
      <w:szCs w:val="24"/>
      <w:u w:val="none"/>
    </w:rPr>
  </w:style>
  <w:style w:type="character" w:customStyle="1" w:styleId="347">
    <w:name w:val="未处理的提及4"/>
    <w:basedOn w:val="4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85</Pages>
  <Words>58514</Words>
  <Characters>64625</Characters>
  <Lines>498</Lines>
  <Paragraphs>140</Paragraphs>
  <TotalTime>12</TotalTime>
  <ScaleCrop>false</ScaleCrop>
  <LinksUpToDate>false</LinksUpToDate>
  <CharactersWithSpaces>65771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2024-08-28T02:21:00Z</dcterms:created>
  <dc:creator>inst</dc:creator>
  <cp:lastModifiedBy>微信用户</cp:lastModifiedBy>
  <cp:lastPrinted>2024-09-02T03:55:00Z</cp:lastPrinted>
  <dcterms:modified xsi:type="dcterms:W3CDTF">2024-11-23T02:55:20Z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A3E65FFB9409461BA0D41D635C34738E_13</vt:lpwstr>
  </property>
</Properties>
</file>